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FB41E" w14:textId="77777777" w:rsidR="000965BC" w:rsidRPr="00E128FE" w:rsidRDefault="000965BC" w:rsidP="000965BC">
      <w:pPr>
        <w:jc w:val="center"/>
        <w:rPr>
          <w:rFonts w:ascii="Arial" w:hAnsi="Arial" w:cs="Arial"/>
          <w:b/>
          <w:lang w:val="en-US"/>
        </w:rPr>
      </w:pPr>
      <w:r w:rsidRPr="00E128FE">
        <w:rPr>
          <w:rFonts w:ascii="Arial" w:hAnsi="Arial" w:cs="Arial"/>
          <w:b/>
          <w:lang w:val="en-US"/>
        </w:rPr>
        <w:t>SUPPLEMENTAL APPENDIX</w:t>
      </w:r>
    </w:p>
    <w:p w14:paraId="3C3DE7D2" w14:textId="77777777" w:rsidR="000F7600" w:rsidRPr="00E128FE" w:rsidRDefault="000F7600" w:rsidP="000F7600">
      <w:pPr>
        <w:spacing w:after="0" w:line="480" w:lineRule="auto"/>
        <w:rPr>
          <w:rFonts w:ascii="Arial" w:hAnsi="Arial" w:cs="Arial"/>
          <w:b/>
          <w:lang w:val="en-US"/>
        </w:rPr>
      </w:pPr>
    </w:p>
    <w:p w14:paraId="3EC9BE19" w14:textId="77777777" w:rsidR="00C50ACB" w:rsidRPr="00E128FE" w:rsidRDefault="00C50ACB" w:rsidP="00C50ACB">
      <w:pPr>
        <w:spacing w:after="0" w:line="360" w:lineRule="auto"/>
        <w:jc w:val="center"/>
        <w:rPr>
          <w:rFonts w:ascii="Arial" w:hAnsi="Arial" w:cs="Arial"/>
          <w:b/>
          <w:lang w:val="en-US"/>
        </w:rPr>
      </w:pPr>
      <w:r w:rsidRPr="00E128FE">
        <w:rPr>
          <w:rFonts w:ascii="Arial" w:hAnsi="Arial" w:cs="Arial"/>
          <w:b/>
          <w:lang w:val="en-US"/>
        </w:rPr>
        <w:t>Effects of empagliflozin on left ventricular diastolic function in addition to usual care in individuals with type 2 diabetes mellitus –</w:t>
      </w:r>
    </w:p>
    <w:p w14:paraId="5C8E9CF9" w14:textId="77777777" w:rsidR="00C50ACB" w:rsidRPr="00E128FE" w:rsidRDefault="00C50ACB" w:rsidP="00C50ACB">
      <w:pPr>
        <w:spacing w:after="0" w:line="360" w:lineRule="auto"/>
        <w:jc w:val="center"/>
        <w:rPr>
          <w:rFonts w:ascii="Arial" w:hAnsi="Arial" w:cs="Arial"/>
          <w:b/>
          <w:lang w:val="en-US"/>
        </w:rPr>
      </w:pPr>
      <w:r w:rsidRPr="00E128FE">
        <w:rPr>
          <w:rFonts w:ascii="Arial" w:hAnsi="Arial" w:cs="Arial"/>
          <w:b/>
          <w:lang w:val="en-US"/>
        </w:rPr>
        <w:t>Results from the randomized, double-blind, placebo-controlled EmDia trial</w:t>
      </w:r>
    </w:p>
    <w:p w14:paraId="6628D8C4" w14:textId="77777777" w:rsidR="00C50ACB" w:rsidRPr="00E128FE" w:rsidRDefault="00C50ACB" w:rsidP="00C50ACB">
      <w:pPr>
        <w:spacing w:after="0" w:line="360" w:lineRule="auto"/>
        <w:rPr>
          <w:rFonts w:ascii="Arial" w:hAnsi="Arial" w:cs="Arial"/>
          <w:b/>
          <w:lang w:val="en-US"/>
        </w:rPr>
      </w:pPr>
    </w:p>
    <w:p w14:paraId="4810CF03" w14:textId="237ED45E" w:rsidR="00C50ACB" w:rsidRPr="00E128FE" w:rsidRDefault="00C50ACB" w:rsidP="00C50ACB">
      <w:pPr>
        <w:spacing w:after="0" w:line="360" w:lineRule="auto"/>
        <w:rPr>
          <w:rFonts w:ascii="Arial" w:hAnsi="Arial" w:cs="Arial"/>
          <w:vertAlign w:val="superscript"/>
          <w:lang w:val="en-US"/>
        </w:rPr>
      </w:pPr>
      <w:r w:rsidRPr="00E128FE">
        <w:rPr>
          <w:rFonts w:ascii="Arial" w:hAnsi="Arial" w:cs="Arial"/>
          <w:lang w:val="en-US"/>
        </w:rPr>
        <w:t>Jürgen H. Prochaska, MD</w:t>
      </w:r>
      <w:r w:rsidRPr="00E128FE">
        <w:rPr>
          <w:rFonts w:ascii="Arial" w:hAnsi="Arial" w:cs="Arial"/>
          <w:vertAlign w:val="superscript"/>
          <w:lang w:val="en-US"/>
        </w:rPr>
        <w:t>1,2,3</w:t>
      </w:r>
      <w:r w:rsidRPr="00E128FE">
        <w:rPr>
          <w:rFonts w:ascii="Arial" w:hAnsi="Arial" w:cs="Arial"/>
          <w:lang w:val="en-US"/>
        </w:rPr>
        <w:t>, Claus Jünger, MD, MSan</w:t>
      </w:r>
      <w:r w:rsidRPr="00E128FE">
        <w:rPr>
          <w:rFonts w:ascii="Arial" w:hAnsi="Arial" w:cs="Arial"/>
          <w:vertAlign w:val="superscript"/>
          <w:lang w:val="en-US"/>
        </w:rPr>
        <w:t>1,4</w:t>
      </w:r>
      <w:r w:rsidRPr="00E128FE">
        <w:rPr>
          <w:rFonts w:ascii="Arial" w:hAnsi="Arial" w:cs="Arial"/>
          <w:lang w:val="en-US"/>
        </w:rPr>
        <w:t>, Andreas Schulz, PhD</w:t>
      </w:r>
      <w:r w:rsidRPr="00E128FE">
        <w:rPr>
          <w:rFonts w:ascii="Arial" w:hAnsi="Arial" w:cs="Arial"/>
          <w:vertAlign w:val="superscript"/>
          <w:lang w:val="en-US"/>
        </w:rPr>
        <w:t>1</w:t>
      </w:r>
      <w:r w:rsidRPr="00E128FE">
        <w:rPr>
          <w:rFonts w:ascii="Arial" w:hAnsi="Arial" w:cs="Arial"/>
          <w:lang w:val="en-US"/>
        </w:rPr>
        <w:t>, Natalie Arnold, MD</w:t>
      </w:r>
      <w:r w:rsidRPr="00E128FE">
        <w:rPr>
          <w:rFonts w:ascii="Arial" w:hAnsi="Arial" w:cs="Arial"/>
          <w:vertAlign w:val="superscript"/>
          <w:lang w:val="en-US"/>
        </w:rPr>
        <w:t>1,6</w:t>
      </w:r>
      <w:r w:rsidRPr="00E128FE">
        <w:rPr>
          <w:rFonts w:ascii="Arial" w:hAnsi="Arial" w:cs="Arial"/>
          <w:lang w:val="en-US"/>
        </w:rPr>
        <w:t>, Felix Müller, MD</w:t>
      </w:r>
      <w:r w:rsidRPr="00E128FE">
        <w:rPr>
          <w:rFonts w:ascii="Arial" w:hAnsi="Arial" w:cs="Arial"/>
          <w:vertAlign w:val="superscript"/>
          <w:lang w:val="en-US"/>
        </w:rPr>
        <w:t>1,3</w:t>
      </w:r>
      <w:r w:rsidRPr="00E128FE">
        <w:rPr>
          <w:rFonts w:ascii="Arial" w:hAnsi="Arial" w:cs="Arial"/>
          <w:lang w:val="en-US"/>
        </w:rPr>
        <w:t>, Marc William Heidorn, MD</w:t>
      </w:r>
      <w:r w:rsidRPr="00E128FE">
        <w:rPr>
          <w:rFonts w:ascii="Arial" w:hAnsi="Arial" w:cs="Arial"/>
          <w:vertAlign w:val="superscript"/>
          <w:lang w:val="en-US"/>
        </w:rPr>
        <w:t>1,3</w:t>
      </w:r>
      <w:r w:rsidRPr="00E128FE">
        <w:rPr>
          <w:rFonts w:ascii="Arial" w:hAnsi="Arial" w:cs="Arial"/>
          <w:lang w:val="en-US"/>
        </w:rPr>
        <w:t>, Rieke Baumkötter, BA</w:t>
      </w:r>
      <w:r w:rsidRPr="00E128FE">
        <w:rPr>
          <w:rFonts w:ascii="Arial" w:hAnsi="Arial" w:cs="Arial"/>
          <w:vertAlign w:val="superscript"/>
          <w:lang w:val="en-US"/>
        </w:rPr>
        <w:t>1</w:t>
      </w:r>
      <w:r w:rsidRPr="00E128FE">
        <w:rPr>
          <w:rFonts w:ascii="Arial" w:hAnsi="Arial" w:cs="Arial"/>
          <w:lang w:val="en-US"/>
        </w:rPr>
        <w:t>, Daniela Zahn, PhD</w:t>
      </w:r>
      <w:r w:rsidRPr="00E128FE">
        <w:rPr>
          <w:rFonts w:ascii="Arial" w:hAnsi="Arial" w:cs="Arial"/>
          <w:vertAlign w:val="superscript"/>
          <w:lang w:val="en-US"/>
        </w:rPr>
        <w:t>1</w:t>
      </w:r>
      <w:r w:rsidRPr="00E128FE">
        <w:rPr>
          <w:rFonts w:ascii="Arial" w:hAnsi="Arial" w:cs="Arial"/>
          <w:lang w:val="en-US"/>
        </w:rPr>
        <w:t>, Thomas Koeck, PhD</w:t>
      </w:r>
      <w:r w:rsidRPr="00E128FE">
        <w:rPr>
          <w:rFonts w:ascii="Arial" w:hAnsi="Arial" w:cs="Arial"/>
          <w:vertAlign w:val="superscript"/>
          <w:lang w:val="en-US"/>
        </w:rPr>
        <w:t>1</w:t>
      </w:r>
      <w:r w:rsidRPr="00E128FE">
        <w:rPr>
          <w:rFonts w:ascii="Arial" w:hAnsi="Arial" w:cs="Arial"/>
          <w:lang w:val="en-US"/>
        </w:rPr>
        <w:t>, Sven-Oliver Tröbs, MD</w:t>
      </w:r>
      <w:r w:rsidRPr="00E128FE">
        <w:rPr>
          <w:rFonts w:ascii="Arial" w:hAnsi="Arial" w:cs="Arial"/>
          <w:vertAlign w:val="superscript"/>
          <w:lang w:val="en-US"/>
        </w:rPr>
        <w:t>1,3</w:t>
      </w:r>
      <w:r w:rsidRPr="00E128FE">
        <w:rPr>
          <w:rFonts w:ascii="Arial" w:hAnsi="Arial" w:cs="Arial"/>
          <w:lang w:val="en-US"/>
        </w:rPr>
        <w:t>, Karl J. Lackner, MD</w:t>
      </w:r>
      <w:r w:rsidRPr="00E128FE">
        <w:rPr>
          <w:rFonts w:ascii="Arial" w:hAnsi="Arial" w:cs="Arial"/>
          <w:vertAlign w:val="superscript"/>
          <w:lang w:val="en-US"/>
        </w:rPr>
        <w:t>7,3</w:t>
      </w:r>
      <w:r w:rsidRPr="00E128FE">
        <w:rPr>
          <w:rFonts w:ascii="Arial" w:hAnsi="Arial" w:cs="Arial"/>
          <w:lang w:val="en-US"/>
        </w:rPr>
        <w:t>, Andreas Daiber, PhD</w:t>
      </w:r>
      <w:r w:rsidRPr="00E128FE">
        <w:rPr>
          <w:rFonts w:ascii="Arial" w:hAnsi="Arial" w:cs="Arial"/>
          <w:vertAlign w:val="superscript"/>
          <w:lang w:val="en-US"/>
        </w:rPr>
        <w:t>8,3</w:t>
      </w:r>
      <w:r w:rsidRPr="00E128FE">
        <w:rPr>
          <w:rFonts w:ascii="Arial" w:hAnsi="Arial" w:cs="Arial"/>
          <w:lang w:val="en-US"/>
        </w:rPr>
        <w:t>, Harald Binder, PhD</w:t>
      </w:r>
      <w:r w:rsidRPr="00E128FE">
        <w:rPr>
          <w:rFonts w:ascii="Arial" w:hAnsi="Arial" w:cs="Arial"/>
          <w:vertAlign w:val="superscript"/>
          <w:lang w:val="en-US"/>
        </w:rPr>
        <w:t>5</w:t>
      </w:r>
      <w:r w:rsidRPr="00E128FE">
        <w:rPr>
          <w:rFonts w:ascii="Arial" w:hAnsi="Arial" w:cs="Arial"/>
          <w:lang w:val="en-US"/>
        </w:rPr>
        <w:t>, Sanjiv J. Shah, MD</w:t>
      </w:r>
      <w:r w:rsidRPr="00E128FE">
        <w:rPr>
          <w:rFonts w:ascii="Arial" w:hAnsi="Arial" w:cs="Arial"/>
          <w:vertAlign w:val="superscript"/>
          <w:lang w:val="en-US"/>
        </w:rPr>
        <w:t>9</w:t>
      </w:r>
      <w:r w:rsidRPr="00E128FE">
        <w:rPr>
          <w:rFonts w:ascii="Arial" w:hAnsi="Arial" w:cs="Arial"/>
          <w:lang w:val="en-US"/>
        </w:rPr>
        <w:t>, Tommaso Gori, MD, PhD</w:t>
      </w:r>
      <w:r w:rsidRPr="00E128FE">
        <w:rPr>
          <w:rFonts w:ascii="Arial" w:hAnsi="Arial" w:cs="Arial"/>
          <w:vertAlign w:val="superscript"/>
          <w:lang w:val="en-US"/>
        </w:rPr>
        <w:t>8,3</w:t>
      </w:r>
      <w:r w:rsidRPr="00E128FE">
        <w:rPr>
          <w:rFonts w:ascii="Arial" w:hAnsi="Arial" w:cs="Arial"/>
          <w:lang w:val="en-US"/>
        </w:rPr>
        <w:t>, Thomas Münzel, MD</w:t>
      </w:r>
      <w:r w:rsidRPr="00E128FE">
        <w:rPr>
          <w:rFonts w:ascii="Arial" w:hAnsi="Arial" w:cs="Arial"/>
          <w:vertAlign w:val="superscript"/>
          <w:lang w:val="en-US"/>
        </w:rPr>
        <w:t>8,3</w:t>
      </w:r>
      <w:r w:rsidRPr="00E128FE">
        <w:rPr>
          <w:rFonts w:ascii="Arial" w:hAnsi="Arial" w:cs="Arial"/>
          <w:lang w:val="en-US"/>
        </w:rPr>
        <w:t>, Philipp S. Wild, MD, MSc</w:t>
      </w:r>
      <w:r w:rsidRPr="00E128FE">
        <w:rPr>
          <w:rFonts w:ascii="Arial" w:hAnsi="Arial" w:cs="Arial"/>
          <w:vertAlign w:val="superscript"/>
          <w:lang w:val="en-US"/>
        </w:rPr>
        <w:t>1,2,3</w:t>
      </w:r>
      <w:r w:rsidR="00EB04E5">
        <w:rPr>
          <w:rFonts w:ascii="Arial" w:hAnsi="Arial" w:cs="Arial"/>
          <w:vertAlign w:val="superscript"/>
          <w:lang w:val="en-US"/>
        </w:rPr>
        <w:t>,10</w:t>
      </w:r>
    </w:p>
    <w:p w14:paraId="47E290F0" w14:textId="77777777" w:rsidR="00C50ACB" w:rsidRPr="00E128FE" w:rsidRDefault="00C50ACB" w:rsidP="00C50ACB">
      <w:pPr>
        <w:spacing w:after="0" w:line="360" w:lineRule="auto"/>
        <w:rPr>
          <w:rFonts w:ascii="Arial" w:hAnsi="Arial" w:cs="Arial"/>
          <w:lang w:val="en-US"/>
        </w:rPr>
      </w:pPr>
    </w:p>
    <w:p w14:paraId="59DF21C6" w14:textId="77777777" w:rsidR="00C50ACB" w:rsidRPr="00E128FE" w:rsidRDefault="00C50ACB" w:rsidP="00C50ACB">
      <w:pPr>
        <w:spacing w:after="0" w:line="360" w:lineRule="auto"/>
        <w:rPr>
          <w:rFonts w:ascii="Arial" w:hAnsi="Arial" w:cs="Arial"/>
          <w:sz w:val="20"/>
          <w:lang w:val="en-US"/>
        </w:rPr>
      </w:pPr>
      <w:r w:rsidRPr="00E128FE">
        <w:rPr>
          <w:rFonts w:ascii="Arial" w:hAnsi="Arial" w:cs="Arial"/>
          <w:sz w:val="20"/>
          <w:vertAlign w:val="superscript"/>
          <w:lang w:val="en-US"/>
        </w:rPr>
        <w:t>1</w:t>
      </w:r>
      <w:r w:rsidRPr="00E128FE">
        <w:rPr>
          <w:rFonts w:ascii="Arial" w:hAnsi="Arial" w:cs="Arial"/>
          <w:sz w:val="20"/>
          <w:lang w:val="en-US"/>
        </w:rPr>
        <w:t xml:space="preserve"> Preventive Cardiology and Preventive Medicine, Department of Cardiology, University Medical Center of the Johannes Gutenberg-University Mainz, Mainz, Germany;</w:t>
      </w:r>
    </w:p>
    <w:p w14:paraId="601F99EB" w14:textId="77777777" w:rsidR="00C50ACB" w:rsidRPr="00E128FE" w:rsidRDefault="00C50ACB" w:rsidP="00C50ACB">
      <w:pPr>
        <w:spacing w:after="0" w:line="360" w:lineRule="auto"/>
        <w:rPr>
          <w:rFonts w:ascii="Arial" w:hAnsi="Arial" w:cs="Arial"/>
          <w:sz w:val="20"/>
          <w:lang w:val="en-US"/>
        </w:rPr>
      </w:pPr>
      <w:r w:rsidRPr="00E128FE">
        <w:rPr>
          <w:rFonts w:ascii="Arial" w:hAnsi="Arial" w:cs="Arial"/>
          <w:sz w:val="20"/>
          <w:vertAlign w:val="superscript"/>
          <w:lang w:val="en-US"/>
        </w:rPr>
        <w:t>2</w:t>
      </w:r>
      <w:r w:rsidRPr="00E128FE">
        <w:rPr>
          <w:rFonts w:ascii="Arial" w:hAnsi="Arial" w:cs="Arial"/>
          <w:sz w:val="20"/>
          <w:lang w:val="en-US"/>
        </w:rPr>
        <w:t xml:space="preserve"> Center for Thrombosis and Hemostasis (CTH), University Medical Center of the Johannes Gutenberg-University Mainz, Mainz, Germany;</w:t>
      </w:r>
    </w:p>
    <w:p w14:paraId="3760C947" w14:textId="77777777" w:rsidR="00C50ACB" w:rsidRPr="00E128FE" w:rsidRDefault="00C50ACB" w:rsidP="00C50ACB">
      <w:pPr>
        <w:spacing w:after="0" w:line="360" w:lineRule="auto"/>
        <w:rPr>
          <w:rFonts w:ascii="Arial" w:hAnsi="Arial" w:cs="Arial"/>
          <w:sz w:val="20"/>
          <w:lang w:val="en-US"/>
        </w:rPr>
      </w:pPr>
      <w:r w:rsidRPr="00E128FE">
        <w:rPr>
          <w:rFonts w:ascii="Arial" w:hAnsi="Arial" w:cs="Arial"/>
          <w:sz w:val="20"/>
          <w:vertAlign w:val="superscript"/>
          <w:lang w:val="en-US"/>
        </w:rPr>
        <w:t>3</w:t>
      </w:r>
      <w:r w:rsidRPr="00E128FE">
        <w:rPr>
          <w:rFonts w:ascii="Arial" w:hAnsi="Arial" w:cs="Arial"/>
          <w:sz w:val="20"/>
          <w:lang w:val="en-US"/>
        </w:rPr>
        <w:t xml:space="preserve"> German Center for Cardiovascular Research (DZHK), Partner Site Rhine Main, Mainz, Germany</w:t>
      </w:r>
    </w:p>
    <w:p w14:paraId="17167AC4" w14:textId="77777777" w:rsidR="00C50ACB" w:rsidRPr="00E128FE" w:rsidRDefault="00C50ACB" w:rsidP="00C50ACB">
      <w:pPr>
        <w:spacing w:after="0" w:line="360" w:lineRule="auto"/>
        <w:rPr>
          <w:rFonts w:ascii="Arial" w:hAnsi="Arial" w:cs="Arial"/>
          <w:sz w:val="20"/>
          <w:lang w:val="en-US"/>
        </w:rPr>
      </w:pPr>
      <w:r w:rsidRPr="00E128FE">
        <w:rPr>
          <w:rFonts w:ascii="Arial" w:hAnsi="Arial" w:cs="Arial"/>
          <w:sz w:val="20"/>
          <w:vertAlign w:val="superscript"/>
          <w:lang w:val="en-US"/>
        </w:rPr>
        <w:t>4</w:t>
      </w:r>
      <w:r w:rsidRPr="00E128FE">
        <w:rPr>
          <w:rFonts w:ascii="Arial" w:hAnsi="Arial" w:cs="Arial"/>
          <w:sz w:val="20"/>
          <w:lang w:val="en-US"/>
        </w:rPr>
        <w:t xml:space="preserve"> Department of Psychosomatic Medicine and Psychotherapy, University Medical Center of the Johannes Gutenberg-University Mainz, Mainz, Germany;</w:t>
      </w:r>
    </w:p>
    <w:p w14:paraId="5470801A" w14:textId="77777777" w:rsidR="00C50ACB" w:rsidRPr="00E128FE" w:rsidRDefault="00C50ACB" w:rsidP="00C50ACB">
      <w:pPr>
        <w:spacing w:after="0" w:line="360" w:lineRule="auto"/>
        <w:rPr>
          <w:rFonts w:ascii="Arial" w:hAnsi="Arial" w:cs="Arial"/>
          <w:sz w:val="20"/>
          <w:lang w:val="en-US"/>
        </w:rPr>
      </w:pPr>
      <w:r w:rsidRPr="00E128FE">
        <w:rPr>
          <w:rFonts w:ascii="Arial" w:hAnsi="Arial" w:cs="Arial"/>
          <w:sz w:val="20"/>
          <w:vertAlign w:val="superscript"/>
          <w:lang w:val="en-US"/>
        </w:rPr>
        <w:t>5</w:t>
      </w:r>
      <w:r w:rsidRPr="00E128FE">
        <w:rPr>
          <w:rFonts w:ascii="Arial" w:hAnsi="Arial" w:cs="Arial"/>
          <w:sz w:val="20"/>
          <w:lang w:val="en-US"/>
        </w:rPr>
        <w:t xml:space="preserve"> Institute of Medical Biometry and Statistics, University of Freiburg, Freiburg, Germany;</w:t>
      </w:r>
    </w:p>
    <w:p w14:paraId="7AEF498C" w14:textId="77777777" w:rsidR="00C50ACB" w:rsidRPr="00E128FE" w:rsidRDefault="00C50ACB" w:rsidP="00C50ACB">
      <w:pPr>
        <w:spacing w:after="0" w:line="360" w:lineRule="auto"/>
        <w:rPr>
          <w:rFonts w:ascii="Arial" w:hAnsi="Arial" w:cs="Arial"/>
          <w:sz w:val="20"/>
          <w:lang w:val="en-US"/>
        </w:rPr>
      </w:pPr>
      <w:r w:rsidRPr="00E128FE">
        <w:rPr>
          <w:rFonts w:ascii="Arial" w:hAnsi="Arial" w:cs="Arial"/>
          <w:sz w:val="20"/>
          <w:vertAlign w:val="superscript"/>
          <w:lang w:val="en-US"/>
        </w:rPr>
        <w:t xml:space="preserve">6 </w:t>
      </w:r>
      <w:r w:rsidRPr="00E128FE">
        <w:rPr>
          <w:rFonts w:ascii="Arial" w:hAnsi="Arial" w:cs="Arial"/>
          <w:sz w:val="20"/>
          <w:lang w:val="en-US"/>
        </w:rPr>
        <w:t>University Heart and Vascular Center Hamburg, Department of Cardiology, Hamburg, Germany;</w:t>
      </w:r>
    </w:p>
    <w:p w14:paraId="48E57379" w14:textId="77777777" w:rsidR="00C50ACB" w:rsidRPr="00E128FE" w:rsidRDefault="00C50ACB" w:rsidP="00C50ACB">
      <w:pPr>
        <w:spacing w:after="0" w:line="360" w:lineRule="auto"/>
        <w:rPr>
          <w:rFonts w:ascii="Arial" w:hAnsi="Arial" w:cs="Arial"/>
          <w:sz w:val="20"/>
          <w:lang w:val="en-US"/>
        </w:rPr>
      </w:pPr>
      <w:r w:rsidRPr="00E128FE">
        <w:rPr>
          <w:rFonts w:ascii="Arial" w:hAnsi="Arial" w:cs="Arial"/>
          <w:sz w:val="20"/>
          <w:vertAlign w:val="superscript"/>
          <w:lang w:val="en-US"/>
        </w:rPr>
        <w:t>7</w:t>
      </w:r>
      <w:r w:rsidRPr="00E128FE">
        <w:rPr>
          <w:rFonts w:ascii="Arial" w:hAnsi="Arial" w:cs="Arial"/>
          <w:sz w:val="20"/>
          <w:lang w:val="en-US"/>
        </w:rPr>
        <w:t xml:space="preserve"> Institute for Clinical Chemistry and Laboratory Medicine, University Medical Center of the Johannes Gutenberg-University Mainz, Mainz, Germany;</w:t>
      </w:r>
    </w:p>
    <w:p w14:paraId="258BCD4A" w14:textId="77777777" w:rsidR="00C50ACB" w:rsidRPr="00E128FE" w:rsidRDefault="00C50ACB" w:rsidP="00C50ACB">
      <w:pPr>
        <w:spacing w:after="0" w:line="360" w:lineRule="auto"/>
        <w:rPr>
          <w:rFonts w:ascii="Arial" w:hAnsi="Arial" w:cs="Arial"/>
          <w:sz w:val="20"/>
          <w:lang w:val="en-US"/>
        </w:rPr>
      </w:pPr>
      <w:r w:rsidRPr="00E128FE">
        <w:rPr>
          <w:rFonts w:ascii="Arial" w:hAnsi="Arial" w:cs="Arial"/>
          <w:sz w:val="20"/>
          <w:vertAlign w:val="superscript"/>
          <w:lang w:val="en-US"/>
        </w:rPr>
        <w:t>8</w:t>
      </w:r>
      <w:r w:rsidRPr="00E128FE">
        <w:rPr>
          <w:rFonts w:ascii="Arial" w:hAnsi="Arial" w:cs="Arial"/>
          <w:sz w:val="20"/>
          <w:lang w:val="en-US"/>
        </w:rPr>
        <w:t xml:space="preserve"> Department of Cardiology, University Medical Center of the Johannes Gutenberg-University Mainz, Mainz, Germany;</w:t>
      </w:r>
    </w:p>
    <w:p w14:paraId="7F4F4BAC" w14:textId="77777777" w:rsidR="00C50ACB" w:rsidRPr="00E128FE" w:rsidRDefault="00C50ACB" w:rsidP="00C50ACB">
      <w:pPr>
        <w:spacing w:after="0" w:line="360" w:lineRule="auto"/>
        <w:rPr>
          <w:rFonts w:ascii="Arial" w:hAnsi="Arial" w:cs="Arial"/>
          <w:sz w:val="20"/>
          <w:lang w:val="en-US"/>
        </w:rPr>
      </w:pPr>
      <w:r w:rsidRPr="00E128FE">
        <w:rPr>
          <w:rFonts w:ascii="Arial" w:hAnsi="Arial" w:cs="Arial"/>
          <w:sz w:val="20"/>
          <w:vertAlign w:val="superscript"/>
          <w:lang w:val="en-US"/>
        </w:rPr>
        <w:t>9</w:t>
      </w:r>
      <w:r w:rsidRPr="00E128FE">
        <w:rPr>
          <w:rFonts w:ascii="Arial" w:hAnsi="Arial" w:cs="Arial"/>
          <w:sz w:val="20"/>
          <w:lang w:val="en-US"/>
        </w:rPr>
        <w:t xml:space="preserve"> Division of Cardiology, Department of Medicine, Northwestern University Feinberg School of Medicine, Chicago, IL, USA.</w:t>
      </w:r>
    </w:p>
    <w:p w14:paraId="2A99D037" w14:textId="77777777" w:rsidR="00EB04E5" w:rsidRPr="007F511B" w:rsidRDefault="00EB04E5" w:rsidP="00EB04E5">
      <w:pPr>
        <w:spacing w:after="0" w:line="360" w:lineRule="auto"/>
        <w:rPr>
          <w:rFonts w:ascii="Arial" w:hAnsi="Arial" w:cs="Arial"/>
          <w:sz w:val="20"/>
          <w:lang w:val="en-US"/>
        </w:rPr>
      </w:pPr>
      <w:r w:rsidRPr="002A1CE7">
        <w:rPr>
          <w:rFonts w:ascii="Arial" w:hAnsi="Arial" w:cs="Arial"/>
          <w:sz w:val="20"/>
          <w:vertAlign w:val="superscript"/>
          <w:lang w:val="en-US"/>
        </w:rPr>
        <w:t>10</w:t>
      </w:r>
      <w:r w:rsidRPr="002A1CE7">
        <w:rPr>
          <w:rFonts w:ascii="Arial" w:hAnsi="Arial" w:cs="Arial"/>
          <w:sz w:val="20"/>
          <w:lang w:val="en-US"/>
        </w:rPr>
        <w:t xml:space="preserve"> Systems Medicine, Institute for Molecular Biology (IMB), Mainz, Germany.</w:t>
      </w:r>
    </w:p>
    <w:p w14:paraId="201703BE" w14:textId="77777777" w:rsidR="00C50ACB" w:rsidRPr="00E128FE" w:rsidRDefault="00C50ACB" w:rsidP="00C50ACB">
      <w:pPr>
        <w:spacing w:after="0" w:line="360" w:lineRule="auto"/>
        <w:rPr>
          <w:rFonts w:ascii="Arial" w:hAnsi="Arial" w:cs="Arial"/>
          <w:b/>
          <w:lang w:val="en-US"/>
        </w:rPr>
      </w:pPr>
    </w:p>
    <w:p w14:paraId="407AAE11" w14:textId="77777777" w:rsidR="001C477C" w:rsidRDefault="001C477C">
      <w:pPr>
        <w:rPr>
          <w:rFonts w:ascii="Arial" w:hAnsi="Arial" w:cs="Arial"/>
          <w:b/>
          <w:lang w:val="en-US"/>
        </w:rPr>
      </w:pPr>
      <w:r>
        <w:rPr>
          <w:rFonts w:ascii="Arial" w:hAnsi="Arial" w:cs="Arial"/>
          <w:b/>
          <w:lang w:val="en-US"/>
        </w:rPr>
        <w:br w:type="page"/>
      </w:r>
    </w:p>
    <w:p w14:paraId="6A413887" w14:textId="75AB1CBE" w:rsidR="000965BC" w:rsidRPr="00E128FE" w:rsidRDefault="000F7600" w:rsidP="002270E9">
      <w:pPr>
        <w:spacing w:after="0" w:line="480" w:lineRule="auto"/>
        <w:rPr>
          <w:rFonts w:ascii="Arial" w:hAnsi="Arial" w:cs="Arial"/>
          <w:b/>
          <w:lang w:val="en-US"/>
        </w:rPr>
      </w:pPr>
      <w:r w:rsidRPr="00E128FE">
        <w:rPr>
          <w:rFonts w:ascii="Arial" w:hAnsi="Arial" w:cs="Arial"/>
          <w:b/>
          <w:lang w:val="en-US"/>
        </w:rPr>
        <w:t>Table of Contents</w:t>
      </w:r>
    </w:p>
    <w:p w14:paraId="7E14EDE9" w14:textId="5230EF67" w:rsidR="00BB26E8" w:rsidRPr="00E128FE" w:rsidRDefault="00BB26E8" w:rsidP="002270E9">
      <w:pPr>
        <w:spacing w:after="0" w:line="480" w:lineRule="auto"/>
        <w:rPr>
          <w:rFonts w:ascii="Arial" w:hAnsi="Arial" w:cs="Arial"/>
          <w:b/>
          <w:lang w:val="en-US"/>
        </w:rPr>
      </w:pPr>
    </w:p>
    <w:p w14:paraId="3D0F681A" w14:textId="2EDE915A" w:rsidR="00BB26E8" w:rsidRPr="00E128FE" w:rsidRDefault="00BB26E8" w:rsidP="002270E9">
      <w:pPr>
        <w:spacing w:after="0" w:line="480" w:lineRule="auto"/>
        <w:rPr>
          <w:rFonts w:ascii="Arial" w:hAnsi="Arial" w:cs="Arial"/>
          <w:b/>
          <w:lang w:val="en-US"/>
        </w:rPr>
      </w:pPr>
    </w:p>
    <w:p w14:paraId="3B9B018F" w14:textId="77777777" w:rsidR="000F7600" w:rsidRPr="00E128FE" w:rsidRDefault="003566C5" w:rsidP="00296E3A">
      <w:pPr>
        <w:spacing w:after="240" w:line="480" w:lineRule="auto"/>
        <w:jc w:val="right"/>
        <w:rPr>
          <w:rFonts w:ascii="Arial" w:hAnsi="Arial" w:cs="Arial"/>
          <w:lang w:val="en-US"/>
        </w:rPr>
      </w:pPr>
      <w:r w:rsidRPr="00E128FE">
        <w:rPr>
          <w:rFonts w:ascii="Arial" w:hAnsi="Arial" w:cs="Arial"/>
          <w:lang w:val="en-US"/>
        </w:rPr>
        <w:t>Page</w:t>
      </w:r>
    </w:p>
    <w:sdt>
      <w:sdtPr>
        <w:rPr>
          <w:rFonts w:ascii="Arial" w:hAnsi="Arial" w:cs="Arial"/>
        </w:rPr>
        <w:id w:val="1682616451"/>
        <w:docPartObj>
          <w:docPartGallery w:val="Table of Contents"/>
          <w:docPartUnique/>
        </w:docPartObj>
      </w:sdtPr>
      <w:sdtEndPr>
        <w:rPr>
          <w:b/>
          <w:bCs/>
        </w:rPr>
      </w:sdtEndPr>
      <w:sdtContent>
        <w:p w14:paraId="6FF24053" w14:textId="3A90C613" w:rsidR="00296E3A" w:rsidRPr="00E128FE" w:rsidRDefault="002270E9" w:rsidP="00296E3A">
          <w:pPr>
            <w:pStyle w:val="TOC1"/>
            <w:tabs>
              <w:tab w:val="right" w:leader="dot" w:pos="9062"/>
            </w:tabs>
            <w:spacing w:after="240"/>
            <w:rPr>
              <w:rFonts w:ascii="Arial" w:eastAsiaTheme="minorEastAsia" w:hAnsi="Arial" w:cs="Arial"/>
              <w:noProof/>
              <w:lang w:eastAsia="de-DE"/>
            </w:rPr>
          </w:pPr>
          <w:r w:rsidRPr="00E128FE">
            <w:rPr>
              <w:rFonts w:ascii="Arial" w:hAnsi="Arial" w:cs="Arial"/>
            </w:rPr>
            <w:fldChar w:fldCharType="begin"/>
          </w:r>
          <w:r w:rsidRPr="00E128FE">
            <w:rPr>
              <w:rFonts w:ascii="Arial" w:hAnsi="Arial" w:cs="Arial"/>
            </w:rPr>
            <w:instrText xml:space="preserve"> TOC \o "1-3" \h \z \u </w:instrText>
          </w:r>
          <w:r w:rsidRPr="00E128FE">
            <w:rPr>
              <w:rFonts w:ascii="Arial" w:hAnsi="Arial" w:cs="Arial"/>
            </w:rPr>
            <w:fldChar w:fldCharType="separate"/>
          </w:r>
          <w:hyperlink w:anchor="_Toc66278936" w:history="1">
            <w:r w:rsidR="00296E3A" w:rsidRPr="00E128FE">
              <w:rPr>
                <w:rStyle w:val="Hyperlink"/>
                <w:rFonts w:ascii="Arial" w:hAnsi="Arial" w:cs="Arial"/>
                <w:b/>
                <w:noProof/>
                <w:lang w:val="en-US"/>
              </w:rPr>
              <w:t>Supplemental methods.</w:t>
            </w:r>
            <w:r w:rsidR="00296E3A" w:rsidRPr="00E128FE">
              <w:rPr>
                <w:rFonts w:ascii="Arial" w:hAnsi="Arial" w:cs="Arial"/>
                <w:noProof/>
                <w:webHidden/>
              </w:rPr>
              <w:tab/>
            </w:r>
            <w:r w:rsidR="00296E3A" w:rsidRPr="00E128FE">
              <w:rPr>
                <w:rFonts w:ascii="Arial" w:hAnsi="Arial" w:cs="Arial"/>
                <w:noProof/>
                <w:webHidden/>
              </w:rPr>
              <w:fldChar w:fldCharType="begin"/>
            </w:r>
            <w:r w:rsidR="00296E3A" w:rsidRPr="00E128FE">
              <w:rPr>
                <w:rFonts w:ascii="Arial" w:hAnsi="Arial" w:cs="Arial"/>
                <w:noProof/>
                <w:webHidden/>
              </w:rPr>
              <w:instrText xml:space="preserve"> PAGEREF _Toc66278936 \h </w:instrText>
            </w:r>
            <w:r w:rsidR="00296E3A" w:rsidRPr="00E128FE">
              <w:rPr>
                <w:rFonts w:ascii="Arial" w:hAnsi="Arial" w:cs="Arial"/>
                <w:noProof/>
                <w:webHidden/>
              </w:rPr>
            </w:r>
            <w:r w:rsidR="00296E3A" w:rsidRPr="00E128FE">
              <w:rPr>
                <w:rFonts w:ascii="Arial" w:hAnsi="Arial" w:cs="Arial"/>
                <w:noProof/>
                <w:webHidden/>
              </w:rPr>
              <w:fldChar w:fldCharType="separate"/>
            </w:r>
            <w:r w:rsidR="00296E3A" w:rsidRPr="00E128FE">
              <w:rPr>
                <w:rFonts w:ascii="Arial" w:hAnsi="Arial" w:cs="Arial"/>
                <w:noProof/>
                <w:webHidden/>
              </w:rPr>
              <w:t>3</w:t>
            </w:r>
            <w:r w:rsidR="00296E3A" w:rsidRPr="00E128FE">
              <w:rPr>
                <w:rFonts w:ascii="Arial" w:hAnsi="Arial" w:cs="Arial"/>
                <w:noProof/>
                <w:webHidden/>
              </w:rPr>
              <w:fldChar w:fldCharType="end"/>
            </w:r>
          </w:hyperlink>
        </w:p>
        <w:p w14:paraId="3B9A95C1" w14:textId="7756AA0E" w:rsidR="00296E3A" w:rsidRPr="00E128FE" w:rsidRDefault="00FF0A6B" w:rsidP="00296E3A">
          <w:pPr>
            <w:pStyle w:val="TOC1"/>
            <w:tabs>
              <w:tab w:val="right" w:leader="dot" w:pos="9062"/>
            </w:tabs>
            <w:spacing w:after="240"/>
            <w:rPr>
              <w:rFonts w:ascii="Arial" w:eastAsiaTheme="minorEastAsia" w:hAnsi="Arial" w:cs="Arial"/>
              <w:noProof/>
              <w:lang w:eastAsia="de-DE"/>
            </w:rPr>
          </w:pPr>
          <w:hyperlink w:anchor="_Toc66278937" w:history="1">
            <w:r w:rsidR="00296E3A" w:rsidRPr="00E128FE">
              <w:rPr>
                <w:rStyle w:val="Hyperlink"/>
                <w:rFonts w:ascii="Arial" w:hAnsi="Arial" w:cs="Arial"/>
                <w:b/>
                <w:noProof/>
                <w:lang w:val="en-US"/>
              </w:rPr>
              <w:t xml:space="preserve">Supplemental Table 1. </w:t>
            </w:r>
            <w:r w:rsidR="00296E3A" w:rsidRPr="00E128FE">
              <w:rPr>
                <w:rStyle w:val="Hyperlink"/>
                <w:rFonts w:ascii="Arial" w:hAnsi="Arial" w:cs="Arial"/>
                <w:noProof/>
                <w:lang w:val="en-US"/>
              </w:rPr>
              <w:t>Distribution of laboratory biomarkers and medication in the analysis sample by intervention group.</w:t>
            </w:r>
            <w:r w:rsidR="00296E3A" w:rsidRPr="00E128FE">
              <w:rPr>
                <w:rFonts w:ascii="Arial" w:hAnsi="Arial" w:cs="Arial"/>
                <w:noProof/>
                <w:webHidden/>
              </w:rPr>
              <w:tab/>
            </w:r>
            <w:r w:rsidR="00296E3A" w:rsidRPr="00E128FE">
              <w:rPr>
                <w:rFonts w:ascii="Arial" w:hAnsi="Arial" w:cs="Arial"/>
                <w:noProof/>
                <w:webHidden/>
              </w:rPr>
              <w:fldChar w:fldCharType="begin"/>
            </w:r>
            <w:r w:rsidR="00296E3A" w:rsidRPr="00E128FE">
              <w:rPr>
                <w:rFonts w:ascii="Arial" w:hAnsi="Arial" w:cs="Arial"/>
                <w:noProof/>
                <w:webHidden/>
              </w:rPr>
              <w:instrText xml:space="preserve"> PAGEREF _Toc66278937 \h </w:instrText>
            </w:r>
            <w:r w:rsidR="00296E3A" w:rsidRPr="00E128FE">
              <w:rPr>
                <w:rFonts w:ascii="Arial" w:hAnsi="Arial" w:cs="Arial"/>
                <w:noProof/>
                <w:webHidden/>
              </w:rPr>
            </w:r>
            <w:r w:rsidR="00296E3A" w:rsidRPr="00E128FE">
              <w:rPr>
                <w:rFonts w:ascii="Arial" w:hAnsi="Arial" w:cs="Arial"/>
                <w:noProof/>
                <w:webHidden/>
              </w:rPr>
              <w:fldChar w:fldCharType="separate"/>
            </w:r>
            <w:r w:rsidR="00296E3A" w:rsidRPr="00E128FE">
              <w:rPr>
                <w:rFonts w:ascii="Arial" w:hAnsi="Arial" w:cs="Arial"/>
                <w:noProof/>
                <w:webHidden/>
              </w:rPr>
              <w:t>5</w:t>
            </w:r>
            <w:r w:rsidR="00296E3A" w:rsidRPr="00E128FE">
              <w:rPr>
                <w:rFonts w:ascii="Arial" w:hAnsi="Arial" w:cs="Arial"/>
                <w:noProof/>
                <w:webHidden/>
              </w:rPr>
              <w:fldChar w:fldCharType="end"/>
            </w:r>
          </w:hyperlink>
        </w:p>
        <w:p w14:paraId="346FF2A4" w14:textId="6B0836E7" w:rsidR="00296E3A" w:rsidRPr="00E128FE" w:rsidRDefault="00FF0A6B" w:rsidP="00296E3A">
          <w:pPr>
            <w:pStyle w:val="TOC1"/>
            <w:tabs>
              <w:tab w:val="right" w:leader="dot" w:pos="9062"/>
            </w:tabs>
            <w:spacing w:after="240"/>
            <w:rPr>
              <w:rFonts w:ascii="Arial" w:eastAsiaTheme="minorEastAsia" w:hAnsi="Arial" w:cs="Arial"/>
              <w:noProof/>
              <w:lang w:eastAsia="de-DE"/>
            </w:rPr>
          </w:pPr>
          <w:hyperlink w:anchor="_Toc66278938" w:history="1">
            <w:r w:rsidR="00296E3A" w:rsidRPr="00E128FE">
              <w:rPr>
                <w:rStyle w:val="Hyperlink"/>
                <w:rFonts w:ascii="Arial" w:hAnsi="Arial" w:cs="Arial"/>
                <w:b/>
                <w:noProof/>
                <w:lang w:val="en-US"/>
              </w:rPr>
              <w:t xml:space="preserve">Supplemental Table 2. </w:t>
            </w:r>
            <w:r w:rsidR="00296E3A" w:rsidRPr="00E128FE">
              <w:rPr>
                <w:rStyle w:val="Hyperlink"/>
                <w:rFonts w:ascii="Arial" w:hAnsi="Arial" w:cs="Arial"/>
                <w:noProof/>
                <w:lang w:val="en-US"/>
              </w:rPr>
              <w:t>Baseline characteristics of the per-protocol sample.</w:t>
            </w:r>
            <w:r w:rsidR="00296E3A" w:rsidRPr="00E128FE">
              <w:rPr>
                <w:rFonts w:ascii="Arial" w:hAnsi="Arial" w:cs="Arial"/>
                <w:noProof/>
                <w:webHidden/>
              </w:rPr>
              <w:tab/>
            </w:r>
            <w:r w:rsidR="00296E3A" w:rsidRPr="00E128FE">
              <w:rPr>
                <w:rFonts w:ascii="Arial" w:hAnsi="Arial" w:cs="Arial"/>
                <w:noProof/>
                <w:webHidden/>
              </w:rPr>
              <w:fldChar w:fldCharType="begin"/>
            </w:r>
            <w:r w:rsidR="00296E3A" w:rsidRPr="00E128FE">
              <w:rPr>
                <w:rFonts w:ascii="Arial" w:hAnsi="Arial" w:cs="Arial"/>
                <w:noProof/>
                <w:webHidden/>
              </w:rPr>
              <w:instrText xml:space="preserve"> PAGEREF _Toc66278938 \h </w:instrText>
            </w:r>
            <w:r w:rsidR="00296E3A" w:rsidRPr="00E128FE">
              <w:rPr>
                <w:rFonts w:ascii="Arial" w:hAnsi="Arial" w:cs="Arial"/>
                <w:noProof/>
                <w:webHidden/>
              </w:rPr>
            </w:r>
            <w:r w:rsidR="00296E3A" w:rsidRPr="00E128FE">
              <w:rPr>
                <w:rFonts w:ascii="Arial" w:hAnsi="Arial" w:cs="Arial"/>
                <w:noProof/>
                <w:webHidden/>
              </w:rPr>
              <w:fldChar w:fldCharType="separate"/>
            </w:r>
            <w:r w:rsidR="00296E3A" w:rsidRPr="00E128FE">
              <w:rPr>
                <w:rFonts w:ascii="Arial" w:hAnsi="Arial" w:cs="Arial"/>
                <w:noProof/>
                <w:webHidden/>
              </w:rPr>
              <w:t>7</w:t>
            </w:r>
            <w:r w:rsidR="00296E3A" w:rsidRPr="00E128FE">
              <w:rPr>
                <w:rFonts w:ascii="Arial" w:hAnsi="Arial" w:cs="Arial"/>
                <w:noProof/>
                <w:webHidden/>
              </w:rPr>
              <w:fldChar w:fldCharType="end"/>
            </w:r>
          </w:hyperlink>
        </w:p>
        <w:p w14:paraId="45BC5C23" w14:textId="77C071D2" w:rsidR="00296E3A" w:rsidRPr="00E128FE" w:rsidRDefault="00FF0A6B" w:rsidP="00296E3A">
          <w:pPr>
            <w:pStyle w:val="TOC1"/>
            <w:tabs>
              <w:tab w:val="right" w:leader="dot" w:pos="9062"/>
            </w:tabs>
            <w:spacing w:after="240"/>
            <w:rPr>
              <w:rFonts w:ascii="Arial" w:eastAsiaTheme="minorEastAsia" w:hAnsi="Arial" w:cs="Arial"/>
              <w:noProof/>
              <w:lang w:eastAsia="de-DE"/>
            </w:rPr>
          </w:pPr>
          <w:hyperlink w:anchor="_Toc66278939" w:history="1">
            <w:r w:rsidR="00296E3A" w:rsidRPr="00E128FE">
              <w:rPr>
                <w:rStyle w:val="Hyperlink"/>
                <w:rFonts w:ascii="Arial" w:hAnsi="Arial" w:cs="Arial"/>
                <w:b/>
                <w:noProof/>
                <w:lang w:val="en-US"/>
              </w:rPr>
              <w:t xml:space="preserve">Supplemental Figure 1. </w:t>
            </w:r>
            <w:r w:rsidR="00296E3A" w:rsidRPr="00E128FE">
              <w:rPr>
                <w:rStyle w:val="Hyperlink"/>
                <w:rFonts w:ascii="Arial" w:hAnsi="Arial" w:cs="Arial"/>
                <w:noProof/>
                <w:lang w:val="en-US"/>
              </w:rPr>
              <w:t>Consort Flow Diagram.</w:t>
            </w:r>
            <w:r w:rsidR="00296E3A" w:rsidRPr="00E128FE">
              <w:rPr>
                <w:rFonts w:ascii="Arial" w:hAnsi="Arial" w:cs="Arial"/>
                <w:noProof/>
                <w:webHidden/>
              </w:rPr>
              <w:tab/>
            </w:r>
            <w:r w:rsidR="00296E3A" w:rsidRPr="00E128FE">
              <w:rPr>
                <w:rFonts w:ascii="Arial" w:hAnsi="Arial" w:cs="Arial"/>
                <w:noProof/>
                <w:webHidden/>
              </w:rPr>
              <w:fldChar w:fldCharType="begin"/>
            </w:r>
            <w:r w:rsidR="00296E3A" w:rsidRPr="00E128FE">
              <w:rPr>
                <w:rFonts w:ascii="Arial" w:hAnsi="Arial" w:cs="Arial"/>
                <w:noProof/>
                <w:webHidden/>
              </w:rPr>
              <w:instrText xml:space="preserve"> PAGEREF _Toc66278939 \h </w:instrText>
            </w:r>
            <w:r w:rsidR="00296E3A" w:rsidRPr="00E128FE">
              <w:rPr>
                <w:rFonts w:ascii="Arial" w:hAnsi="Arial" w:cs="Arial"/>
                <w:noProof/>
                <w:webHidden/>
              </w:rPr>
            </w:r>
            <w:r w:rsidR="00296E3A" w:rsidRPr="00E128FE">
              <w:rPr>
                <w:rFonts w:ascii="Arial" w:hAnsi="Arial" w:cs="Arial"/>
                <w:noProof/>
                <w:webHidden/>
              </w:rPr>
              <w:fldChar w:fldCharType="separate"/>
            </w:r>
            <w:r w:rsidR="00296E3A" w:rsidRPr="00E128FE">
              <w:rPr>
                <w:rFonts w:ascii="Arial" w:hAnsi="Arial" w:cs="Arial"/>
                <w:noProof/>
                <w:webHidden/>
              </w:rPr>
              <w:t>8</w:t>
            </w:r>
            <w:r w:rsidR="00296E3A" w:rsidRPr="00E128FE">
              <w:rPr>
                <w:rFonts w:ascii="Arial" w:hAnsi="Arial" w:cs="Arial"/>
                <w:noProof/>
                <w:webHidden/>
              </w:rPr>
              <w:fldChar w:fldCharType="end"/>
            </w:r>
          </w:hyperlink>
        </w:p>
        <w:p w14:paraId="66278D65" w14:textId="4CF9E6DD" w:rsidR="00296E3A" w:rsidRPr="00E128FE" w:rsidRDefault="00FF0A6B" w:rsidP="00296E3A">
          <w:pPr>
            <w:pStyle w:val="TOC1"/>
            <w:tabs>
              <w:tab w:val="right" w:leader="dot" w:pos="9062"/>
            </w:tabs>
            <w:spacing w:after="240"/>
            <w:rPr>
              <w:rFonts w:ascii="Arial" w:eastAsiaTheme="minorEastAsia" w:hAnsi="Arial" w:cs="Arial"/>
              <w:noProof/>
              <w:lang w:eastAsia="de-DE"/>
            </w:rPr>
          </w:pPr>
          <w:hyperlink w:anchor="_Toc66278940" w:history="1">
            <w:r w:rsidR="00296E3A" w:rsidRPr="00E128FE">
              <w:rPr>
                <w:rStyle w:val="Hyperlink"/>
                <w:rFonts w:ascii="Arial" w:hAnsi="Arial" w:cs="Arial"/>
                <w:b/>
                <w:noProof/>
                <w:lang w:val="en-US"/>
              </w:rPr>
              <w:t xml:space="preserve">Supplemental Figure 2. </w:t>
            </w:r>
            <w:r w:rsidR="00296E3A" w:rsidRPr="00E128FE">
              <w:rPr>
                <w:rStyle w:val="Hyperlink"/>
                <w:rFonts w:ascii="Arial" w:hAnsi="Arial" w:cs="Arial"/>
                <w:noProof/>
                <w:lang w:val="en-US"/>
              </w:rPr>
              <w:t>Effect of empagliflozin (10mg/day) versus placebo on E/</w:t>
            </w:r>
            <w:r w:rsidR="00037442" w:rsidRPr="00E128FE">
              <w:rPr>
                <w:rStyle w:val="Hyperlink"/>
                <w:rFonts w:ascii="Arial" w:hAnsi="Arial" w:cs="Arial"/>
                <w:noProof/>
                <w:lang w:val="en-US"/>
              </w:rPr>
              <w:t>e</w:t>
            </w:r>
            <w:r w:rsidR="00296E3A" w:rsidRPr="00E128FE">
              <w:rPr>
                <w:rStyle w:val="Hyperlink"/>
                <w:rFonts w:ascii="Arial" w:hAnsi="Arial" w:cs="Arial"/>
                <w:noProof/>
                <w:lang w:val="en-US"/>
              </w:rPr>
              <w:t>´ ratio after 1 and 12 weeks of intervention in the per-protocol sample.</w:t>
            </w:r>
            <w:r w:rsidR="00296E3A" w:rsidRPr="00E128FE">
              <w:rPr>
                <w:rFonts w:ascii="Arial" w:hAnsi="Arial" w:cs="Arial"/>
                <w:noProof/>
                <w:webHidden/>
              </w:rPr>
              <w:tab/>
            </w:r>
            <w:r w:rsidR="00296E3A" w:rsidRPr="00E128FE">
              <w:rPr>
                <w:rFonts w:ascii="Arial" w:hAnsi="Arial" w:cs="Arial"/>
                <w:noProof/>
                <w:webHidden/>
              </w:rPr>
              <w:fldChar w:fldCharType="begin"/>
            </w:r>
            <w:r w:rsidR="00296E3A" w:rsidRPr="00E128FE">
              <w:rPr>
                <w:rFonts w:ascii="Arial" w:hAnsi="Arial" w:cs="Arial"/>
                <w:noProof/>
                <w:webHidden/>
              </w:rPr>
              <w:instrText xml:space="preserve"> PAGEREF _Toc66278940 \h </w:instrText>
            </w:r>
            <w:r w:rsidR="00296E3A" w:rsidRPr="00E128FE">
              <w:rPr>
                <w:rFonts w:ascii="Arial" w:hAnsi="Arial" w:cs="Arial"/>
                <w:noProof/>
                <w:webHidden/>
              </w:rPr>
            </w:r>
            <w:r w:rsidR="00296E3A" w:rsidRPr="00E128FE">
              <w:rPr>
                <w:rFonts w:ascii="Arial" w:hAnsi="Arial" w:cs="Arial"/>
                <w:noProof/>
                <w:webHidden/>
              </w:rPr>
              <w:fldChar w:fldCharType="separate"/>
            </w:r>
            <w:r w:rsidR="00296E3A" w:rsidRPr="00E128FE">
              <w:rPr>
                <w:rFonts w:ascii="Arial" w:hAnsi="Arial" w:cs="Arial"/>
                <w:noProof/>
                <w:webHidden/>
              </w:rPr>
              <w:t>9</w:t>
            </w:r>
            <w:r w:rsidR="00296E3A" w:rsidRPr="00E128FE">
              <w:rPr>
                <w:rFonts w:ascii="Arial" w:hAnsi="Arial" w:cs="Arial"/>
                <w:noProof/>
                <w:webHidden/>
              </w:rPr>
              <w:fldChar w:fldCharType="end"/>
            </w:r>
          </w:hyperlink>
        </w:p>
        <w:p w14:paraId="683336DE" w14:textId="199478FD" w:rsidR="002270E9" w:rsidRPr="00E128FE" w:rsidRDefault="002270E9" w:rsidP="00296E3A">
          <w:pPr>
            <w:spacing w:after="240" w:line="480" w:lineRule="auto"/>
            <w:rPr>
              <w:rFonts w:ascii="Arial" w:hAnsi="Arial" w:cs="Arial"/>
            </w:rPr>
          </w:pPr>
          <w:r w:rsidRPr="00E128FE">
            <w:rPr>
              <w:rFonts w:ascii="Arial" w:hAnsi="Arial" w:cs="Arial"/>
              <w:b/>
              <w:bCs/>
            </w:rPr>
            <w:fldChar w:fldCharType="end"/>
          </w:r>
        </w:p>
      </w:sdtContent>
    </w:sdt>
    <w:p w14:paraId="0FCCD8AA" w14:textId="77777777" w:rsidR="000965BC" w:rsidRPr="00E128FE" w:rsidRDefault="000965BC">
      <w:pPr>
        <w:rPr>
          <w:rFonts w:ascii="Arial" w:hAnsi="Arial" w:cs="Arial"/>
          <w:lang w:val="en-US"/>
        </w:rPr>
      </w:pPr>
      <w:r w:rsidRPr="00E128FE">
        <w:rPr>
          <w:rFonts w:ascii="Arial" w:hAnsi="Arial" w:cs="Arial"/>
          <w:lang w:val="en-US"/>
        </w:rPr>
        <w:br w:type="page"/>
      </w:r>
    </w:p>
    <w:p w14:paraId="40A0A875" w14:textId="77777777" w:rsidR="00833E89" w:rsidRPr="00E128FE" w:rsidRDefault="00833E89" w:rsidP="002270E9">
      <w:pPr>
        <w:pStyle w:val="Heading1"/>
        <w:spacing w:before="0" w:line="480" w:lineRule="auto"/>
        <w:rPr>
          <w:rFonts w:ascii="Arial" w:hAnsi="Arial" w:cs="Arial"/>
          <w:b/>
          <w:color w:val="auto"/>
          <w:sz w:val="22"/>
          <w:szCs w:val="22"/>
          <w:lang w:val="en-US"/>
        </w:rPr>
      </w:pPr>
      <w:bookmarkStart w:id="0" w:name="_Toc66278936"/>
      <w:r w:rsidRPr="00E128FE">
        <w:rPr>
          <w:rFonts w:ascii="Arial" w:hAnsi="Arial" w:cs="Arial"/>
          <w:b/>
          <w:color w:val="auto"/>
          <w:sz w:val="22"/>
          <w:szCs w:val="22"/>
          <w:lang w:val="en-US"/>
        </w:rPr>
        <w:t>Supplemental methods.</w:t>
      </w:r>
      <w:bookmarkEnd w:id="0"/>
    </w:p>
    <w:p w14:paraId="77837171" w14:textId="77777777" w:rsidR="003B0319" w:rsidRPr="00E128FE" w:rsidRDefault="003B0319" w:rsidP="00833E89">
      <w:pPr>
        <w:spacing w:after="0" w:line="480" w:lineRule="auto"/>
        <w:rPr>
          <w:rFonts w:ascii="Arial" w:hAnsi="Arial" w:cs="Arial"/>
          <w:i/>
          <w:lang w:val="en-US"/>
        </w:rPr>
      </w:pPr>
    </w:p>
    <w:p w14:paraId="5C308442" w14:textId="5E68A3F4" w:rsidR="00AF14FF" w:rsidRPr="00E128FE" w:rsidRDefault="00AF14FF" w:rsidP="00833E89">
      <w:pPr>
        <w:spacing w:after="0" w:line="480" w:lineRule="auto"/>
        <w:rPr>
          <w:rFonts w:ascii="Arial" w:hAnsi="Arial" w:cs="Arial"/>
          <w:i/>
          <w:lang w:val="en-US"/>
        </w:rPr>
      </w:pPr>
      <w:r w:rsidRPr="00E128FE">
        <w:rPr>
          <w:rFonts w:ascii="Arial" w:hAnsi="Arial" w:cs="Arial"/>
          <w:i/>
          <w:lang w:val="en-US"/>
        </w:rPr>
        <w:t>Inclusion and exclusion criteria of the EmDia study</w:t>
      </w:r>
    </w:p>
    <w:p w14:paraId="4B397227" w14:textId="2EF75F8E" w:rsidR="00AF14FF" w:rsidRPr="00E128FE" w:rsidRDefault="00AF14FF" w:rsidP="00AF14FF">
      <w:pPr>
        <w:spacing w:after="0" w:line="480" w:lineRule="auto"/>
        <w:rPr>
          <w:rFonts w:ascii="Arial" w:hAnsi="Arial" w:cs="Arial"/>
          <w:lang w:val="en-US"/>
        </w:rPr>
      </w:pPr>
      <w:r w:rsidRPr="00E128FE">
        <w:rPr>
          <w:rFonts w:ascii="Arial" w:hAnsi="Arial" w:cs="Arial"/>
          <w:u w:val="single"/>
          <w:lang w:val="en-US"/>
        </w:rPr>
        <w:t>Key inclusion criteria</w:t>
      </w:r>
    </w:p>
    <w:p w14:paraId="75DD0C92"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 xml:space="preserve">Diagnosis of type 2-diabetes mellitus with stable glucose-lowering background therapy and/or dietetic treatment for at least 12 weeks </w:t>
      </w:r>
    </w:p>
    <w:p w14:paraId="3C38250A"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In subjects without glucose-lowering background therapy: the application of Metformin was considered to be unsuitable due to drug intolerance</w:t>
      </w:r>
    </w:p>
    <w:p w14:paraId="50F1CEF8"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 xml:space="preserve">HbA1c level of ≥6.5% and ≤10.0% for subjects on antidiabetic background therapy or HbA1c level of ≥6.5% and ≤9.0% for drug-naïve subjects with dietetic treatment </w:t>
      </w:r>
    </w:p>
    <w:p w14:paraId="679DCDDE"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Diastolic cardiac dysfunction E/E’ ≥8</w:t>
      </w:r>
    </w:p>
    <w:p w14:paraId="2BEFAC52"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Age 18 – 84 years</w:t>
      </w:r>
    </w:p>
    <w:p w14:paraId="24B28422"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Body Mass Index ≤ 45 kg/m²</w:t>
      </w:r>
    </w:p>
    <w:p w14:paraId="6F83C49F" w14:textId="3005F985" w:rsidR="00AF14FF" w:rsidRPr="00E128FE" w:rsidRDefault="002525C3" w:rsidP="00AF14FF">
      <w:pPr>
        <w:spacing w:after="0" w:line="480" w:lineRule="auto"/>
        <w:rPr>
          <w:rFonts w:ascii="Arial" w:hAnsi="Arial" w:cs="Arial"/>
          <w:lang w:val="en-US"/>
        </w:rPr>
      </w:pPr>
      <w:r w:rsidRPr="00E128FE">
        <w:rPr>
          <w:rFonts w:ascii="Arial" w:hAnsi="Arial" w:cs="Arial"/>
          <w:i/>
          <w:lang w:val="en-US"/>
        </w:rPr>
        <w:t xml:space="preserve">Note: </w:t>
      </w:r>
      <w:r w:rsidRPr="00E128FE">
        <w:rPr>
          <w:rFonts w:ascii="Arial" w:hAnsi="Arial" w:cs="Arial"/>
          <w:lang w:val="en-US"/>
        </w:rPr>
        <w:t>During the conduct of the study, the threshold of HbA1c was changed from 7.0% to 6.5%. Therefore, analysis of the subgroup of individuals with a baseline value of HbA1c of ≥6.5% to 7.0% was introduced as additional secondary endpoint to the study protocol.</w:t>
      </w:r>
    </w:p>
    <w:p w14:paraId="66B0789C" w14:textId="77777777" w:rsidR="002525C3" w:rsidRPr="00E128FE" w:rsidRDefault="002525C3" w:rsidP="00AF14FF">
      <w:pPr>
        <w:spacing w:after="0" w:line="480" w:lineRule="auto"/>
        <w:rPr>
          <w:rFonts w:ascii="Arial" w:hAnsi="Arial" w:cs="Arial"/>
          <w:i/>
          <w:lang w:val="en-US"/>
        </w:rPr>
      </w:pPr>
    </w:p>
    <w:p w14:paraId="2D1AF169" w14:textId="77777777" w:rsidR="00AF14FF" w:rsidRPr="00E128FE" w:rsidRDefault="00AF14FF" w:rsidP="00AF14FF">
      <w:pPr>
        <w:spacing w:after="0" w:line="480" w:lineRule="auto"/>
        <w:rPr>
          <w:rFonts w:ascii="Arial" w:hAnsi="Arial" w:cs="Arial"/>
          <w:u w:val="single"/>
          <w:lang w:val="en-US"/>
        </w:rPr>
      </w:pPr>
      <w:r w:rsidRPr="00E128FE">
        <w:rPr>
          <w:rFonts w:ascii="Arial" w:hAnsi="Arial" w:cs="Arial"/>
          <w:u w:val="single"/>
          <w:lang w:val="en-US"/>
        </w:rPr>
        <w:t>Key exclusion criteria</w:t>
      </w:r>
    </w:p>
    <w:p w14:paraId="7DAC277A"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Pretreatment with empagliflozin or other SGLT2 inhibitor within the last 3 months</w:t>
      </w:r>
    </w:p>
    <w:p w14:paraId="50736775"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Impaired renal function, defined as eGFR &lt;45 ml/min/1.73 m² of body-surface-area or end-stage renal failure or dialysis</w:t>
      </w:r>
    </w:p>
    <w:p w14:paraId="7654E252"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Pretreatment with known inducers of UGT enzymes</w:t>
      </w:r>
    </w:p>
    <w:p w14:paraId="317B566E"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Uncontrolled hyperglycemia with a glucose level &gt; 240 mg/dl (&gt;13.3 mmol/L) after an overnight fast</w:t>
      </w:r>
    </w:p>
    <w:p w14:paraId="63AF9080"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Severe hepatic dysfunction, defined by serum levels of either SGPT, SGOT, or alkaline phosphatase above 3 x upper limit of normal</w:t>
      </w:r>
    </w:p>
    <w:p w14:paraId="614776D5"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Acute urinary tract infection</w:t>
      </w:r>
    </w:p>
    <w:p w14:paraId="0DA6BEA5"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Known acute genital infection</w:t>
      </w:r>
    </w:p>
    <w:p w14:paraId="50EC7DAE"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Symptomatic hypotension</w:t>
      </w:r>
    </w:p>
    <w:p w14:paraId="1B9E6FD4"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Hematocrit above the upper limit of the reference range</w:t>
      </w:r>
    </w:p>
    <w:p w14:paraId="2834D5E8"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Hypoglycemic tendencies</w:t>
      </w:r>
    </w:p>
    <w:p w14:paraId="0DFF0079"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Severe PAD (Fontaine classification Stage IIb - IV)</w:t>
      </w:r>
    </w:p>
    <w:p w14:paraId="0AC1D79C"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Medical history of cancer and/or treatment for cancer within the last 5 years (subjects with basalioma can be included in the study)</w:t>
      </w:r>
    </w:p>
    <w:p w14:paraId="4979313F"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Medical history of pancreatitis or surgery on pancreas</w:t>
      </w:r>
    </w:p>
    <w:p w14:paraId="496312DB"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Known ketoacidosis (in the past)</w:t>
      </w:r>
    </w:p>
    <w:p w14:paraId="78D734A5"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 xml:space="preserve">NYHA classification III – IV </w:t>
      </w:r>
    </w:p>
    <w:p w14:paraId="730B9D04" w14:textId="77777777"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 xml:space="preserve">Acute coronary syndrome, stroke or TIA within the last 2 months </w:t>
      </w:r>
    </w:p>
    <w:p w14:paraId="6E891101" w14:textId="1F93A50E" w:rsidR="00AF14FF" w:rsidRPr="00E128FE" w:rsidRDefault="00AF14FF" w:rsidP="00AF14FF">
      <w:pPr>
        <w:spacing w:after="0" w:line="480" w:lineRule="auto"/>
        <w:ind w:left="567" w:hanging="567"/>
        <w:rPr>
          <w:rFonts w:ascii="Arial" w:hAnsi="Arial" w:cs="Arial"/>
          <w:lang w:val="en-US"/>
        </w:rPr>
      </w:pPr>
      <w:r w:rsidRPr="00E128FE">
        <w:rPr>
          <w:rFonts w:ascii="Arial" w:hAnsi="Arial" w:cs="Arial"/>
          <w:lang w:val="en-US"/>
        </w:rPr>
        <w:t>•</w:t>
      </w:r>
      <w:r w:rsidRPr="00E128FE">
        <w:rPr>
          <w:rFonts w:ascii="Arial" w:hAnsi="Arial" w:cs="Arial"/>
          <w:lang w:val="en-US"/>
        </w:rPr>
        <w:tab/>
        <w:t>Planned cardiac surgery or angioplasty within 3 months</w:t>
      </w:r>
    </w:p>
    <w:p w14:paraId="54296922" w14:textId="6B8B1264" w:rsidR="002525C3" w:rsidRPr="00E128FE" w:rsidRDefault="002525C3" w:rsidP="002525C3">
      <w:pPr>
        <w:spacing w:after="0" w:line="480" w:lineRule="auto"/>
        <w:rPr>
          <w:rFonts w:ascii="Arial" w:hAnsi="Arial" w:cs="Arial"/>
          <w:lang w:val="en-US"/>
        </w:rPr>
      </w:pPr>
      <w:r w:rsidRPr="00E128FE">
        <w:rPr>
          <w:rFonts w:ascii="Arial" w:hAnsi="Arial" w:cs="Arial"/>
          <w:i/>
          <w:lang w:val="en-US"/>
        </w:rPr>
        <w:t xml:space="preserve">Note: </w:t>
      </w:r>
      <w:r w:rsidRPr="00E128FE">
        <w:rPr>
          <w:rFonts w:ascii="Arial" w:hAnsi="Arial" w:cs="Arial"/>
          <w:lang w:val="en-US"/>
        </w:rPr>
        <w:t>During the conduct of the study, the threshold of eGFR was changed from &lt;60 ml/min/1.73 m² to &lt;45 ml/min/1.73 m². Therefore, analysis of the subgroup of individuals with a baseline value of eGFR from 45 to 60 ml/min/1.73m² was introduced as additional secondary endpoint to the study protocol.</w:t>
      </w:r>
    </w:p>
    <w:p w14:paraId="28BBA338" w14:textId="77777777" w:rsidR="00AF14FF" w:rsidRPr="00E128FE" w:rsidRDefault="00AF14FF" w:rsidP="00833E89">
      <w:pPr>
        <w:spacing w:after="0" w:line="480" w:lineRule="auto"/>
        <w:rPr>
          <w:rFonts w:ascii="Arial" w:hAnsi="Arial" w:cs="Arial"/>
          <w:i/>
          <w:lang w:val="en-US"/>
        </w:rPr>
      </w:pPr>
    </w:p>
    <w:p w14:paraId="3A494631" w14:textId="77777777" w:rsidR="002525C3" w:rsidRPr="00E128FE" w:rsidRDefault="002525C3" w:rsidP="00833E89">
      <w:pPr>
        <w:spacing w:after="0" w:line="480" w:lineRule="auto"/>
        <w:rPr>
          <w:rFonts w:ascii="Arial" w:hAnsi="Arial" w:cs="Arial"/>
          <w:i/>
          <w:lang w:val="en-US"/>
        </w:rPr>
      </w:pPr>
    </w:p>
    <w:p w14:paraId="6E6B5AE8" w14:textId="21AE6444" w:rsidR="00833E89" w:rsidRPr="00E128FE" w:rsidRDefault="000A3E3B" w:rsidP="00833E89">
      <w:pPr>
        <w:spacing w:after="0" w:line="480" w:lineRule="auto"/>
        <w:rPr>
          <w:rFonts w:ascii="Arial" w:hAnsi="Arial" w:cs="Arial"/>
          <w:i/>
          <w:lang w:val="en-US"/>
        </w:rPr>
      </w:pPr>
      <w:r w:rsidRPr="00E128FE">
        <w:rPr>
          <w:rFonts w:ascii="Arial" w:hAnsi="Arial" w:cs="Arial"/>
          <w:i/>
          <w:lang w:val="en-US"/>
        </w:rPr>
        <w:t xml:space="preserve">Definition </w:t>
      </w:r>
      <w:r w:rsidR="00833E89" w:rsidRPr="00E128FE">
        <w:rPr>
          <w:rFonts w:ascii="Arial" w:hAnsi="Arial" w:cs="Arial"/>
          <w:i/>
          <w:lang w:val="en-US"/>
        </w:rPr>
        <w:t xml:space="preserve">of traditional </w:t>
      </w:r>
      <w:r w:rsidRPr="00E128FE">
        <w:rPr>
          <w:rFonts w:ascii="Arial" w:hAnsi="Arial" w:cs="Arial"/>
          <w:i/>
          <w:lang w:val="en-US"/>
        </w:rPr>
        <w:t xml:space="preserve">cardiovascular </w:t>
      </w:r>
      <w:r w:rsidR="00833E89" w:rsidRPr="00E128FE">
        <w:rPr>
          <w:rFonts w:ascii="Arial" w:hAnsi="Arial" w:cs="Arial"/>
          <w:i/>
          <w:lang w:val="en-US"/>
        </w:rPr>
        <w:t>risk factors</w:t>
      </w:r>
    </w:p>
    <w:p w14:paraId="278B5E49" w14:textId="77777777" w:rsidR="000A3E3B" w:rsidRPr="00E128FE" w:rsidRDefault="000A3E3B" w:rsidP="000A3E3B">
      <w:pPr>
        <w:spacing w:after="0" w:line="480" w:lineRule="auto"/>
        <w:rPr>
          <w:rFonts w:ascii="Arial" w:hAnsi="Arial" w:cs="Arial"/>
          <w:lang w:val="en-US"/>
        </w:rPr>
      </w:pPr>
      <w:r w:rsidRPr="00E128FE">
        <w:rPr>
          <w:rFonts w:ascii="Arial" w:hAnsi="Arial" w:cs="Arial"/>
          <w:lang w:val="en-US"/>
        </w:rPr>
        <w:t>Positive family history of stroke or myocardial infarction, obesity, smoking, diabetes mellitus, dyslipidemia and arterial hypertension were classified as traditional cardiovascular risk factors. Arterial hypertension was defined as mean systolic blood pressure of ≥140mmHg or a mean diastolic blood pressure of ≥90mmHg (mean value of the 2nd and 3rd standardized blood pressure measurement after 8 and 11 minutes of rest, respectively) or intake of antihypertensive medication in the last two weeks. Obesity was defined as a body-mass index ≥30 kg/m². Individuals were classified as smokers (daily smokers ≥1 cigarette/day and occasional smokers &lt;1 cigarette/day), former smokers and non-smokers (never smoked). Dyslipidemia and arterial hypertension were defined in individuals with diagnosis by a physician. Dyslipidemia was additionally defined as low-density lipoprotein/high-density lipoprotein ratio of &gt;3.5 or triglycerides level ≥150mg/dl or intake of lipid modifying agents (ATC-Code C10). Positive family history was defined as myocardial infarction and/or stroke of male first-degree relatives until the age of 60 years for female first-degree relatives until the age of 65 years.</w:t>
      </w:r>
    </w:p>
    <w:p w14:paraId="28ACCE7E" w14:textId="77777777" w:rsidR="000A3E3B" w:rsidRPr="00E128FE" w:rsidRDefault="000A3E3B" w:rsidP="00833E89">
      <w:pPr>
        <w:spacing w:after="0" w:line="480" w:lineRule="auto"/>
        <w:rPr>
          <w:rFonts w:ascii="Arial" w:hAnsi="Arial" w:cs="Arial"/>
          <w:i/>
          <w:lang w:val="en-US"/>
        </w:rPr>
      </w:pPr>
    </w:p>
    <w:p w14:paraId="087A858D" w14:textId="77777777" w:rsidR="000A3E3B" w:rsidRPr="00E128FE" w:rsidRDefault="000A3E3B" w:rsidP="00833E89">
      <w:pPr>
        <w:spacing w:after="0" w:line="480" w:lineRule="auto"/>
        <w:rPr>
          <w:rFonts w:ascii="Arial" w:hAnsi="Arial" w:cs="Arial"/>
          <w:i/>
          <w:lang w:val="en-US"/>
        </w:rPr>
      </w:pPr>
      <w:r w:rsidRPr="00E128FE">
        <w:rPr>
          <w:rFonts w:ascii="Arial" w:hAnsi="Arial" w:cs="Arial"/>
          <w:i/>
          <w:lang w:val="en-US"/>
        </w:rPr>
        <w:t>Assessment of comorbidities</w:t>
      </w:r>
    </w:p>
    <w:p w14:paraId="5F623A87" w14:textId="77777777" w:rsidR="000A3E3B" w:rsidRPr="00E128FE" w:rsidRDefault="00125DF4" w:rsidP="00833E89">
      <w:pPr>
        <w:spacing w:after="0" w:line="480" w:lineRule="auto"/>
        <w:rPr>
          <w:rFonts w:ascii="Arial" w:hAnsi="Arial" w:cs="Arial"/>
          <w:lang w:val="en-US"/>
        </w:rPr>
      </w:pPr>
      <w:r w:rsidRPr="00E128FE">
        <w:rPr>
          <w:rFonts w:ascii="Arial" w:hAnsi="Arial" w:cs="Arial"/>
          <w:lang w:val="en-US"/>
        </w:rPr>
        <w:t>The presence of comorbidities, i.e. a</w:t>
      </w:r>
      <w:r w:rsidR="000A3E3B" w:rsidRPr="00E128FE">
        <w:rPr>
          <w:rFonts w:ascii="Arial" w:hAnsi="Arial" w:cs="Arial"/>
          <w:lang w:val="en-US"/>
        </w:rPr>
        <w:t xml:space="preserve">trial fibrillation, </w:t>
      </w:r>
      <w:r w:rsidRPr="00E128FE">
        <w:rPr>
          <w:rFonts w:ascii="Arial" w:hAnsi="Arial" w:cs="Arial"/>
          <w:lang w:val="en-US"/>
        </w:rPr>
        <w:t xml:space="preserve">chronic kidney disease, chronic obstructive pulmonary disease, </w:t>
      </w:r>
      <w:r w:rsidR="000A3E3B" w:rsidRPr="00E128FE">
        <w:rPr>
          <w:rFonts w:ascii="Arial" w:hAnsi="Arial" w:cs="Arial"/>
          <w:lang w:val="en-US"/>
        </w:rPr>
        <w:t>congestive heart failure, coronary artery disease, history of myocardial infarction, histor</w:t>
      </w:r>
      <w:r w:rsidRPr="00E128FE">
        <w:rPr>
          <w:rFonts w:ascii="Arial" w:hAnsi="Arial" w:cs="Arial"/>
          <w:lang w:val="en-US"/>
        </w:rPr>
        <w:t>y of stroke and/or transient ischemic attack, peripheral artery disease</w:t>
      </w:r>
      <w:r w:rsidR="000A3E3B" w:rsidRPr="00E128FE">
        <w:rPr>
          <w:rFonts w:ascii="Arial" w:hAnsi="Arial" w:cs="Arial"/>
          <w:lang w:val="en-US"/>
        </w:rPr>
        <w:t xml:space="preserve"> and </w:t>
      </w:r>
      <w:r w:rsidRPr="00E128FE">
        <w:rPr>
          <w:rFonts w:ascii="Arial" w:hAnsi="Arial" w:cs="Arial"/>
          <w:lang w:val="en-US"/>
        </w:rPr>
        <w:t xml:space="preserve">venous thromboembolism, </w:t>
      </w:r>
      <w:r w:rsidR="000A3E3B" w:rsidRPr="00E128FE">
        <w:rPr>
          <w:rFonts w:ascii="Arial" w:hAnsi="Arial" w:cs="Arial"/>
          <w:lang w:val="en-US"/>
        </w:rPr>
        <w:t xml:space="preserve">were </w:t>
      </w:r>
      <w:r w:rsidRPr="00E128FE">
        <w:rPr>
          <w:rFonts w:ascii="Arial" w:hAnsi="Arial" w:cs="Arial"/>
          <w:lang w:val="en-US"/>
        </w:rPr>
        <w:t>assessed via a standardized computer-assisted interview by trained staff. In addition, medical records – if available for review – have been screened.</w:t>
      </w:r>
    </w:p>
    <w:p w14:paraId="566C31BF" w14:textId="345BDD4D" w:rsidR="000A3E3B" w:rsidRPr="00E128FE" w:rsidRDefault="000A3E3B" w:rsidP="00833E89">
      <w:pPr>
        <w:spacing w:after="0" w:line="480" w:lineRule="auto"/>
        <w:rPr>
          <w:rFonts w:ascii="Arial" w:hAnsi="Arial" w:cs="Arial"/>
          <w:lang w:val="en-US"/>
        </w:rPr>
      </w:pPr>
    </w:p>
    <w:p w14:paraId="6F5DE29E" w14:textId="77777777" w:rsidR="00771A1C" w:rsidRPr="00E128FE" w:rsidRDefault="00771A1C" w:rsidP="00771A1C">
      <w:pPr>
        <w:spacing w:after="0" w:line="480" w:lineRule="auto"/>
        <w:rPr>
          <w:rFonts w:ascii="Arial" w:hAnsi="Arial" w:cs="Arial"/>
          <w:i/>
          <w:lang w:val="en-US"/>
        </w:rPr>
      </w:pPr>
      <w:r w:rsidRPr="00E128FE">
        <w:rPr>
          <w:rFonts w:ascii="Arial" w:hAnsi="Arial" w:cs="Arial"/>
          <w:i/>
          <w:lang w:val="en-US"/>
        </w:rPr>
        <w:t>Echocardiographic examination</w:t>
      </w:r>
    </w:p>
    <w:p w14:paraId="4345A043" w14:textId="708D4476" w:rsidR="00771A1C" w:rsidRPr="00E128FE" w:rsidRDefault="00771A1C" w:rsidP="00833E89">
      <w:pPr>
        <w:spacing w:after="0" w:line="480" w:lineRule="auto"/>
        <w:rPr>
          <w:rFonts w:ascii="Arial" w:hAnsi="Arial" w:cs="Arial"/>
          <w:lang w:val="en-US"/>
        </w:rPr>
      </w:pPr>
      <w:r w:rsidRPr="00E128FE">
        <w:rPr>
          <w:rFonts w:ascii="Arial" w:hAnsi="Arial" w:cs="Arial"/>
          <w:szCs w:val="24"/>
          <w:lang w:val="en-US"/>
        </w:rPr>
        <w:t>I</w:t>
      </w:r>
      <w:r w:rsidRPr="00E128FE">
        <w:rPr>
          <w:rFonts w:ascii="Arial" w:hAnsi="Arial" w:cs="Arial"/>
          <w:lang w:val="en-US"/>
        </w:rPr>
        <w:t>nformation on cardiac function was assessed in apical four-chamber view: Pulsed wave Doppler imaging was performed with the sample volume between the opened mitral leaflets tips to assess early diastolic peak velocity (E). Early longitudinal peak diastolic velocity (E’) was determined at the lateral mitral annulus by pulsed wave tissue Doppler imaging. Left ventricular ejection fraction was quantified using the modified Simpson method and l</w:t>
      </w:r>
      <w:r w:rsidRPr="00E128FE">
        <w:rPr>
          <w:rFonts w:ascii="Arial" w:hAnsi="Arial" w:cs="Arial"/>
          <w:szCs w:val="24"/>
          <w:lang w:val="en-US"/>
        </w:rPr>
        <w:t>eft ventricular mass index (LVMi) was calculated using the cube formula.</w:t>
      </w:r>
    </w:p>
    <w:p w14:paraId="4CC64857" w14:textId="77777777" w:rsidR="00771A1C" w:rsidRPr="00E128FE" w:rsidRDefault="00771A1C" w:rsidP="00833E89">
      <w:pPr>
        <w:spacing w:after="0" w:line="480" w:lineRule="auto"/>
        <w:rPr>
          <w:rFonts w:ascii="Arial" w:hAnsi="Arial" w:cs="Arial"/>
          <w:lang w:val="en-US"/>
        </w:rPr>
      </w:pPr>
    </w:p>
    <w:p w14:paraId="0FBD4B06" w14:textId="77777777" w:rsidR="00833E89" w:rsidRPr="00E128FE" w:rsidRDefault="000A3E3B" w:rsidP="00833E89">
      <w:pPr>
        <w:spacing w:after="0" w:line="480" w:lineRule="auto"/>
        <w:rPr>
          <w:rFonts w:ascii="Arial" w:hAnsi="Arial" w:cs="Arial"/>
          <w:i/>
          <w:lang w:val="en-US"/>
        </w:rPr>
      </w:pPr>
      <w:r w:rsidRPr="00E128FE">
        <w:rPr>
          <w:rFonts w:ascii="Arial" w:hAnsi="Arial" w:cs="Arial"/>
          <w:i/>
          <w:lang w:val="en-US"/>
        </w:rPr>
        <w:t>F</w:t>
      </w:r>
      <w:r w:rsidR="00833E89" w:rsidRPr="00E128FE">
        <w:rPr>
          <w:rFonts w:ascii="Arial" w:hAnsi="Arial" w:cs="Arial"/>
          <w:i/>
          <w:lang w:val="en-US"/>
        </w:rPr>
        <w:t>atty liver index</w:t>
      </w:r>
    </w:p>
    <w:p w14:paraId="6BF3E877" w14:textId="273A0F92" w:rsidR="000A3E3B" w:rsidRPr="00E128FE" w:rsidRDefault="000A3E3B" w:rsidP="00833E89">
      <w:pPr>
        <w:spacing w:after="0" w:line="480" w:lineRule="auto"/>
        <w:rPr>
          <w:rFonts w:ascii="Arial" w:hAnsi="Arial" w:cs="Arial"/>
          <w:lang w:val="en-US"/>
        </w:rPr>
      </w:pPr>
      <w:r w:rsidRPr="00E128FE">
        <w:rPr>
          <w:rFonts w:ascii="Arial" w:hAnsi="Arial" w:cs="Arial"/>
          <w:lang w:val="en-US"/>
        </w:rPr>
        <w:t xml:space="preserve">The fatty liver index was calculated based upon the variables </w:t>
      </w:r>
      <w:r w:rsidR="00AD6C6F" w:rsidRPr="00E128FE">
        <w:rPr>
          <w:rFonts w:ascii="Arial" w:hAnsi="Arial" w:cs="Arial"/>
          <w:lang w:val="en-US"/>
        </w:rPr>
        <w:t>body mass index, waist circumference, gamma-glutamyl-transferase, and concentration of triglycerides</w:t>
      </w:r>
      <w:r w:rsidRPr="00E128FE">
        <w:rPr>
          <w:rFonts w:ascii="Arial" w:hAnsi="Arial" w:cs="Arial"/>
          <w:lang w:val="en-US"/>
        </w:rPr>
        <w:t xml:space="preserve"> as recently recommended.</w:t>
      </w:r>
      <w:r w:rsidR="00ED12BC" w:rsidRPr="00E128FE">
        <w:rPr>
          <w:rFonts w:ascii="Arial" w:hAnsi="Arial" w:cs="Arial"/>
          <w:lang w:val="en-US"/>
        </w:rPr>
        <w:fldChar w:fldCharType="begin">
          <w:fldData xml:space="preserve">PEVuZE5vdGU+PENpdGU+PEF1dGhvcj5PdGdvbnN1cmVuPC9BdXRob3I+PFllYXI+MjAxNDwvWWVh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</w:fldData>
        </w:fldChar>
      </w:r>
      <w:r w:rsidR="009B09C9" w:rsidRPr="00E128FE">
        <w:rPr>
          <w:rFonts w:ascii="Arial" w:hAnsi="Arial" w:cs="Arial"/>
          <w:lang w:val="en-US"/>
        </w:rPr>
        <w:instrText xml:space="preserve"> ADDIN EN.CITE </w:instrText>
      </w:r>
      <w:r w:rsidR="009B09C9" w:rsidRPr="00E128FE">
        <w:rPr>
          <w:rFonts w:ascii="Arial" w:hAnsi="Arial" w:cs="Arial"/>
          <w:lang w:val="en-US"/>
        </w:rPr>
        <w:fldChar w:fldCharType="begin">
          <w:fldData xml:space="preserve">PEVuZE5vdGU+PENpdGU+PEF1dGhvcj5PdGdvbnN1cmVuPC9BdXRob3I+PFllYXI+MjAxNDwvWWVh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</w:fldData>
        </w:fldChar>
      </w:r>
      <w:r w:rsidR="009B09C9" w:rsidRPr="00E128FE">
        <w:rPr>
          <w:rFonts w:ascii="Arial" w:hAnsi="Arial" w:cs="Arial"/>
          <w:lang w:val="en-US"/>
        </w:rPr>
        <w:instrText xml:space="preserve"> ADDIN EN.CITE.DATA </w:instrText>
      </w:r>
      <w:r w:rsidR="009B09C9" w:rsidRPr="00E128FE">
        <w:rPr>
          <w:rFonts w:ascii="Arial" w:hAnsi="Arial" w:cs="Arial"/>
          <w:lang w:val="en-US"/>
        </w:rPr>
      </w:r>
      <w:r w:rsidR="009B09C9" w:rsidRPr="00E128FE">
        <w:rPr>
          <w:rFonts w:ascii="Arial" w:hAnsi="Arial" w:cs="Arial"/>
          <w:lang w:val="en-US"/>
        </w:rPr>
        <w:fldChar w:fldCharType="end"/>
      </w:r>
      <w:r w:rsidR="00ED12BC" w:rsidRPr="00E128FE">
        <w:rPr>
          <w:rFonts w:ascii="Arial" w:hAnsi="Arial" w:cs="Arial"/>
          <w:lang w:val="en-US"/>
        </w:rPr>
      </w:r>
      <w:r w:rsidR="00ED12BC" w:rsidRPr="00E128FE">
        <w:rPr>
          <w:rFonts w:ascii="Arial" w:hAnsi="Arial" w:cs="Arial"/>
          <w:lang w:val="en-US"/>
        </w:rPr>
        <w:fldChar w:fldCharType="separate"/>
      </w:r>
      <w:r w:rsidR="00ED12BC" w:rsidRPr="00E128FE">
        <w:rPr>
          <w:rFonts w:ascii="Arial" w:hAnsi="Arial" w:cs="Arial"/>
          <w:noProof/>
          <w:vertAlign w:val="superscript"/>
          <w:lang w:val="en-US"/>
        </w:rPr>
        <w:t>1</w:t>
      </w:r>
      <w:r w:rsidR="00ED12BC" w:rsidRPr="00E128FE">
        <w:rPr>
          <w:rFonts w:ascii="Arial" w:hAnsi="Arial" w:cs="Arial"/>
          <w:lang w:val="en-US"/>
        </w:rPr>
        <w:fldChar w:fldCharType="end"/>
      </w:r>
    </w:p>
    <w:p w14:paraId="79741F44" w14:textId="4636C222" w:rsidR="00771A1C" w:rsidRPr="00E128FE" w:rsidRDefault="00771A1C" w:rsidP="00833E89">
      <w:pPr>
        <w:spacing w:after="0" w:line="480" w:lineRule="auto"/>
        <w:rPr>
          <w:rFonts w:ascii="Arial" w:hAnsi="Arial" w:cs="Arial"/>
          <w:lang w:val="en-US"/>
        </w:rPr>
      </w:pPr>
    </w:p>
    <w:p w14:paraId="635D9BA1" w14:textId="77777777" w:rsidR="009219DD" w:rsidRPr="00E128FE" w:rsidRDefault="009219DD">
      <w:pPr>
        <w:rPr>
          <w:rFonts w:ascii="Arial" w:hAnsi="Arial" w:cs="Arial"/>
          <w:i/>
          <w:lang w:val="en-US"/>
        </w:rPr>
      </w:pPr>
      <w:r w:rsidRPr="00E128FE">
        <w:rPr>
          <w:rFonts w:ascii="Arial" w:hAnsi="Arial" w:cs="Arial"/>
          <w:i/>
          <w:lang w:val="en-US"/>
        </w:rPr>
        <w:br w:type="page"/>
      </w:r>
    </w:p>
    <w:p w14:paraId="4A4908D7" w14:textId="77777777" w:rsidR="009219DD" w:rsidRPr="00E128FE" w:rsidRDefault="009219DD" w:rsidP="009219DD">
      <w:pPr>
        <w:spacing w:after="0" w:line="480" w:lineRule="auto"/>
        <w:jc w:val="both"/>
        <w:rPr>
          <w:rFonts w:ascii="Arial" w:hAnsi="Arial" w:cs="Arial"/>
          <w:b/>
          <w:lang w:val="en-US"/>
        </w:rPr>
      </w:pPr>
      <w:r w:rsidRPr="00E128FE">
        <w:rPr>
          <w:rFonts w:ascii="Arial" w:hAnsi="Arial" w:cs="Arial"/>
          <w:b/>
          <w:lang w:val="en-US"/>
        </w:rPr>
        <w:t>Statistical considerations</w:t>
      </w:r>
    </w:p>
    <w:p w14:paraId="6EE4EB55" w14:textId="77777777" w:rsidR="009219DD" w:rsidRPr="00E128FE" w:rsidRDefault="009219DD" w:rsidP="009219DD">
      <w:pPr>
        <w:spacing w:after="0" w:line="480" w:lineRule="auto"/>
        <w:jc w:val="both"/>
        <w:rPr>
          <w:rFonts w:ascii="Arial" w:hAnsi="Arial" w:cs="Arial"/>
          <w:i/>
          <w:lang w:val="en-US"/>
        </w:rPr>
      </w:pPr>
      <w:r w:rsidRPr="00E128FE">
        <w:rPr>
          <w:rFonts w:ascii="Arial" w:hAnsi="Arial" w:cs="Arial"/>
          <w:i/>
          <w:lang w:val="en-US"/>
        </w:rPr>
        <w:t>Sample size estimation</w:t>
      </w:r>
    </w:p>
    <w:p w14:paraId="5F2503CE" w14:textId="29B69803" w:rsidR="009219DD" w:rsidRPr="00E128FE" w:rsidRDefault="009219DD" w:rsidP="009219DD">
      <w:pPr>
        <w:spacing w:after="0" w:line="480" w:lineRule="auto"/>
        <w:jc w:val="both"/>
        <w:rPr>
          <w:rFonts w:ascii="Arial" w:hAnsi="Arial" w:cs="Arial"/>
          <w:lang w:val="en-US"/>
        </w:rPr>
      </w:pPr>
      <w:r w:rsidRPr="00E128FE">
        <w:rPr>
          <w:rFonts w:ascii="Arial" w:hAnsi="Arial" w:cs="Arial"/>
          <w:lang w:val="en-US"/>
        </w:rPr>
        <w:t>For the primary study</w:t>
      </w:r>
      <w:r w:rsidR="00166085" w:rsidRPr="00E128FE">
        <w:rPr>
          <w:rFonts w:ascii="Arial" w:hAnsi="Arial" w:cs="Arial"/>
          <w:lang w:val="en-US"/>
        </w:rPr>
        <w:t xml:space="preserve"> </w:t>
      </w:r>
      <w:r w:rsidRPr="00E128FE">
        <w:rPr>
          <w:rFonts w:ascii="Arial" w:hAnsi="Arial" w:cs="Arial"/>
          <w:lang w:val="en-US"/>
        </w:rPr>
        <w:t xml:space="preserve">end point of the EmDia study, i.e., the change in left ventricular E/e' ratio after 12 weeks of treatment, a minimum clinically relevant difference of 1.5 with a standard deviation of 3.46 was assumed for case number planning. The standard deviation estimate was derived based on data from diabetic patients in the population-based Gutenberg Health Study (total N=15,010 </w:t>
      </w:r>
      <w:r w:rsidRPr="00E128FE">
        <w:rPr>
          <w:rFonts w:ascii="Arial" w:hAnsi="Arial" w:cs="Arial"/>
          <w:lang w:val="en-US"/>
        </w:rPr>
        <w:fldChar w:fldCharType="begin">
          <w:fldData xml:space="preserve">PEVuZE5vdGU+PENpdGU+PEF1dGhvcj5XaWxkPC9BdXRob3I+PFllYXI+MjAxMjwvWWVhcj48UmVj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==
</w:fldData>
        </w:fldChar>
      </w:r>
      <w:r w:rsidRPr="00E128FE">
        <w:rPr>
          <w:rFonts w:ascii="Arial" w:hAnsi="Arial" w:cs="Arial"/>
          <w:lang w:val="en-US"/>
        </w:rPr>
        <w:instrText xml:space="preserve"> ADDIN EN.CITE </w:instrText>
      </w:r>
      <w:r w:rsidRPr="00E128FE">
        <w:rPr>
          <w:rFonts w:ascii="Arial" w:hAnsi="Arial" w:cs="Arial"/>
          <w:lang w:val="en-US"/>
        </w:rPr>
        <w:fldChar w:fldCharType="begin">
          <w:fldData xml:space="preserve">PEVuZE5vdGU+PENpdGU+PEF1dGhvcj5XaWxkPC9BdXRob3I+PFllYXI+MjAxMjwvWWVhcj48UmVj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==
</w:fldData>
        </w:fldChar>
      </w:r>
      <w:r w:rsidRPr="00E128FE">
        <w:rPr>
          <w:rFonts w:ascii="Arial" w:hAnsi="Arial" w:cs="Arial"/>
          <w:lang w:val="en-US"/>
        </w:rPr>
        <w:instrText xml:space="preserve"> ADDIN EN.CITE.DATA </w:instrText>
      </w:r>
      <w:r w:rsidRPr="00E128FE">
        <w:rPr>
          <w:rFonts w:ascii="Arial" w:hAnsi="Arial" w:cs="Arial"/>
          <w:lang w:val="en-US"/>
        </w:rPr>
      </w:r>
      <w:r w:rsidRPr="00E128FE">
        <w:rPr>
          <w:rFonts w:ascii="Arial" w:hAnsi="Arial" w:cs="Arial"/>
          <w:lang w:val="en-US"/>
        </w:rPr>
        <w:fldChar w:fldCharType="end"/>
      </w:r>
      <w:r w:rsidRPr="00E128FE">
        <w:rPr>
          <w:rFonts w:ascii="Arial" w:hAnsi="Arial" w:cs="Arial"/>
          <w:lang w:val="en-US"/>
        </w:rPr>
      </w:r>
      <w:r w:rsidRPr="00E128FE">
        <w:rPr>
          <w:rFonts w:ascii="Arial" w:hAnsi="Arial" w:cs="Arial"/>
          <w:lang w:val="en-US"/>
        </w:rPr>
        <w:fldChar w:fldCharType="separate"/>
      </w:r>
      <w:r w:rsidRPr="00E128FE">
        <w:rPr>
          <w:rFonts w:ascii="Arial" w:hAnsi="Arial" w:cs="Arial"/>
          <w:noProof/>
          <w:vertAlign w:val="superscript"/>
          <w:lang w:val="en-US"/>
        </w:rPr>
        <w:t>2</w:t>
      </w:r>
      <w:r w:rsidRPr="00E128FE">
        <w:rPr>
          <w:rFonts w:ascii="Arial" w:hAnsi="Arial" w:cs="Arial"/>
          <w:lang w:val="en-US"/>
        </w:rPr>
        <w:fldChar w:fldCharType="end"/>
      </w:r>
      <w:r w:rsidRPr="00E128FE">
        <w:rPr>
          <w:rFonts w:ascii="Arial" w:hAnsi="Arial" w:cs="Arial"/>
          <w:lang w:val="en-US"/>
        </w:rPr>
        <w:t xml:space="preserve">). Assuming a minimum effect size of 1.5 and a standard deviation of 3.46, it was calculated that for a two-sided t test at a significance level of 0.05 and a statistical power of 80%, n=67 subjects per group were required to reject the null hypothesis (i.e., no lack of difference in left ventricular E/e' ratio between the 2 treatment groups). Considering a drop-out rate of 7.5% before visit 1 and an additional drop-out rate of 7.5% subsequent to visit 1 (until 12-week follow-up), a total sample size of n=158 with n=79 per arm would be required. </w:t>
      </w:r>
    </w:p>
    <w:p w14:paraId="2A0FCD47" w14:textId="77777777" w:rsidR="009219DD" w:rsidRPr="00E128FE" w:rsidRDefault="009219DD" w:rsidP="009219DD">
      <w:pPr>
        <w:spacing w:after="0" w:line="480" w:lineRule="auto"/>
        <w:jc w:val="both"/>
        <w:rPr>
          <w:rFonts w:ascii="Arial" w:hAnsi="Arial" w:cs="Arial"/>
          <w:lang w:val="en-US"/>
        </w:rPr>
      </w:pPr>
    </w:p>
    <w:p w14:paraId="3B42F5A9" w14:textId="77777777" w:rsidR="009219DD" w:rsidRPr="00E128FE" w:rsidRDefault="009219DD" w:rsidP="009219DD">
      <w:pPr>
        <w:spacing w:after="0" w:line="480" w:lineRule="auto"/>
        <w:jc w:val="both"/>
        <w:rPr>
          <w:rFonts w:ascii="Arial" w:hAnsi="Arial" w:cs="Arial"/>
          <w:i/>
          <w:lang w:val="en-US"/>
        </w:rPr>
      </w:pPr>
      <w:r w:rsidRPr="00E128FE">
        <w:rPr>
          <w:rFonts w:ascii="Arial" w:hAnsi="Arial" w:cs="Arial"/>
          <w:i/>
          <w:lang w:val="en-US"/>
        </w:rPr>
        <w:t>Statistical analysis</w:t>
      </w:r>
    </w:p>
    <w:p w14:paraId="12D71835" w14:textId="6D1888E7" w:rsidR="009219DD" w:rsidRPr="00E128FE" w:rsidRDefault="009219DD" w:rsidP="009219DD">
      <w:pPr>
        <w:spacing w:after="0" w:line="480" w:lineRule="auto"/>
        <w:jc w:val="both"/>
        <w:rPr>
          <w:rFonts w:ascii="Arial" w:hAnsi="Arial" w:cs="Arial"/>
          <w:lang w:val="en-US"/>
        </w:rPr>
      </w:pPr>
      <w:r w:rsidRPr="00E128FE">
        <w:rPr>
          <w:rFonts w:ascii="Arial" w:hAnsi="Arial" w:cs="Arial"/>
          <w:lang w:val="en-US"/>
        </w:rPr>
        <w:t>It was predefined that the primary endpoint will be compared between treatment groups at a two-sided significance level of alpha=0.05 by using a linear regression model with left ventricular E/e´ ratio at 12 weeks as dependent variable and with treatment as a covariate and adjustment for baseline left ventricular E/e´ ratio and sex. The rationale for the pre-specified adjusted analysis in the randomized controlled EmDia trial was chosen to maximize statistical power.</w:t>
      </w:r>
      <w:r w:rsidRPr="00E128FE">
        <w:rPr>
          <w:rFonts w:ascii="Arial" w:hAnsi="Arial" w:cs="Arial"/>
          <w:lang w:val="en-US"/>
        </w:rPr>
        <w:fldChar w:fldCharType="begin">
          <w:fldData xml:space="preserve">PEVuZE5vdGU+PENpdGU+PEF1dGhvcj5ZdTwvQXV0aG9yPjxZZWFyPjIwMTA8L1llYXI+PFJlY051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==
</w:fldData>
        </w:fldChar>
      </w:r>
      <w:r w:rsidRPr="00E128FE">
        <w:rPr>
          <w:rFonts w:ascii="Arial" w:hAnsi="Arial" w:cs="Arial"/>
          <w:lang w:val="en-US"/>
        </w:rPr>
        <w:instrText xml:space="preserve"> ADDIN EN.CITE </w:instrText>
      </w:r>
      <w:r w:rsidRPr="00E128FE">
        <w:rPr>
          <w:rFonts w:ascii="Arial" w:hAnsi="Arial" w:cs="Arial"/>
          <w:lang w:val="en-US"/>
        </w:rPr>
        <w:fldChar w:fldCharType="begin">
          <w:fldData xml:space="preserve">PEVuZE5vdGU+PENpdGU+PEF1dGhvcj5ZdTwvQXV0aG9yPjxZZWFyPjIwMTA8L1llYXI+PFJlY051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==
</w:fldData>
        </w:fldChar>
      </w:r>
      <w:r w:rsidRPr="00E128FE">
        <w:rPr>
          <w:rFonts w:ascii="Arial" w:hAnsi="Arial" w:cs="Arial"/>
          <w:lang w:val="en-US"/>
        </w:rPr>
        <w:instrText xml:space="preserve"> ADDIN EN.CITE.DATA </w:instrText>
      </w:r>
      <w:r w:rsidRPr="00E128FE">
        <w:rPr>
          <w:rFonts w:ascii="Arial" w:hAnsi="Arial" w:cs="Arial"/>
          <w:lang w:val="en-US"/>
        </w:rPr>
      </w:r>
      <w:r w:rsidRPr="00E128FE">
        <w:rPr>
          <w:rFonts w:ascii="Arial" w:hAnsi="Arial" w:cs="Arial"/>
          <w:lang w:val="en-US"/>
        </w:rPr>
        <w:fldChar w:fldCharType="end"/>
      </w:r>
      <w:r w:rsidRPr="00E128FE">
        <w:rPr>
          <w:rFonts w:ascii="Arial" w:hAnsi="Arial" w:cs="Arial"/>
          <w:lang w:val="en-US"/>
        </w:rPr>
      </w:r>
      <w:r w:rsidRPr="00E128FE">
        <w:rPr>
          <w:rFonts w:ascii="Arial" w:hAnsi="Arial" w:cs="Arial"/>
          <w:lang w:val="en-US"/>
        </w:rPr>
        <w:fldChar w:fldCharType="separate"/>
      </w:r>
      <w:r w:rsidRPr="00E128FE">
        <w:rPr>
          <w:rFonts w:ascii="Arial" w:hAnsi="Arial" w:cs="Arial"/>
          <w:noProof/>
          <w:vertAlign w:val="superscript"/>
          <w:lang w:val="en-US"/>
        </w:rPr>
        <w:t>3</w:t>
      </w:r>
      <w:r w:rsidRPr="00E128FE">
        <w:rPr>
          <w:rFonts w:ascii="Arial" w:hAnsi="Arial" w:cs="Arial"/>
          <w:lang w:val="en-US"/>
        </w:rPr>
        <w:fldChar w:fldCharType="end"/>
      </w:r>
      <w:r w:rsidRPr="00E128FE">
        <w:rPr>
          <w:rFonts w:ascii="Arial" w:hAnsi="Arial" w:cs="Arial"/>
          <w:lang w:val="en-US"/>
        </w:rPr>
        <w:t xml:space="preserve"> Furthermore, it was defined that (i) the analysis of the primary endpoint is confirmatory and all other analyses are of explorative nature, and (II) that no correction for multiple hypothesis testing will be made.</w:t>
      </w:r>
    </w:p>
    <w:p w14:paraId="0729FB6B" w14:textId="77777777" w:rsidR="00833E89" w:rsidRPr="00E128FE" w:rsidRDefault="00833E89" w:rsidP="00833E89">
      <w:pPr>
        <w:spacing w:after="0" w:line="480" w:lineRule="auto"/>
        <w:rPr>
          <w:rFonts w:ascii="Arial" w:hAnsi="Arial" w:cs="Arial"/>
          <w:b/>
          <w:lang w:val="en-US"/>
        </w:rPr>
      </w:pPr>
      <w:r w:rsidRPr="00E128FE">
        <w:rPr>
          <w:rFonts w:ascii="Arial" w:hAnsi="Arial" w:cs="Arial"/>
          <w:b/>
          <w:lang w:val="en-US"/>
        </w:rPr>
        <w:br w:type="page"/>
      </w:r>
    </w:p>
    <w:p w14:paraId="709EF7C8" w14:textId="77777777" w:rsidR="000965BC" w:rsidRPr="00E128FE" w:rsidRDefault="00E84F1C" w:rsidP="009D2928">
      <w:pPr>
        <w:pStyle w:val="Heading1"/>
        <w:spacing w:before="0" w:line="480" w:lineRule="auto"/>
        <w:ind w:left="2410" w:hanging="2410"/>
        <w:rPr>
          <w:rFonts w:ascii="Arial" w:hAnsi="Arial" w:cs="Arial"/>
          <w:color w:val="auto"/>
          <w:sz w:val="22"/>
          <w:szCs w:val="22"/>
          <w:lang w:val="en-US"/>
        </w:rPr>
      </w:pPr>
      <w:bookmarkStart w:id="1" w:name="_Toc66278937"/>
      <w:r w:rsidRPr="00E128FE">
        <w:rPr>
          <w:rFonts w:ascii="Arial" w:hAnsi="Arial" w:cs="Arial"/>
          <w:b/>
          <w:color w:val="auto"/>
          <w:sz w:val="22"/>
          <w:szCs w:val="22"/>
          <w:lang w:val="en-US"/>
        </w:rPr>
        <w:t xml:space="preserve">Supplemental Table </w:t>
      </w:r>
      <w:r w:rsidR="002270E9" w:rsidRPr="00E128FE">
        <w:rPr>
          <w:rFonts w:ascii="Arial" w:hAnsi="Arial" w:cs="Arial"/>
          <w:b/>
          <w:color w:val="auto"/>
          <w:sz w:val="22"/>
          <w:szCs w:val="22"/>
          <w:lang w:val="en-US"/>
        </w:rPr>
        <w:t>1</w:t>
      </w:r>
      <w:r w:rsidRPr="00E128FE">
        <w:rPr>
          <w:rFonts w:ascii="Arial" w:hAnsi="Arial" w:cs="Arial"/>
          <w:b/>
          <w:color w:val="auto"/>
          <w:sz w:val="22"/>
          <w:szCs w:val="22"/>
          <w:lang w:val="en-US"/>
        </w:rPr>
        <w:t xml:space="preserve">. </w:t>
      </w:r>
      <w:r w:rsidRPr="00E128FE">
        <w:rPr>
          <w:rFonts w:ascii="Arial" w:hAnsi="Arial" w:cs="Arial"/>
          <w:color w:val="auto"/>
          <w:sz w:val="22"/>
          <w:szCs w:val="22"/>
          <w:lang w:val="en-US"/>
        </w:rPr>
        <w:t>Distribution of laboratory biomarkers and medication in the analysis sample</w:t>
      </w:r>
      <w:r w:rsidR="000965BC" w:rsidRPr="00E128FE">
        <w:rPr>
          <w:rFonts w:ascii="Arial" w:hAnsi="Arial" w:cs="Arial"/>
          <w:color w:val="auto"/>
          <w:sz w:val="22"/>
          <w:szCs w:val="22"/>
          <w:lang w:val="en-US"/>
        </w:rPr>
        <w:t xml:space="preserve"> by intervention group.</w:t>
      </w:r>
      <w:bookmarkEnd w:id="1"/>
    </w:p>
    <w:tbl>
      <w:tblPr>
        <w:tblW w:w="9002" w:type="dxa"/>
        <w:tblCellMar>
          <w:left w:w="0" w:type="dxa"/>
          <w:right w:w="0" w:type="dxa"/>
        </w:tblCellMar>
        <w:tblLook w:val="0420" w:firstRow="1" w:lastRow="0" w:firstColumn="0" w:lastColumn="0" w:noHBand="0" w:noVBand="1"/>
      </w:tblPr>
      <w:tblGrid>
        <w:gridCol w:w="4580"/>
        <w:gridCol w:w="1701"/>
        <w:gridCol w:w="1701"/>
        <w:gridCol w:w="1020"/>
      </w:tblGrid>
      <w:tr w:rsidR="00044BB0" w:rsidRPr="00E128FE" w14:paraId="572454AF" w14:textId="77777777" w:rsidTr="00044BB0">
        <w:trPr>
          <w:trHeight w:val="57"/>
        </w:trPr>
        <w:tc>
          <w:tcPr>
            <w:tcW w:w="4580"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D94B18A" w14:textId="77777777" w:rsidR="005C5FB6" w:rsidRPr="00E128FE" w:rsidRDefault="005C5FB6" w:rsidP="00AD7F9B">
            <w:pPr>
              <w:spacing w:after="0" w:line="240" w:lineRule="auto"/>
              <w:rPr>
                <w:rFonts w:ascii="Arial" w:hAnsi="Arial" w:cs="Arial"/>
                <w:sz w:val="20"/>
                <w:szCs w:val="20"/>
                <w:lang w:val="en-US"/>
              </w:rPr>
            </w:pPr>
          </w:p>
        </w:tc>
        <w:tc>
          <w:tcPr>
            <w:tcW w:w="170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6C6BB49A" w14:textId="77777777" w:rsidR="005C5FB6" w:rsidRPr="00E128FE" w:rsidRDefault="005C5FB6" w:rsidP="00AD7F9B">
            <w:pPr>
              <w:spacing w:after="0" w:line="240" w:lineRule="auto"/>
              <w:rPr>
                <w:rFonts w:ascii="Arial" w:hAnsi="Arial" w:cs="Arial"/>
                <w:sz w:val="20"/>
                <w:szCs w:val="20"/>
                <w:lang w:val="en-US"/>
              </w:rPr>
            </w:pPr>
            <w:r w:rsidRPr="00E128FE">
              <w:rPr>
                <w:rFonts w:ascii="Arial" w:hAnsi="Arial" w:cs="Arial"/>
                <w:sz w:val="20"/>
                <w:szCs w:val="20"/>
                <w:lang w:val="en-US"/>
              </w:rPr>
              <w:t>Placebo</w:t>
            </w:r>
          </w:p>
        </w:tc>
        <w:tc>
          <w:tcPr>
            <w:tcW w:w="170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7AFC5DFF" w14:textId="77777777" w:rsidR="005C5FB6" w:rsidRPr="00E128FE" w:rsidRDefault="005C5FB6" w:rsidP="00AD7F9B">
            <w:pPr>
              <w:spacing w:after="0" w:line="240" w:lineRule="auto"/>
              <w:rPr>
                <w:rFonts w:ascii="Arial" w:hAnsi="Arial" w:cs="Arial"/>
                <w:sz w:val="20"/>
                <w:szCs w:val="20"/>
                <w:lang w:val="en-US"/>
              </w:rPr>
            </w:pPr>
            <w:r w:rsidRPr="00E128FE">
              <w:rPr>
                <w:rFonts w:ascii="Arial" w:hAnsi="Arial" w:cs="Arial"/>
                <w:sz w:val="20"/>
                <w:szCs w:val="20"/>
                <w:lang w:val="en-US"/>
              </w:rPr>
              <w:t xml:space="preserve">Empagliflozin </w:t>
            </w:r>
            <w:r w:rsidR="003A5C9C" w:rsidRPr="00E128FE">
              <w:rPr>
                <w:rFonts w:ascii="Arial" w:hAnsi="Arial" w:cs="Arial"/>
                <w:sz w:val="20"/>
                <w:szCs w:val="20"/>
                <w:lang w:val="en-US"/>
              </w:rPr>
              <w:t>10mg/day</w:t>
            </w:r>
          </w:p>
        </w:tc>
        <w:tc>
          <w:tcPr>
            <w:tcW w:w="1020"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3EAEE8C3" w14:textId="77777777" w:rsidR="005C5FB6" w:rsidRPr="00E128FE" w:rsidRDefault="005C5FB6" w:rsidP="00AD7F9B">
            <w:pPr>
              <w:spacing w:after="0" w:line="240" w:lineRule="auto"/>
              <w:rPr>
                <w:rFonts w:ascii="Arial" w:hAnsi="Arial" w:cs="Arial"/>
                <w:sz w:val="20"/>
                <w:szCs w:val="20"/>
              </w:rPr>
            </w:pPr>
            <w:r w:rsidRPr="00E128FE">
              <w:rPr>
                <w:rFonts w:ascii="Arial" w:hAnsi="Arial" w:cs="Arial"/>
                <w:i/>
                <w:sz w:val="20"/>
                <w:szCs w:val="20"/>
                <w:lang w:val="en-US"/>
              </w:rPr>
              <w:t>P</w:t>
            </w:r>
            <w:r w:rsidRPr="00E128FE">
              <w:rPr>
                <w:rFonts w:ascii="Arial" w:hAnsi="Arial" w:cs="Arial"/>
                <w:sz w:val="20"/>
                <w:szCs w:val="20"/>
                <w:lang w:val="en-US"/>
              </w:rPr>
              <w:t>-value</w:t>
            </w:r>
          </w:p>
        </w:tc>
      </w:tr>
      <w:tr w:rsidR="00044BB0" w:rsidRPr="00E128FE" w14:paraId="6CEAC793" w14:textId="77777777" w:rsidTr="00044BB0">
        <w:trPr>
          <w:trHeight w:val="57"/>
        </w:trPr>
        <w:tc>
          <w:tcPr>
            <w:tcW w:w="4580" w:type="dxa"/>
            <w:tcBorders>
              <w:top w:val="single" w:sz="8" w:space="0" w:color="000000"/>
              <w:left w:val="nil"/>
              <w:right w:val="nil"/>
            </w:tcBorders>
            <w:shd w:val="clear" w:color="auto" w:fill="auto"/>
            <w:tcMar>
              <w:top w:w="72" w:type="dxa"/>
              <w:left w:w="144" w:type="dxa"/>
              <w:bottom w:w="72" w:type="dxa"/>
              <w:right w:w="144" w:type="dxa"/>
            </w:tcMar>
            <w:vAlign w:val="center"/>
          </w:tcPr>
          <w:p w14:paraId="27D1A13B" w14:textId="77777777" w:rsidR="005C5FB6" w:rsidRPr="00E128FE" w:rsidRDefault="005C5FB6" w:rsidP="00AD7F9B">
            <w:pPr>
              <w:spacing w:after="0" w:line="240" w:lineRule="auto"/>
              <w:rPr>
                <w:rFonts w:ascii="Arial" w:hAnsi="Arial" w:cs="Arial"/>
                <w:i/>
                <w:sz w:val="20"/>
                <w:szCs w:val="20"/>
                <w:lang w:val="en-US"/>
              </w:rPr>
            </w:pPr>
            <w:r w:rsidRPr="00E128FE">
              <w:rPr>
                <w:rFonts w:ascii="Arial" w:hAnsi="Arial" w:cs="Arial"/>
                <w:i/>
                <w:sz w:val="20"/>
                <w:szCs w:val="20"/>
                <w:lang w:val="en-US"/>
              </w:rPr>
              <w:t>Medication</w:t>
            </w:r>
          </w:p>
        </w:tc>
        <w:tc>
          <w:tcPr>
            <w:tcW w:w="1701" w:type="dxa"/>
            <w:tcBorders>
              <w:top w:val="single" w:sz="8" w:space="0" w:color="000000"/>
              <w:left w:val="nil"/>
              <w:right w:val="nil"/>
            </w:tcBorders>
            <w:shd w:val="clear" w:color="auto" w:fill="auto"/>
            <w:tcMar>
              <w:top w:w="72" w:type="dxa"/>
              <w:left w:w="144" w:type="dxa"/>
              <w:bottom w:w="72" w:type="dxa"/>
              <w:right w:w="144" w:type="dxa"/>
            </w:tcMar>
            <w:vAlign w:val="center"/>
          </w:tcPr>
          <w:p w14:paraId="30231E3D" w14:textId="77777777" w:rsidR="005C5FB6" w:rsidRPr="00E128FE" w:rsidRDefault="005C5FB6" w:rsidP="00AD7F9B">
            <w:pPr>
              <w:spacing w:after="0" w:line="240" w:lineRule="auto"/>
              <w:rPr>
                <w:rFonts w:ascii="Arial" w:hAnsi="Arial" w:cs="Arial"/>
                <w:i/>
                <w:sz w:val="20"/>
                <w:szCs w:val="20"/>
                <w:lang w:val="en-US"/>
              </w:rPr>
            </w:pPr>
          </w:p>
        </w:tc>
        <w:tc>
          <w:tcPr>
            <w:tcW w:w="1701" w:type="dxa"/>
            <w:tcBorders>
              <w:top w:val="single" w:sz="8" w:space="0" w:color="000000"/>
              <w:left w:val="nil"/>
              <w:right w:val="nil"/>
            </w:tcBorders>
            <w:shd w:val="clear" w:color="auto" w:fill="auto"/>
            <w:tcMar>
              <w:top w:w="72" w:type="dxa"/>
              <w:left w:w="144" w:type="dxa"/>
              <w:bottom w:w="72" w:type="dxa"/>
              <w:right w:w="144" w:type="dxa"/>
            </w:tcMar>
            <w:vAlign w:val="center"/>
          </w:tcPr>
          <w:p w14:paraId="4E4BE0C7" w14:textId="77777777" w:rsidR="005C5FB6" w:rsidRPr="00E128FE" w:rsidRDefault="005C5FB6" w:rsidP="00AD7F9B">
            <w:pPr>
              <w:spacing w:after="0" w:line="240" w:lineRule="auto"/>
              <w:rPr>
                <w:rFonts w:ascii="Arial" w:hAnsi="Arial" w:cs="Arial"/>
                <w:i/>
                <w:sz w:val="20"/>
                <w:szCs w:val="20"/>
                <w:lang w:val="en-US"/>
              </w:rPr>
            </w:pPr>
          </w:p>
        </w:tc>
        <w:tc>
          <w:tcPr>
            <w:tcW w:w="1020" w:type="dxa"/>
            <w:tcBorders>
              <w:top w:val="single" w:sz="8" w:space="0" w:color="000000"/>
              <w:left w:val="nil"/>
              <w:right w:val="nil"/>
            </w:tcBorders>
            <w:shd w:val="clear" w:color="auto" w:fill="auto"/>
            <w:tcMar>
              <w:top w:w="72" w:type="dxa"/>
              <w:left w:w="144" w:type="dxa"/>
              <w:bottom w:w="72" w:type="dxa"/>
              <w:right w:w="144" w:type="dxa"/>
            </w:tcMar>
            <w:vAlign w:val="center"/>
          </w:tcPr>
          <w:p w14:paraId="4FFB0B3B" w14:textId="77777777" w:rsidR="005C5FB6" w:rsidRPr="00E128FE" w:rsidRDefault="005C5FB6" w:rsidP="00AD7F9B">
            <w:pPr>
              <w:spacing w:after="0" w:line="240" w:lineRule="auto"/>
              <w:rPr>
                <w:rFonts w:ascii="Arial" w:hAnsi="Arial" w:cs="Arial"/>
                <w:i/>
                <w:sz w:val="20"/>
                <w:szCs w:val="20"/>
                <w:lang w:val="en-US"/>
              </w:rPr>
            </w:pPr>
          </w:p>
        </w:tc>
      </w:tr>
      <w:tr w:rsidR="00044BB0" w:rsidRPr="00E128FE" w14:paraId="193025EB" w14:textId="77777777" w:rsidTr="00044BB0">
        <w:trPr>
          <w:trHeight w:val="57"/>
        </w:trPr>
        <w:tc>
          <w:tcPr>
            <w:tcW w:w="4580" w:type="dxa"/>
            <w:tcBorders>
              <w:top w:val="nil"/>
              <w:left w:val="nil"/>
              <w:right w:val="nil"/>
            </w:tcBorders>
            <w:shd w:val="clear" w:color="auto" w:fill="auto"/>
            <w:tcMar>
              <w:top w:w="72" w:type="dxa"/>
              <w:left w:w="144" w:type="dxa"/>
              <w:bottom w:w="72" w:type="dxa"/>
              <w:right w:w="144" w:type="dxa"/>
            </w:tcMar>
            <w:vAlign w:val="center"/>
          </w:tcPr>
          <w:p w14:paraId="05F736E3" w14:textId="77777777" w:rsidR="005C5FB6" w:rsidRPr="00E128FE" w:rsidRDefault="005C5FB6" w:rsidP="00AD7F9B">
            <w:pPr>
              <w:spacing w:after="0" w:line="240" w:lineRule="auto"/>
              <w:rPr>
                <w:rFonts w:ascii="Arial" w:hAnsi="Arial" w:cs="Arial"/>
                <w:sz w:val="20"/>
                <w:szCs w:val="20"/>
                <w:lang w:val="en-US"/>
              </w:rPr>
            </w:pPr>
            <w:r w:rsidRPr="00E128FE">
              <w:rPr>
                <w:rFonts w:ascii="Arial" w:hAnsi="Arial" w:cs="Arial"/>
                <w:sz w:val="20"/>
                <w:szCs w:val="20"/>
                <w:lang w:val="en-US"/>
              </w:rPr>
              <w:t xml:space="preserve">  Antidiabetic medication</w:t>
            </w:r>
          </w:p>
        </w:tc>
        <w:tc>
          <w:tcPr>
            <w:tcW w:w="1701" w:type="dxa"/>
            <w:tcBorders>
              <w:top w:val="nil"/>
              <w:left w:val="nil"/>
              <w:right w:val="nil"/>
            </w:tcBorders>
            <w:shd w:val="clear" w:color="auto" w:fill="auto"/>
            <w:tcMar>
              <w:top w:w="72" w:type="dxa"/>
              <w:left w:w="144" w:type="dxa"/>
              <w:bottom w:w="72" w:type="dxa"/>
              <w:right w:w="144" w:type="dxa"/>
            </w:tcMar>
            <w:vAlign w:val="center"/>
          </w:tcPr>
          <w:p w14:paraId="780145E7" w14:textId="77777777" w:rsidR="005C5FB6" w:rsidRPr="00E128FE" w:rsidRDefault="005C5FB6" w:rsidP="00AD7F9B">
            <w:pPr>
              <w:spacing w:after="0" w:line="240" w:lineRule="auto"/>
              <w:rPr>
                <w:rFonts w:ascii="Arial" w:hAnsi="Arial" w:cs="Arial"/>
                <w:sz w:val="20"/>
                <w:szCs w:val="20"/>
                <w:lang w:val="en-US"/>
              </w:rPr>
            </w:pPr>
          </w:p>
        </w:tc>
        <w:tc>
          <w:tcPr>
            <w:tcW w:w="1701" w:type="dxa"/>
            <w:tcBorders>
              <w:top w:val="nil"/>
              <w:left w:val="nil"/>
              <w:right w:val="nil"/>
            </w:tcBorders>
            <w:shd w:val="clear" w:color="auto" w:fill="auto"/>
            <w:tcMar>
              <w:top w:w="72" w:type="dxa"/>
              <w:left w:w="144" w:type="dxa"/>
              <w:bottom w:w="72" w:type="dxa"/>
              <w:right w:w="144" w:type="dxa"/>
            </w:tcMar>
            <w:vAlign w:val="center"/>
          </w:tcPr>
          <w:p w14:paraId="63E3ABE6" w14:textId="77777777" w:rsidR="005C5FB6" w:rsidRPr="00E128FE" w:rsidRDefault="005C5FB6" w:rsidP="00AD7F9B">
            <w:pPr>
              <w:spacing w:after="0" w:line="240" w:lineRule="auto"/>
              <w:rPr>
                <w:rFonts w:ascii="Arial" w:hAnsi="Arial" w:cs="Arial"/>
                <w:sz w:val="20"/>
                <w:szCs w:val="20"/>
                <w:lang w:val="en-US"/>
              </w:rPr>
            </w:pPr>
          </w:p>
        </w:tc>
        <w:tc>
          <w:tcPr>
            <w:tcW w:w="1020" w:type="dxa"/>
            <w:tcBorders>
              <w:top w:val="nil"/>
              <w:left w:val="nil"/>
              <w:right w:val="nil"/>
            </w:tcBorders>
            <w:shd w:val="clear" w:color="auto" w:fill="auto"/>
            <w:tcMar>
              <w:top w:w="72" w:type="dxa"/>
              <w:left w:w="144" w:type="dxa"/>
              <w:bottom w:w="72" w:type="dxa"/>
              <w:right w:w="144" w:type="dxa"/>
            </w:tcMar>
            <w:vAlign w:val="center"/>
          </w:tcPr>
          <w:p w14:paraId="30466F7F" w14:textId="77777777" w:rsidR="005C5FB6" w:rsidRPr="00E128FE" w:rsidRDefault="005C5FB6" w:rsidP="00AD7F9B">
            <w:pPr>
              <w:spacing w:after="0" w:line="240" w:lineRule="auto"/>
              <w:rPr>
                <w:rFonts w:ascii="Arial" w:hAnsi="Arial" w:cs="Arial"/>
                <w:sz w:val="20"/>
                <w:szCs w:val="20"/>
                <w:lang w:val="en-US"/>
              </w:rPr>
            </w:pPr>
          </w:p>
        </w:tc>
      </w:tr>
      <w:tr w:rsidR="00044BB0" w:rsidRPr="00E128FE" w14:paraId="39861042" w14:textId="77777777" w:rsidTr="00044BB0">
        <w:trPr>
          <w:trHeight w:val="57"/>
        </w:trPr>
        <w:tc>
          <w:tcPr>
            <w:tcW w:w="4580" w:type="dxa"/>
            <w:tcBorders>
              <w:left w:val="nil"/>
              <w:right w:val="nil"/>
            </w:tcBorders>
            <w:shd w:val="clear" w:color="auto" w:fill="auto"/>
            <w:tcMar>
              <w:top w:w="72" w:type="dxa"/>
              <w:left w:w="144" w:type="dxa"/>
              <w:bottom w:w="72" w:type="dxa"/>
              <w:right w:w="144" w:type="dxa"/>
            </w:tcMar>
          </w:tcPr>
          <w:p w14:paraId="672B667C" w14:textId="77777777" w:rsidR="005744D1" w:rsidRPr="00E128FE" w:rsidRDefault="005744D1" w:rsidP="00E35538">
            <w:pPr>
              <w:spacing w:after="0" w:line="240" w:lineRule="auto"/>
              <w:rPr>
                <w:rFonts w:ascii="Arial" w:hAnsi="Arial" w:cs="Arial"/>
                <w:sz w:val="20"/>
                <w:szCs w:val="20"/>
                <w:lang w:val="en-US"/>
              </w:rPr>
            </w:pPr>
            <w:r w:rsidRPr="00E128FE">
              <w:rPr>
                <w:rFonts w:ascii="Arial" w:hAnsi="Arial" w:cs="Arial"/>
                <w:sz w:val="20"/>
                <w:szCs w:val="20"/>
                <w:lang w:val="en-US"/>
              </w:rPr>
              <w:t xml:space="preserve">    Insulin (</w:t>
            </w:r>
            <w:r w:rsidR="00E35538" w:rsidRPr="00E128FE">
              <w:rPr>
                <w:rFonts w:ascii="Arial" w:hAnsi="Arial" w:cs="Arial"/>
                <w:sz w:val="20"/>
                <w:szCs w:val="20"/>
                <w:lang w:val="en-US"/>
              </w:rPr>
              <w:t>A10A</w:t>
            </w:r>
            <w:r w:rsidRPr="00E128FE">
              <w:rPr>
                <w:rFonts w:ascii="Arial" w:hAnsi="Arial" w:cs="Arial"/>
                <w:sz w:val="20"/>
                <w:szCs w:val="20"/>
                <w:lang w:val="en-US"/>
              </w:rPr>
              <w:t>) – [%] (n)</w:t>
            </w:r>
          </w:p>
        </w:tc>
        <w:tc>
          <w:tcPr>
            <w:tcW w:w="1701" w:type="dxa"/>
            <w:tcBorders>
              <w:left w:val="nil"/>
              <w:right w:val="nil"/>
            </w:tcBorders>
            <w:shd w:val="clear" w:color="auto" w:fill="auto"/>
            <w:tcMar>
              <w:top w:w="72" w:type="dxa"/>
              <w:left w:w="144" w:type="dxa"/>
              <w:bottom w:w="72" w:type="dxa"/>
              <w:right w:w="144" w:type="dxa"/>
            </w:tcMar>
          </w:tcPr>
          <w:p w14:paraId="07079325"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45.1% (32)</w:t>
            </w:r>
          </w:p>
        </w:tc>
        <w:tc>
          <w:tcPr>
            <w:tcW w:w="1701" w:type="dxa"/>
            <w:tcBorders>
              <w:left w:val="nil"/>
              <w:right w:val="nil"/>
            </w:tcBorders>
            <w:shd w:val="clear" w:color="auto" w:fill="auto"/>
            <w:tcMar>
              <w:top w:w="72" w:type="dxa"/>
              <w:left w:w="144" w:type="dxa"/>
              <w:bottom w:w="72" w:type="dxa"/>
              <w:right w:w="144" w:type="dxa"/>
            </w:tcMar>
          </w:tcPr>
          <w:p w14:paraId="48A49BBA"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50.7% (36)</w:t>
            </w:r>
          </w:p>
        </w:tc>
        <w:tc>
          <w:tcPr>
            <w:tcW w:w="1020" w:type="dxa"/>
            <w:tcBorders>
              <w:left w:val="nil"/>
              <w:right w:val="nil"/>
            </w:tcBorders>
            <w:shd w:val="clear" w:color="auto" w:fill="auto"/>
            <w:tcMar>
              <w:top w:w="72" w:type="dxa"/>
              <w:left w:w="144" w:type="dxa"/>
              <w:bottom w:w="72" w:type="dxa"/>
              <w:right w:w="144" w:type="dxa"/>
            </w:tcMar>
          </w:tcPr>
          <w:p w14:paraId="6DF70BA1"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0.61</w:t>
            </w:r>
          </w:p>
        </w:tc>
      </w:tr>
      <w:tr w:rsidR="00044BB0" w:rsidRPr="00E128FE" w14:paraId="5D7248A9" w14:textId="77777777" w:rsidTr="00044BB0">
        <w:trPr>
          <w:trHeight w:val="57"/>
        </w:trPr>
        <w:tc>
          <w:tcPr>
            <w:tcW w:w="4580" w:type="dxa"/>
            <w:tcBorders>
              <w:left w:val="nil"/>
              <w:right w:val="nil"/>
            </w:tcBorders>
            <w:shd w:val="clear" w:color="auto" w:fill="auto"/>
            <w:tcMar>
              <w:top w:w="72" w:type="dxa"/>
              <w:left w:w="144" w:type="dxa"/>
              <w:bottom w:w="72" w:type="dxa"/>
              <w:right w:w="144" w:type="dxa"/>
            </w:tcMar>
          </w:tcPr>
          <w:p w14:paraId="672A75B0" w14:textId="77777777" w:rsidR="005744D1" w:rsidRPr="00E128FE" w:rsidRDefault="005744D1" w:rsidP="00BA00CC">
            <w:pPr>
              <w:spacing w:after="0" w:line="240" w:lineRule="auto"/>
              <w:rPr>
                <w:rFonts w:ascii="Arial" w:hAnsi="Arial" w:cs="Arial"/>
                <w:sz w:val="20"/>
                <w:szCs w:val="20"/>
                <w:lang w:val="en-US"/>
              </w:rPr>
            </w:pPr>
            <w:r w:rsidRPr="00E128FE">
              <w:rPr>
                <w:rFonts w:ascii="Arial" w:hAnsi="Arial" w:cs="Arial"/>
                <w:sz w:val="20"/>
                <w:szCs w:val="20"/>
                <w:lang w:val="en-US"/>
              </w:rPr>
              <w:t xml:space="preserve">    Antidiabetics excl</w:t>
            </w:r>
            <w:r w:rsidR="00BA00CC" w:rsidRPr="00E128FE">
              <w:rPr>
                <w:rFonts w:ascii="Arial" w:hAnsi="Arial" w:cs="Arial"/>
                <w:sz w:val="20"/>
                <w:szCs w:val="20"/>
                <w:lang w:val="en-US"/>
              </w:rPr>
              <w:t>.</w:t>
            </w:r>
            <w:r w:rsidRPr="00E128FE">
              <w:rPr>
                <w:rFonts w:ascii="Arial" w:hAnsi="Arial" w:cs="Arial"/>
                <w:sz w:val="20"/>
                <w:szCs w:val="20"/>
                <w:lang w:val="en-US"/>
              </w:rPr>
              <w:t xml:space="preserve"> insulin (</w:t>
            </w:r>
            <w:r w:rsidR="00E35538" w:rsidRPr="00E128FE">
              <w:rPr>
                <w:rFonts w:ascii="Arial" w:hAnsi="Arial" w:cs="Arial"/>
                <w:sz w:val="20"/>
                <w:szCs w:val="20"/>
                <w:lang w:val="en-US"/>
              </w:rPr>
              <w:t>A10B</w:t>
            </w:r>
            <w:r w:rsidRPr="00E128FE">
              <w:rPr>
                <w:rFonts w:ascii="Arial" w:hAnsi="Arial" w:cs="Arial"/>
                <w:sz w:val="20"/>
                <w:szCs w:val="20"/>
                <w:lang w:val="en-US"/>
              </w:rPr>
              <w:t>) – [%] (n)</w:t>
            </w:r>
          </w:p>
        </w:tc>
        <w:tc>
          <w:tcPr>
            <w:tcW w:w="1701" w:type="dxa"/>
            <w:tcBorders>
              <w:left w:val="nil"/>
              <w:right w:val="nil"/>
            </w:tcBorders>
            <w:shd w:val="clear" w:color="auto" w:fill="auto"/>
            <w:tcMar>
              <w:top w:w="72" w:type="dxa"/>
              <w:left w:w="144" w:type="dxa"/>
              <w:bottom w:w="72" w:type="dxa"/>
              <w:right w:w="144" w:type="dxa"/>
            </w:tcMar>
          </w:tcPr>
          <w:p w14:paraId="62F1C63D"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87.3%% (62)</w:t>
            </w:r>
          </w:p>
        </w:tc>
        <w:tc>
          <w:tcPr>
            <w:tcW w:w="1701" w:type="dxa"/>
            <w:tcBorders>
              <w:left w:val="nil"/>
              <w:right w:val="nil"/>
            </w:tcBorders>
            <w:shd w:val="clear" w:color="auto" w:fill="auto"/>
            <w:tcMar>
              <w:top w:w="72" w:type="dxa"/>
              <w:left w:w="144" w:type="dxa"/>
              <w:bottom w:w="72" w:type="dxa"/>
              <w:right w:w="144" w:type="dxa"/>
            </w:tcMar>
          </w:tcPr>
          <w:p w14:paraId="704F022D"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88.7% (63)</w:t>
            </w:r>
          </w:p>
        </w:tc>
        <w:tc>
          <w:tcPr>
            <w:tcW w:w="1020" w:type="dxa"/>
            <w:tcBorders>
              <w:left w:val="nil"/>
              <w:right w:val="nil"/>
            </w:tcBorders>
            <w:shd w:val="clear" w:color="auto" w:fill="auto"/>
            <w:tcMar>
              <w:top w:w="72" w:type="dxa"/>
              <w:left w:w="144" w:type="dxa"/>
              <w:bottom w:w="72" w:type="dxa"/>
              <w:right w:w="144" w:type="dxa"/>
            </w:tcMar>
          </w:tcPr>
          <w:p w14:paraId="22136765"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1.00</w:t>
            </w:r>
          </w:p>
        </w:tc>
      </w:tr>
      <w:tr w:rsidR="00044BB0" w:rsidRPr="00E128FE" w14:paraId="462A0088" w14:textId="77777777" w:rsidTr="00044BB0">
        <w:trPr>
          <w:trHeight w:val="57"/>
        </w:trPr>
        <w:tc>
          <w:tcPr>
            <w:tcW w:w="4580" w:type="dxa"/>
            <w:tcBorders>
              <w:left w:val="nil"/>
              <w:right w:val="nil"/>
            </w:tcBorders>
            <w:shd w:val="clear" w:color="auto" w:fill="auto"/>
            <w:tcMar>
              <w:top w:w="72" w:type="dxa"/>
              <w:left w:w="144" w:type="dxa"/>
              <w:bottom w:w="72" w:type="dxa"/>
              <w:right w:w="144" w:type="dxa"/>
            </w:tcMar>
          </w:tcPr>
          <w:p w14:paraId="045A535D"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 xml:space="preserve">       Biguanides </w:t>
            </w:r>
            <w:r w:rsidR="00E35538" w:rsidRPr="00E128FE">
              <w:rPr>
                <w:rFonts w:ascii="Arial" w:hAnsi="Arial" w:cs="Arial"/>
                <w:sz w:val="20"/>
                <w:szCs w:val="20"/>
                <w:lang w:val="en-US"/>
              </w:rPr>
              <w:t>(A10BA)</w:t>
            </w:r>
            <w:r w:rsidRPr="00E128FE">
              <w:rPr>
                <w:rFonts w:ascii="Arial" w:hAnsi="Arial" w:cs="Arial"/>
                <w:sz w:val="20"/>
                <w:szCs w:val="20"/>
                <w:lang w:val="en-US"/>
              </w:rPr>
              <w:t>– [%] (n)</w:t>
            </w:r>
          </w:p>
        </w:tc>
        <w:tc>
          <w:tcPr>
            <w:tcW w:w="1701" w:type="dxa"/>
            <w:tcBorders>
              <w:left w:val="nil"/>
              <w:right w:val="nil"/>
            </w:tcBorders>
            <w:shd w:val="clear" w:color="auto" w:fill="auto"/>
            <w:tcMar>
              <w:top w:w="72" w:type="dxa"/>
              <w:left w:w="144" w:type="dxa"/>
              <w:bottom w:w="72" w:type="dxa"/>
              <w:right w:w="144" w:type="dxa"/>
            </w:tcMar>
          </w:tcPr>
          <w:p w14:paraId="183CD3B4"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60.6% (43)</w:t>
            </w:r>
          </w:p>
        </w:tc>
        <w:tc>
          <w:tcPr>
            <w:tcW w:w="1701" w:type="dxa"/>
            <w:tcBorders>
              <w:left w:val="nil"/>
              <w:right w:val="nil"/>
            </w:tcBorders>
            <w:shd w:val="clear" w:color="auto" w:fill="auto"/>
            <w:tcMar>
              <w:top w:w="72" w:type="dxa"/>
              <w:left w:w="144" w:type="dxa"/>
              <w:bottom w:w="72" w:type="dxa"/>
              <w:right w:w="144" w:type="dxa"/>
            </w:tcMar>
          </w:tcPr>
          <w:p w14:paraId="70926DB7"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67.6% (48)</w:t>
            </w:r>
          </w:p>
        </w:tc>
        <w:tc>
          <w:tcPr>
            <w:tcW w:w="1020" w:type="dxa"/>
            <w:tcBorders>
              <w:left w:val="nil"/>
              <w:right w:val="nil"/>
            </w:tcBorders>
            <w:shd w:val="clear" w:color="auto" w:fill="auto"/>
            <w:tcMar>
              <w:top w:w="72" w:type="dxa"/>
              <w:left w:w="144" w:type="dxa"/>
              <w:bottom w:w="72" w:type="dxa"/>
              <w:right w:w="144" w:type="dxa"/>
            </w:tcMar>
          </w:tcPr>
          <w:p w14:paraId="3C87F0B4"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0.48</w:t>
            </w:r>
          </w:p>
        </w:tc>
      </w:tr>
      <w:tr w:rsidR="00044BB0" w:rsidRPr="00E128FE" w14:paraId="2B58DE12" w14:textId="77777777" w:rsidTr="00044BB0">
        <w:trPr>
          <w:trHeight w:val="57"/>
        </w:trPr>
        <w:tc>
          <w:tcPr>
            <w:tcW w:w="4580" w:type="dxa"/>
            <w:tcBorders>
              <w:left w:val="nil"/>
              <w:right w:val="nil"/>
            </w:tcBorders>
            <w:shd w:val="clear" w:color="auto" w:fill="auto"/>
            <w:tcMar>
              <w:top w:w="72" w:type="dxa"/>
              <w:left w:w="144" w:type="dxa"/>
              <w:bottom w:w="72" w:type="dxa"/>
              <w:right w:w="144" w:type="dxa"/>
            </w:tcMar>
          </w:tcPr>
          <w:p w14:paraId="546344C3"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 xml:space="preserve">       Sulfonylurea </w:t>
            </w:r>
            <w:r w:rsidR="00E35538" w:rsidRPr="00E128FE">
              <w:rPr>
                <w:rFonts w:ascii="Arial" w:hAnsi="Arial" w:cs="Arial"/>
                <w:sz w:val="20"/>
                <w:szCs w:val="20"/>
                <w:lang w:val="en-US"/>
              </w:rPr>
              <w:t>(A10BB)</w:t>
            </w:r>
            <w:r w:rsidRPr="00E128FE">
              <w:rPr>
                <w:rFonts w:ascii="Arial" w:hAnsi="Arial" w:cs="Arial"/>
                <w:sz w:val="20"/>
                <w:szCs w:val="20"/>
                <w:lang w:val="en-US"/>
              </w:rPr>
              <w:t>– [%] (n)</w:t>
            </w:r>
          </w:p>
        </w:tc>
        <w:tc>
          <w:tcPr>
            <w:tcW w:w="1701" w:type="dxa"/>
            <w:tcBorders>
              <w:left w:val="nil"/>
              <w:right w:val="nil"/>
            </w:tcBorders>
            <w:shd w:val="clear" w:color="auto" w:fill="auto"/>
            <w:tcMar>
              <w:top w:w="72" w:type="dxa"/>
              <w:left w:w="144" w:type="dxa"/>
              <w:bottom w:w="72" w:type="dxa"/>
              <w:right w:w="144" w:type="dxa"/>
            </w:tcMar>
          </w:tcPr>
          <w:p w14:paraId="7F51C121"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7.0% (5)</w:t>
            </w:r>
          </w:p>
        </w:tc>
        <w:tc>
          <w:tcPr>
            <w:tcW w:w="1701" w:type="dxa"/>
            <w:tcBorders>
              <w:left w:val="nil"/>
              <w:right w:val="nil"/>
            </w:tcBorders>
            <w:shd w:val="clear" w:color="auto" w:fill="auto"/>
            <w:tcMar>
              <w:top w:w="72" w:type="dxa"/>
              <w:left w:w="144" w:type="dxa"/>
              <w:bottom w:w="72" w:type="dxa"/>
              <w:right w:w="144" w:type="dxa"/>
            </w:tcMar>
          </w:tcPr>
          <w:p w14:paraId="7E6B1C73"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1.4% (1)</w:t>
            </w:r>
          </w:p>
        </w:tc>
        <w:tc>
          <w:tcPr>
            <w:tcW w:w="1020" w:type="dxa"/>
            <w:tcBorders>
              <w:left w:val="nil"/>
              <w:right w:val="nil"/>
            </w:tcBorders>
            <w:shd w:val="clear" w:color="auto" w:fill="auto"/>
            <w:tcMar>
              <w:top w:w="72" w:type="dxa"/>
              <w:left w:w="144" w:type="dxa"/>
              <w:bottom w:w="72" w:type="dxa"/>
              <w:right w:w="144" w:type="dxa"/>
            </w:tcMar>
          </w:tcPr>
          <w:p w14:paraId="6E2F6594"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0.21</w:t>
            </w:r>
          </w:p>
        </w:tc>
      </w:tr>
      <w:tr w:rsidR="00044BB0" w:rsidRPr="00E128FE" w14:paraId="68C64C17" w14:textId="77777777" w:rsidTr="00044BB0">
        <w:trPr>
          <w:trHeight w:val="57"/>
        </w:trPr>
        <w:tc>
          <w:tcPr>
            <w:tcW w:w="4580" w:type="dxa"/>
            <w:tcBorders>
              <w:left w:val="nil"/>
              <w:right w:val="nil"/>
            </w:tcBorders>
            <w:shd w:val="clear" w:color="auto" w:fill="auto"/>
            <w:tcMar>
              <w:top w:w="72" w:type="dxa"/>
              <w:left w:w="144" w:type="dxa"/>
              <w:bottom w:w="72" w:type="dxa"/>
              <w:right w:w="144" w:type="dxa"/>
            </w:tcMar>
          </w:tcPr>
          <w:p w14:paraId="0B4C2365" w14:textId="77777777" w:rsidR="005744D1" w:rsidRPr="00E128FE" w:rsidRDefault="005744D1" w:rsidP="00BA00CC">
            <w:pPr>
              <w:spacing w:after="0" w:line="240" w:lineRule="auto"/>
              <w:rPr>
                <w:rFonts w:ascii="Arial" w:hAnsi="Arial" w:cs="Arial"/>
                <w:sz w:val="20"/>
                <w:szCs w:val="20"/>
                <w:lang w:val="en-US"/>
              </w:rPr>
            </w:pPr>
            <w:r w:rsidRPr="00E128FE">
              <w:rPr>
                <w:rFonts w:ascii="Arial" w:hAnsi="Arial" w:cs="Arial"/>
                <w:sz w:val="20"/>
                <w:szCs w:val="20"/>
                <w:lang w:val="en-US"/>
              </w:rPr>
              <w:t xml:space="preserve">       </w:t>
            </w:r>
            <w:r w:rsidR="00BA00CC" w:rsidRPr="00E128FE">
              <w:rPr>
                <w:rFonts w:ascii="Arial" w:hAnsi="Arial" w:cs="Arial"/>
                <w:sz w:val="20"/>
                <w:szCs w:val="20"/>
                <w:lang w:val="en-US"/>
              </w:rPr>
              <w:t>α</w:t>
            </w:r>
            <w:r w:rsidRPr="00E128FE">
              <w:rPr>
                <w:rFonts w:ascii="Arial" w:hAnsi="Arial" w:cs="Arial"/>
                <w:sz w:val="20"/>
                <w:szCs w:val="20"/>
                <w:lang w:val="en-US"/>
              </w:rPr>
              <w:t xml:space="preserve">-glucosidase inhibitors </w:t>
            </w:r>
            <w:r w:rsidR="00E35538" w:rsidRPr="00E128FE">
              <w:rPr>
                <w:rFonts w:ascii="Arial" w:hAnsi="Arial" w:cs="Arial"/>
                <w:sz w:val="20"/>
                <w:szCs w:val="20"/>
                <w:lang w:val="en-US"/>
              </w:rPr>
              <w:t>(A10BF)</w:t>
            </w:r>
            <w:r w:rsidR="00BA00CC" w:rsidRPr="00E128FE">
              <w:rPr>
                <w:rFonts w:ascii="Arial" w:hAnsi="Arial" w:cs="Arial"/>
                <w:sz w:val="20"/>
                <w:szCs w:val="20"/>
                <w:lang w:val="en-US"/>
              </w:rPr>
              <w:t xml:space="preserve"> </w:t>
            </w:r>
            <w:r w:rsidRPr="00E128FE">
              <w:rPr>
                <w:rFonts w:ascii="Arial" w:hAnsi="Arial" w:cs="Arial"/>
                <w:sz w:val="20"/>
                <w:szCs w:val="20"/>
                <w:lang w:val="en-US"/>
              </w:rPr>
              <w:t>– [%] (n)</w:t>
            </w:r>
          </w:p>
        </w:tc>
        <w:tc>
          <w:tcPr>
            <w:tcW w:w="1701" w:type="dxa"/>
            <w:tcBorders>
              <w:left w:val="nil"/>
              <w:right w:val="nil"/>
            </w:tcBorders>
            <w:shd w:val="clear" w:color="auto" w:fill="auto"/>
            <w:tcMar>
              <w:top w:w="72" w:type="dxa"/>
              <w:left w:w="144" w:type="dxa"/>
              <w:bottom w:w="72" w:type="dxa"/>
              <w:right w:w="144" w:type="dxa"/>
            </w:tcMar>
          </w:tcPr>
          <w:p w14:paraId="02F69EC8"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1.4% (1)</w:t>
            </w:r>
          </w:p>
        </w:tc>
        <w:tc>
          <w:tcPr>
            <w:tcW w:w="1701" w:type="dxa"/>
            <w:tcBorders>
              <w:left w:val="nil"/>
              <w:right w:val="nil"/>
            </w:tcBorders>
            <w:shd w:val="clear" w:color="auto" w:fill="auto"/>
            <w:tcMar>
              <w:top w:w="72" w:type="dxa"/>
              <w:left w:w="144" w:type="dxa"/>
              <w:bottom w:w="72" w:type="dxa"/>
              <w:right w:w="144" w:type="dxa"/>
            </w:tcMar>
          </w:tcPr>
          <w:p w14:paraId="4A35FDE7"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0</w:t>
            </w:r>
            <w:r w:rsidR="00AD7F9B" w:rsidRPr="00E128FE">
              <w:rPr>
                <w:rFonts w:ascii="Arial" w:hAnsi="Arial" w:cs="Arial"/>
                <w:sz w:val="20"/>
                <w:szCs w:val="20"/>
                <w:lang w:val="en-US"/>
              </w:rPr>
              <w:t xml:space="preserve"> (0)</w:t>
            </w:r>
          </w:p>
        </w:tc>
        <w:tc>
          <w:tcPr>
            <w:tcW w:w="1020" w:type="dxa"/>
            <w:tcBorders>
              <w:left w:val="nil"/>
              <w:right w:val="nil"/>
            </w:tcBorders>
            <w:shd w:val="clear" w:color="auto" w:fill="auto"/>
            <w:tcMar>
              <w:top w:w="72" w:type="dxa"/>
              <w:left w:w="144" w:type="dxa"/>
              <w:bottom w:w="72" w:type="dxa"/>
              <w:right w:w="144" w:type="dxa"/>
            </w:tcMar>
          </w:tcPr>
          <w:p w14:paraId="145A56F2"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1.00</w:t>
            </w:r>
          </w:p>
        </w:tc>
      </w:tr>
      <w:tr w:rsidR="00044BB0" w:rsidRPr="00E128FE" w14:paraId="4B12033C" w14:textId="77777777" w:rsidTr="00044BB0">
        <w:trPr>
          <w:trHeight w:val="57"/>
        </w:trPr>
        <w:tc>
          <w:tcPr>
            <w:tcW w:w="4580" w:type="dxa"/>
            <w:tcBorders>
              <w:left w:val="nil"/>
              <w:right w:val="nil"/>
            </w:tcBorders>
            <w:shd w:val="clear" w:color="auto" w:fill="auto"/>
            <w:tcMar>
              <w:top w:w="72" w:type="dxa"/>
              <w:left w:w="144" w:type="dxa"/>
              <w:bottom w:w="72" w:type="dxa"/>
              <w:right w:w="144" w:type="dxa"/>
            </w:tcMar>
          </w:tcPr>
          <w:p w14:paraId="1A6207D1"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 xml:space="preserve">       Thiazolidinediones</w:t>
            </w:r>
            <w:r w:rsidR="00E35538" w:rsidRPr="00E128FE">
              <w:rPr>
                <w:rFonts w:ascii="Arial" w:hAnsi="Arial" w:cs="Arial"/>
                <w:sz w:val="20"/>
                <w:szCs w:val="20"/>
                <w:lang w:val="en-US"/>
              </w:rPr>
              <w:t xml:space="preserve"> (A10BG)</w:t>
            </w:r>
            <w:r w:rsidRPr="00E128FE">
              <w:rPr>
                <w:rFonts w:ascii="Arial" w:hAnsi="Arial" w:cs="Arial"/>
                <w:sz w:val="20"/>
                <w:szCs w:val="20"/>
                <w:lang w:val="en-US"/>
              </w:rPr>
              <w:t xml:space="preserve"> – [%] (n)</w:t>
            </w:r>
          </w:p>
        </w:tc>
        <w:tc>
          <w:tcPr>
            <w:tcW w:w="1701" w:type="dxa"/>
            <w:tcBorders>
              <w:left w:val="nil"/>
              <w:right w:val="nil"/>
            </w:tcBorders>
            <w:shd w:val="clear" w:color="auto" w:fill="auto"/>
            <w:tcMar>
              <w:top w:w="72" w:type="dxa"/>
              <w:left w:w="144" w:type="dxa"/>
              <w:bottom w:w="72" w:type="dxa"/>
              <w:right w:w="144" w:type="dxa"/>
            </w:tcMar>
          </w:tcPr>
          <w:p w14:paraId="3DD2A143"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1.4% (1)</w:t>
            </w:r>
          </w:p>
        </w:tc>
        <w:tc>
          <w:tcPr>
            <w:tcW w:w="1701" w:type="dxa"/>
            <w:tcBorders>
              <w:left w:val="nil"/>
              <w:right w:val="nil"/>
            </w:tcBorders>
            <w:shd w:val="clear" w:color="auto" w:fill="auto"/>
            <w:tcMar>
              <w:top w:w="72" w:type="dxa"/>
              <w:left w:w="144" w:type="dxa"/>
              <w:bottom w:w="72" w:type="dxa"/>
              <w:right w:w="144" w:type="dxa"/>
            </w:tcMar>
          </w:tcPr>
          <w:p w14:paraId="548153FE"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0</w:t>
            </w:r>
            <w:r w:rsidR="00AD7F9B" w:rsidRPr="00E128FE">
              <w:rPr>
                <w:rFonts w:ascii="Arial" w:hAnsi="Arial" w:cs="Arial"/>
                <w:sz w:val="20"/>
                <w:szCs w:val="20"/>
                <w:lang w:val="en-US"/>
              </w:rPr>
              <w:t xml:space="preserve"> (0)</w:t>
            </w:r>
          </w:p>
        </w:tc>
        <w:tc>
          <w:tcPr>
            <w:tcW w:w="1020" w:type="dxa"/>
            <w:tcBorders>
              <w:left w:val="nil"/>
              <w:right w:val="nil"/>
            </w:tcBorders>
            <w:shd w:val="clear" w:color="auto" w:fill="auto"/>
            <w:tcMar>
              <w:top w:w="72" w:type="dxa"/>
              <w:left w:w="144" w:type="dxa"/>
              <w:bottom w:w="72" w:type="dxa"/>
              <w:right w:w="144" w:type="dxa"/>
            </w:tcMar>
          </w:tcPr>
          <w:p w14:paraId="00800A26"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1.00</w:t>
            </w:r>
          </w:p>
        </w:tc>
      </w:tr>
      <w:tr w:rsidR="00044BB0" w:rsidRPr="00E128FE" w14:paraId="085F64BD" w14:textId="77777777" w:rsidTr="00044BB0">
        <w:trPr>
          <w:trHeight w:val="57"/>
        </w:trPr>
        <w:tc>
          <w:tcPr>
            <w:tcW w:w="4580" w:type="dxa"/>
            <w:tcBorders>
              <w:left w:val="nil"/>
              <w:right w:val="nil"/>
            </w:tcBorders>
            <w:shd w:val="clear" w:color="auto" w:fill="auto"/>
            <w:tcMar>
              <w:top w:w="72" w:type="dxa"/>
              <w:left w:w="144" w:type="dxa"/>
              <w:bottom w:w="72" w:type="dxa"/>
              <w:right w:w="144" w:type="dxa"/>
            </w:tcMar>
          </w:tcPr>
          <w:p w14:paraId="0D12EDD1"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 xml:space="preserve">       DPP-4 inhibitors</w:t>
            </w:r>
            <w:r w:rsidR="00E35538" w:rsidRPr="00E128FE">
              <w:rPr>
                <w:rFonts w:ascii="Arial" w:hAnsi="Arial" w:cs="Arial"/>
                <w:sz w:val="20"/>
                <w:szCs w:val="20"/>
                <w:lang w:val="en-US"/>
              </w:rPr>
              <w:t xml:space="preserve"> (A10BH)</w:t>
            </w:r>
            <w:r w:rsidRPr="00E128FE">
              <w:rPr>
                <w:rFonts w:ascii="Arial" w:hAnsi="Arial" w:cs="Arial"/>
                <w:sz w:val="20"/>
                <w:szCs w:val="20"/>
                <w:lang w:val="en-US"/>
              </w:rPr>
              <w:t xml:space="preserve"> – [%] (n)</w:t>
            </w:r>
          </w:p>
        </w:tc>
        <w:tc>
          <w:tcPr>
            <w:tcW w:w="1701" w:type="dxa"/>
            <w:tcBorders>
              <w:left w:val="nil"/>
              <w:right w:val="nil"/>
            </w:tcBorders>
            <w:shd w:val="clear" w:color="auto" w:fill="auto"/>
            <w:tcMar>
              <w:top w:w="72" w:type="dxa"/>
              <w:left w:w="144" w:type="dxa"/>
              <w:bottom w:w="72" w:type="dxa"/>
              <w:right w:w="144" w:type="dxa"/>
            </w:tcMar>
          </w:tcPr>
          <w:p w14:paraId="2A3A21C6"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21.1% (15)</w:t>
            </w:r>
          </w:p>
        </w:tc>
        <w:tc>
          <w:tcPr>
            <w:tcW w:w="1701" w:type="dxa"/>
            <w:tcBorders>
              <w:left w:val="nil"/>
              <w:right w:val="nil"/>
            </w:tcBorders>
            <w:shd w:val="clear" w:color="auto" w:fill="auto"/>
            <w:tcMar>
              <w:top w:w="72" w:type="dxa"/>
              <w:left w:w="144" w:type="dxa"/>
              <w:bottom w:w="72" w:type="dxa"/>
              <w:right w:w="144" w:type="dxa"/>
            </w:tcMar>
          </w:tcPr>
          <w:p w14:paraId="132E8146"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14.1% (10)</w:t>
            </w:r>
          </w:p>
        </w:tc>
        <w:tc>
          <w:tcPr>
            <w:tcW w:w="1020" w:type="dxa"/>
            <w:tcBorders>
              <w:left w:val="nil"/>
              <w:right w:val="nil"/>
            </w:tcBorders>
            <w:shd w:val="clear" w:color="auto" w:fill="auto"/>
            <w:tcMar>
              <w:top w:w="72" w:type="dxa"/>
              <w:left w:w="144" w:type="dxa"/>
              <w:bottom w:w="72" w:type="dxa"/>
              <w:right w:w="144" w:type="dxa"/>
            </w:tcMar>
          </w:tcPr>
          <w:p w14:paraId="7A2213D2"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0.38</w:t>
            </w:r>
          </w:p>
        </w:tc>
      </w:tr>
      <w:tr w:rsidR="00044BB0" w:rsidRPr="00E128FE" w14:paraId="6003079F" w14:textId="77777777" w:rsidTr="00044BB0">
        <w:trPr>
          <w:trHeight w:val="57"/>
        </w:trPr>
        <w:tc>
          <w:tcPr>
            <w:tcW w:w="4580" w:type="dxa"/>
            <w:tcBorders>
              <w:left w:val="nil"/>
              <w:right w:val="nil"/>
            </w:tcBorders>
            <w:shd w:val="clear" w:color="auto" w:fill="auto"/>
            <w:tcMar>
              <w:top w:w="72" w:type="dxa"/>
              <w:left w:w="144" w:type="dxa"/>
              <w:bottom w:w="72" w:type="dxa"/>
              <w:right w:w="144" w:type="dxa"/>
            </w:tcMar>
          </w:tcPr>
          <w:p w14:paraId="4EA86D78"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 xml:space="preserve">       GLP-1 receptor agonists </w:t>
            </w:r>
            <w:r w:rsidR="00E35538" w:rsidRPr="00E128FE">
              <w:rPr>
                <w:rFonts w:ascii="Arial" w:hAnsi="Arial" w:cs="Arial"/>
                <w:sz w:val="20"/>
                <w:szCs w:val="20"/>
                <w:lang w:val="en-US"/>
              </w:rPr>
              <w:t>(A10BJ)</w:t>
            </w:r>
            <w:r w:rsidR="00BA00CC" w:rsidRPr="00E128FE">
              <w:rPr>
                <w:rFonts w:ascii="Arial" w:hAnsi="Arial" w:cs="Arial"/>
                <w:sz w:val="20"/>
                <w:szCs w:val="20"/>
                <w:lang w:val="en-US"/>
              </w:rPr>
              <w:t xml:space="preserve"> </w:t>
            </w:r>
            <w:r w:rsidRPr="00E128FE">
              <w:rPr>
                <w:rFonts w:ascii="Arial" w:hAnsi="Arial" w:cs="Arial"/>
                <w:sz w:val="20"/>
                <w:szCs w:val="20"/>
                <w:lang w:val="en-US"/>
              </w:rPr>
              <w:t xml:space="preserve">– [%] (n) </w:t>
            </w:r>
          </w:p>
        </w:tc>
        <w:tc>
          <w:tcPr>
            <w:tcW w:w="1701" w:type="dxa"/>
            <w:tcBorders>
              <w:left w:val="nil"/>
              <w:right w:val="nil"/>
            </w:tcBorders>
            <w:shd w:val="clear" w:color="auto" w:fill="auto"/>
            <w:tcMar>
              <w:top w:w="72" w:type="dxa"/>
              <w:left w:w="144" w:type="dxa"/>
              <w:bottom w:w="72" w:type="dxa"/>
              <w:right w:w="144" w:type="dxa"/>
            </w:tcMar>
          </w:tcPr>
          <w:p w14:paraId="2E7C6106"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4.2% (3)</w:t>
            </w:r>
          </w:p>
        </w:tc>
        <w:tc>
          <w:tcPr>
            <w:tcW w:w="1701" w:type="dxa"/>
            <w:tcBorders>
              <w:left w:val="nil"/>
              <w:right w:val="nil"/>
            </w:tcBorders>
            <w:shd w:val="clear" w:color="auto" w:fill="auto"/>
            <w:tcMar>
              <w:top w:w="72" w:type="dxa"/>
              <w:left w:w="144" w:type="dxa"/>
              <w:bottom w:w="72" w:type="dxa"/>
              <w:right w:w="144" w:type="dxa"/>
            </w:tcMar>
          </w:tcPr>
          <w:p w14:paraId="74A2E124"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9.9% (7)</w:t>
            </w:r>
          </w:p>
        </w:tc>
        <w:tc>
          <w:tcPr>
            <w:tcW w:w="1020" w:type="dxa"/>
            <w:tcBorders>
              <w:left w:val="nil"/>
              <w:right w:val="nil"/>
            </w:tcBorders>
            <w:shd w:val="clear" w:color="auto" w:fill="auto"/>
            <w:tcMar>
              <w:top w:w="72" w:type="dxa"/>
              <w:left w:w="144" w:type="dxa"/>
              <w:bottom w:w="72" w:type="dxa"/>
              <w:right w:w="144" w:type="dxa"/>
            </w:tcMar>
          </w:tcPr>
          <w:p w14:paraId="27A42A99"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0.33</w:t>
            </w:r>
          </w:p>
        </w:tc>
      </w:tr>
      <w:tr w:rsidR="00044BB0" w:rsidRPr="00E128FE" w14:paraId="732F221F" w14:textId="77777777" w:rsidTr="00044BB0">
        <w:trPr>
          <w:trHeight w:val="57"/>
        </w:trPr>
        <w:tc>
          <w:tcPr>
            <w:tcW w:w="4580" w:type="dxa"/>
            <w:tcBorders>
              <w:left w:val="nil"/>
              <w:bottom w:val="nil"/>
              <w:right w:val="nil"/>
            </w:tcBorders>
            <w:shd w:val="clear" w:color="auto" w:fill="auto"/>
            <w:tcMar>
              <w:top w:w="72" w:type="dxa"/>
              <w:left w:w="144" w:type="dxa"/>
              <w:bottom w:w="72" w:type="dxa"/>
              <w:right w:w="144" w:type="dxa"/>
            </w:tcMar>
            <w:vAlign w:val="center"/>
          </w:tcPr>
          <w:p w14:paraId="6F484902" w14:textId="77777777" w:rsidR="005C5FB6" w:rsidRPr="00E128FE" w:rsidRDefault="005C5FB6" w:rsidP="00AD7F9B">
            <w:pPr>
              <w:spacing w:after="0" w:line="240" w:lineRule="auto"/>
              <w:rPr>
                <w:rFonts w:ascii="Arial" w:hAnsi="Arial" w:cs="Arial"/>
                <w:sz w:val="20"/>
                <w:szCs w:val="20"/>
                <w:lang w:val="en-US"/>
              </w:rPr>
            </w:pPr>
            <w:r w:rsidRPr="00E128FE">
              <w:rPr>
                <w:rFonts w:ascii="Arial" w:hAnsi="Arial" w:cs="Arial"/>
                <w:sz w:val="20"/>
                <w:szCs w:val="20"/>
                <w:lang w:val="en-US"/>
              </w:rPr>
              <w:t xml:space="preserve">  ACE-inhibitor / A</w:t>
            </w:r>
            <w:r w:rsidR="005C54C7" w:rsidRPr="00E128FE">
              <w:rPr>
                <w:rFonts w:ascii="Arial" w:hAnsi="Arial" w:cs="Arial"/>
                <w:sz w:val="20"/>
                <w:szCs w:val="20"/>
                <w:lang w:val="en-US"/>
              </w:rPr>
              <w:t>RB</w:t>
            </w:r>
            <w:r w:rsidRPr="00E128FE">
              <w:rPr>
                <w:rFonts w:ascii="Arial" w:hAnsi="Arial" w:cs="Arial"/>
                <w:sz w:val="20"/>
                <w:szCs w:val="20"/>
                <w:lang w:val="en-US"/>
              </w:rPr>
              <w:t xml:space="preserve"> (C09) – [%] (n)</w:t>
            </w:r>
          </w:p>
        </w:tc>
        <w:tc>
          <w:tcPr>
            <w:tcW w:w="1701" w:type="dxa"/>
            <w:tcBorders>
              <w:left w:val="nil"/>
              <w:bottom w:val="nil"/>
              <w:right w:val="nil"/>
            </w:tcBorders>
            <w:shd w:val="clear" w:color="auto" w:fill="auto"/>
            <w:tcMar>
              <w:top w:w="72" w:type="dxa"/>
              <w:left w:w="144" w:type="dxa"/>
              <w:bottom w:w="72" w:type="dxa"/>
              <w:right w:w="144" w:type="dxa"/>
            </w:tcMar>
          </w:tcPr>
          <w:p w14:paraId="4325C14C" w14:textId="77777777" w:rsidR="005C5FB6" w:rsidRPr="00E128FE" w:rsidRDefault="005C5FB6" w:rsidP="00AD7F9B">
            <w:pPr>
              <w:spacing w:after="0" w:line="240" w:lineRule="auto"/>
              <w:rPr>
                <w:rFonts w:ascii="Arial" w:hAnsi="Arial" w:cs="Arial"/>
                <w:sz w:val="20"/>
                <w:szCs w:val="20"/>
                <w:lang w:val="en-US"/>
              </w:rPr>
            </w:pPr>
            <w:r w:rsidRPr="00E128FE">
              <w:rPr>
                <w:rFonts w:ascii="Arial" w:hAnsi="Arial" w:cs="Arial"/>
                <w:sz w:val="20"/>
                <w:szCs w:val="20"/>
                <w:lang w:val="en-US"/>
              </w:rPr>
              <w:t>91.5% (65)</w:t>
            </w:r>
          </w:p>
        </w:tc>
        <w:tc>
          <w:tcPr>
            <w:tcW w:w="1701" w:type="dxa"/>
            <w:tcBorders>
              <w:left w:val="nil"/>
              <w:bottom w:val="nil"/>
              <w:right w:val="nil"/>
            </w:tcBorders>
            <w:shd w:val="clear" w:color="auto" w:fill="auto"/>
            <w:tcMar>
              <w:top w:w="72" w:type="dxa"/>
              <w:left w:w="144" w:type="dxa"/>
              <w:bottom w:w="72" w:type="dxa"/>
              <w:right w:w="144" w:type="dxa"/>
            </w:tcMar>
          </w:tcPr>
          <w:p w14:paraId="1A7545EC" w14:textId="77777777" w:rsidR="005C5FB6" w:rsidRPr="00E128FE" w:rsidRDefault="005C5FB6" w:rsidP="00AD7F9B">
            <w:pPr>
              <w:spacing w:after="0" w:line="240" w:lineRule="auto"/>
              <w:rPr>
                <w:rFonts w:ascii="Arial" w:hAnsi="Arial" w:cs="Arial"/>
                <w:sz w:val="20"/>
                <w:szCs w:val="20"/>
                <w:lang w:val="en-US"/>
              </w:rPr>
            </w:pPr>
            <w:r w:rsidRPr="00E128FE">
              <w:rPr>
                <w:rFonts w:ascii="Arial" w:hAnsi="Arial" w:cs="Arial"/>
                <w:sz w:val="20"/>
                <w:szCs w:val="20"/>
                <w:lang w:val="en-US"/>
              </w:rPr>
              <w:t>81.7% (58)</w:t>
            </w:r>
          </w:p>
        </w:tc>
        <w:tc>
          <w:tcPr>
            <w:tcW w:w="1020" w:type="dxa"/>
            <w:tcBorders>
              <w:left w:val="nil"/>
              <w:bottom w:val="nil"/>
              <w:right w:val="nil"/>
            </w:tcBorders>
            <w:shd w:val="clear" w:color="auto" w:fill="auto"/>
            <w:tcMar>
              <w:top w:w="72" w:type="dxa"/>
              <w:left w:w="144" w:type="dxa"/>
              <w:bottom w:w="72" w:type="dxa"/>
              <w:right w:w="144" w:type="dxa"/>
            </w:tcMar>
          </w:tcPr>
          <w:p w14:paraId="200822E3" w14:textId="77777777" w:rsidR="005C5FB6" w:rsidRPr="00E128FE" w:rsidRDefault="005C5FB6" w:rsidP="00AD7F9B">
            <w:pPr>
              <w:spacing w:after="0" w:line="240" w:lineRule="auto"/>
              <w:rPr>
                <w:rFonts w:ascii="Arial" w:hAnsi="Arial" w:cs="Arial"/>
                <w:sz w:val="20"/>
                <w:szCs w:val="20"/>
                <w:lang w:val="en-US"/>
              </w:rPr>
            </w:pPr>
            <w:r w:rsidRPr="00E128FE">
              <w:rPr>
                <w:rFonts w:ascii="Arial" w:hAnsi="Arial" w:cs="Arial"/>
                <w:sz w:val="20"/>
                <w:szCs w:val="20"/>
                <w:lang w:val="en-US"/>
              </w:rPr>
              <w:t>0.14</w:t>
            </w:r>
          </w:p>
        </w:tc>
      </w:tr>
      <w:tr w:rsidR="00044BB0" w:rsidRPr="00E128FE" w14:paraId="7F120B34" w14:textId="77777777" w:rsidTr="00044BB0">
        <w:trPr>
          <w:trHeight w:val="57"/>
        </w:trPr>
        <w:tc>
          <w:tcPr>
            <w:tcW w:w="4580" w:type="dxa"/>
            <w:tcBorders>
              <w:top w:val="nil"/>
              <w:left w:val="nil"/>
              <w:bottom w:val="nil"/>
              <w:right w:val="nil"/>
            </w:tcBorders>
            <w:shd w:val="clear" w:color="auto" w:fill="auto"/>
            <w:tcMar>
              <w:top w:w="72" w:type="dxa"/>
              <w:left w:w="144" w:type="dxa"/>
              <w:bottom w:w="72" w:type="dxa"/>
              <w:right w:w="144" w:type="dxa"/>
            </w:tcMar>
            <w:vAlign w:val="center"/>
          </w:tcPr>
          <w:p w14:paraId="723D0049" w14:textId="77777777" w:rsidR="005C5FB6" w:rsidRPr="00E128FE" w:rsidRDefault="005C5FB6" w:rsidP="00AD7F9B">
            <w:pPr>
              <w:spacing w:after="0" w:line="240" w:lineRule="auto"/>
              <w:rPr>
                <w:rFonts w:ascii="Arial" w:hAnsi="Arial" w:cs="Arial"/>
                <w:sz w:val="20"/>
                <w:szCs w:val="20"/>
                <w:lang w:val="en-US"/>
              </w:rPr>
            </w:pPr>
            <w:r w:rsidRPr="00E128FE">
              <w:rPr>
                <w:rFonts w:ascii="Arial" w:hAnsi="Arial" w:cs="Arial"/>
                <w:sz w:val="20"/>
                <w:szCs w:val="20"/>
                <w:lang w:val="en-US"/>
              </w:rPr>
              <w:t xml:space="preserve">  Antithrombotic therapy (B01) – [%] (n)</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2940E8A2" w14:textId="77777777" w:rsidR="005C5FB6" w:rsidRPr="00E128FE" w:rsidRDefault="005C5FB6" w:rsidP="00AD7F9B">
            <w:pPr>
              <w:spacing w:after="0" w:line="240" w:lineRule="auto"/>
              <w:rPr>
                <w:rFonts w:ascii="Arial" w:hAnsi="Arial" w:cs="Arial"/>
                <w:sz w:val="20"/>
                <w:szCs w:val="20"/>
                <w:lang w:val="en-US"/>
              </w:rPr>
            </w:pPr>
            <w:r w:rsidRPr="00E128FE">
              <w:rPr>
                <w:rFonts w:ascii="Arial" w:hAnsi="Arial" w:cs="Arial"/>
                <w:sz w:val="20"/>
                <w:szCs w:val="20"/>
                <w:lang w:val="en-US"/>
              </w:rPr>
              <w:t>76.1% (54)</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3A2948EC" w14:textId="77777777" w:rsidR="005C5FB6" w:rsidRPr="00E128FE" w:rsidRDefault="005C5FB6" w:rsidP="00AD7F9B">
            <w:pPr>
              <w:spacing w:after="0" w:line="240" w:lineRule="auto"/>
              <w:rPr>
                <w:rFonts w:ascii="Arial" w:hAnsi="Arial" w:cs="Arial"/>
                <w:sz w:val="20"/>
                <w:szCs w:val="20"/>
                <w:lang w:val="en-US"/>
              </w:rPr>
            </w:pPr>
            <w:r w:rsidRPr="00E128FE">
              <w:rPr>
                <w:rFonts w:ascii="Arial" w:hAnsi="Arial" w:cs="Arial"/>
                <w:sz w:val="20"/>
                <w:szCs w:val="20"/>
                <w:lang w:val="en-US"/>
              </w:rPr>
              <w:t>76.1% (54)</w:t>
            </w:r>
          </w:p>
        </w:tc>
        <w:tc>
          <w:tcPr>
            <w:tcW w:w="1020" w:type="dxa"/>
            <w:tcBorders>
              <w:top w:val="nil"/>
              <w:left w:val="nil"/>
              <w:bottom w:val="nil"/>
              <w:right w:val="nil"/>
            </w:tcBorders>
            <w:shd w:val="clear" w:color="auto" w:fill="auto"/>
            <w:tcMar>
              <w:top w:w="72" w:type="dxa"/>
              <w:left w:w="144" w:type="dxa"/>
              <w:bottom w:w="72" w:type="dxa"/>
              <w:right w:w="144" w:type="dxa"/>
            </w:tcMar>
            <w:vAlign w:val="center"/>
          </w:tcPr>
          <w:p w14:paraId="5CDF56CE" w14:textId="77777777" w:rsidR="005C5FB6" w:rsidRPr="00E128FE" w:rsidRDefault="005C5FB6" w:rsidP="00AD7F9B">
            <w:pPr>
              <w:spacing w:after="0" w:line="240" w:lineRule="auto"/>
              <w:rPr>
                <w:rFonts w:ascii="Arial" w:hAnsi="Arial" w:cs="Arial"/>
                <w:sz w:val="20"/>
                <w:szCs w:val="20"/>
                <w:lang w:val="en-US"/>
              </w:rPr>
            </w:pPr>
            <w:r w:rsidRPr="00E128FE">
              <w:rPr>
                <w:rFonts w:ascii="Arial" w:hAnsi="Arial" w:cs="Arial"/>
                <w:sz w:val="20"/>
                <w:szCs w:val="20"/>
                <w:lang w:val="en-US"/>
              </w:rPr>
              <w:t>1.00</w:t>
            </w:r>
          </w:p>
        </w:tc>
      </w:tr>
      <w:tr w:rsidR="00044BB0" w:rsidRPr="00E128FE" w14:paraId="3474656C" w14:textId="77777777" w:rsidTr="00044BB0">
        <w:trPr>
          <w:trHeight w:val="57"/>
        </w:trPr>
        <w:tc>
          <w:tcPr>
            <w:tcW w:w="4580" w:type="dxa"/>
            <w:tcBorders>
              <w:top w:val="nil"/>
              <w:left w:val="nil"/>
              <w:bottom w:val="nil"/>
              <w:right w:val="nil"/>
            </w:tcBorders>
            <w:shd w:val="clear" w:color="auto" w:fill="auto"/>
            <w:tcMar>
              <w:top w:w="72" w:type="dxa"/>
              <w:left w:w="144" w:type="dxa"/>
              <w:bottom w:w="72" w:type="dxa"/>
              <w:right w:w="144" w:type="dxa"/>
            </w:tcMar>
            <w:vAlign w:val="center"/>
          </w:tcPr>
          <w:p w14:paraId="7244B915" w14:textId="77777777" w:rsidR="005C54C7" w:rsidRPr="00E128FE" w:rsidRDefault="005C54C7" w:rsidP="00AD7F9B">
            <w:pPr>
              <w:spacing w:after="0" w:line="240" w:lineRule="auto"/>
              <w:rPr>
                <w:rFonts w:ascii="Arial" w:hAnsi="Arial" w:cs="Arial"/>
                <w:sz w:val="20"/>
                <w:szCs w:val="20"/>
                <w:lang w:val="en-US"/>
              </w:rPr>
            </w:pPr>
            <w:r w:rsidRPr="00E128FE">
              <w:rPr>
                <w:rFonts w:ascii="Arial" w:hAnsi="Arial" w:cs="Arial"/>
                <w:sz w:val="20"/>
                <w:szCs w:val="20"/>
                <w:lang w:val="en-US"/>
              </w:rPr>
              <w:t xml:space="preserve">  Beta blockers (C07) – [%] (n)</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517D49BF" w14:textId="77777777" w:rsidR="005C54C7" w:rsidRPr="00E128FE" w:rsidRDefault="005C54C7" w:rsidP="00AD7F9B">
            <w:pPr>
              <w:spacing w:after="0" w:line="240" w:lineRule="auto"/>
              <w:rPr>
                <w:rFonts w:ascii="Arial" w:hAnsi="Arial" w:cs="Arial"/>
                <w:sz w:val="20"/>
                <w:szCs w:val="20"/>
                <w:lang w:val="en-US"/>
              </w:rPr>
            </w:pPr>
            <w:r w:rsidRPr="00E128FE">
              <w:rPr>
                <w:rFonts w:ascii="Arial" w:hAnsi="Arial" w:cs="Arial"/>
                <w:sz w:val="20"/>
                <w:szCs w:val="20"/>
                <w:lang w:val="en-US"/>
              </w:rPr>
              <w:t>57.7% (41)</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4E830C9D" w14:textId="77777777" w:rsidR="005C54C7" w:rsidRPr="00E128FE" w:rsidRDefault="005C54C7" w:rsidP="00AD7F9B">
            <w:pPr>
              <w:spacing w:after="0" w:line="240" w:lineRule="auto"/>
              <w:rPr>
                <w:rFonts w:ascii="Arial" w:hAnsi="Arial" w:cs="Arial"/>
                <w:sz w:val="20"/>
                <w:szCs w:val="20"/>
                <w:lang w:val="en-US"/>
              </w:rPr>
            </w:pPr>
            <w:r w:rsidRPr="00E128FE">
              <w:rPr>
                <w:rFonts w:ascii="Arial" w:hAnsi="Arial" w:cs="Arial"/>
                <w:sz w:val="20"/>
                <w:szCs w:val="20"/>
                <w:lang w:val="en-US"/>
              </w:rPr>
              <w:t>56.3% (40)</w:t>
            </w:r>
          </w:p>
        </w:tc>
        <w:tc>
          <w:tcPr>
            <w:tcW w:w="1020" w:type="dxa"/>
            <w:tcBorders>
              <w:top w:val="nil"/>
              <w:left w:val="nil"/>
              <w:bottom w:val="nil"/>
              <w:right w:val="nil"/>
            </w:tcBorders>
            <w:shd w:val="clear" w:color="auto" w:fill="auto"/>
            <w:tcMar>
              <w:top w:w="72" w:type="dxa"/>
              <w:left w:w="144" w:type="dxa"/>
              <w:bottom w:w="72" w:type="dxa"/>
              <w:right w:w="144" w:type="dxa"/>
            </w:tcMar>
            <w:vAlign w:val="center"/>
          </w:tcPr>
          <w:p w14:paraId="1487AFEA" w14:textId="77777777" w:rsidR="005C54C7" w:rsidRPr="00E128FE" w:rsidRDefault="005C54C7" w:rsidP="00AD7F9B">
            <w:pPr>
              <w:spacing w:after="0" w:line="240" w:lineRule="auto"/>
              <w:rPr>
                <w:rFonts w:ascii="Arial" w:hAnsi="Arial" w:cs="Arial"/>
                <w:sz w:val="20"/>
                <w:szCs w:val="20"/>
                <w:lang w:val="en-US"/>
              </w:rPr>
            </w:pPr>
            <w:r w:rsidRPr="00E128FE">
              <w:rPr>
                <w:rFonts w:ascii="Arial" w:hAnsi="Arial" w:cs="Arial"/>
                <w:sz w:val="20"/>
                <w:szCs w:val="20"/>
                <w:lang w:val="en-US"/>
              </w:rPr>
              <w:t>1.00</w:t>
            </w:r>
          </w:p>
        </w:tc>
      </w:tr>
      <w:tr w:rsidR="00044BB0" w:rsidRPr="00E128FE" w14:paraId="582B094A" w14:textId="77777777" w:rsidTr="00044BB0">
        <w:trPr>
          <w:trHeight w:val="57"/>
        </w:trPr>
        <w:tc>
          <w:tcPr>
            <w:tcW w:w="4580" w:type="dxa"/>
            <w:tcBorders>
              <w:top w:val="nil"/>
              <w:left w:val="nil"/>
              <w:bottom w:val="nil"/>
              <w:right w:val="nil"/>
            </w:tcBorders>
            <w:shd w:val="clear" w:color="auto" w:fill="auto"/>
            <w:tcMar>
              <w:top w:w="72" w:type="dxa"/>
              <w:left w:w="144" w:type="dxa"/>
              <w:bottom w:w="72" w:type="dxa"/>
              <w:right w:w="144" w:type="dxa"/>
            </w:tcMar>
            <w:vAlign w:val="center"/>
          </w:tcPr>
          <w:p w14:paraId="7063A9A9" w14:textId="77777777" w:rsidR="005C54C7" w:rsidRPr="00E128FE" w:rsidRDefault="005C54C7" w:rsidP="00AD7F9B">
            <w:pPr>
              <w:spacing w:after="0" w:line="240" w:lineRule="auto"/>
              <w:rPr>
                <w:rFonts w:ascii="Arial" w:hAnsi="Arial" w:cs="Arial"/>
                <w:sz w:val="20"/>
                <w:szCs w:val="20"/>
                <w:lang w:val="en-US"/>
              </w:rPr>
            </w:pPr>
            <w:r w:rsidRPr="00E128FE">
              <w:rPr>
                <w:rFonts w:ascii="Arial" w:hAnsi="Arial" w:cs="Arial"/>
                <w:sz w:val="20"/>
                <w:szCs w:val="20"/>
                <w:lang w:val="en-US"/>
              </w:rPr>
              <w:t xml:space="preserve">  Calcium channel blockers (C08) – [%] (n)</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3A70B8E6" w14:textId="77777777" w:rsidR="005C54C7" w:rsidRPr="00E128FE" w:rsidRDefault="005C54C7" w:rsidP="00AD7F9B">
            <w:pPr>
              <w:spacing w:after="0" w:line="240" w:lineRule="auto"/>
              <w:rPr>
                <w:rFonts w:ascii="Arial" w:hAnsi="Arial" w:cs="Arial"/>
                <w:sz w:val="20"/>
                <w:szCs w:val="20"/>
                <w:lang w:val="en-US"/>
              </w:rPr>
            </w:pPr>
            <w:r w:rsidRPr="00E128FE">
              <w:rPr>
                <w:rFonts w:ascii="Arial" w:hAnsi="Arial" w:cs="Arial"/>
                <w:sz w:val="20"/>
                <w:szCs w:val="20"/>
                <w:lang w:val="en-US"/>
              </w:rPr>
              <w:t>31.0% (22)</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117216D1" w14:textId="77777777" w:rsidR="005C54C7" w:rsidRPr="00E128FE" w:rsidRDefault="005C54C7" w:rsidP="00AD7F9B">
            <w:pPr>
              <w:spacing w:after="0" w:line="240" w:lineRule="auto"/>
              <w:rPr>
                <w:rFonts w:ascii="Arial" w:hAnsi="Arial" w:cs="Arial"/>
                <w:sz w:val="20"/>
                <w:szCs w:val="20"/>
                <w:lang w:val="en-US"/>
              </w:rPr>
            </w:pPr>
            <w:r w:rsidRPr="00E128FE">
              <w:rPr>
                <w:rFonts w:ascii="Arial" w:hAnsi="Arial" w:cs="Arial"/>
                <w:sz w:val="20"/>
                <w:szCs w:val="20"/>
                <w:lang w:val="en-US"/>
              </w:rPr>
              <w:t>33.8% (24)</w:t>
            </w:r>
          </w:p>
        </w:tc>
        <w:tc>
          <w:tcPr>
            <w:tcW w:w="1020" w:type="dxa"/>
            <w:tcBorders>
              <w:top w:val="nil"/>
              <w:left w:val="nil"/>
              <w:bottom w:val="nil"/>
              <w:right w:val="nil"/>
            </w:tcBorders>
            <w:shd w:val="clear" w:color="auto" w:fill="auto"/>
            <w:tcMar>
              <w:top w:w="72" w:type="dxa"/>
              <w:left w:w="144" w:type="dxa"/>
              <w:bottom w:w="72" w:type="dxa"/>
              <w:right w:w="144" w:type="dxa"/>
            </w:tcMar>
            <w:vAlign w:val="center"/>
          </w:tcPr>
          <w:p w14:paraId="60E1F96F" w14:textId="77777777" w:rsidR="005C54C7" w:rsidRPr="00E128FE" w:rsidRDefault="005C54C7" w:rsidP="00AD7F9B">
            <w:pPr>
              <w:spacing w:after="0" w:line="240" w:lineRule="auto"/>
              <w:rPr>
                <w:rFonts w:ascii="Arial" w:hAnsi="Arial" w:cs="Arial"/>
                <w:sz w:val="20"/>
                <w:szCs w:val="20"/>
                <w:lang w:val="en-US"/>
              </w:rPr>
            </w:pPr>
            <w:r w:rsidRPr="00E128FE">
              <w:rPr>
                <w:rFonts w:ascii="Arial" w:hAnsi="Arial" w:cs="Arial"/>
                <w:sz w:val="20"/>
                <w:szCs w:val="20"/>
                <w:lang w:val="en-US"/>
              </w:rPr>
              <w:t>0.86</w:t>
            </w:r>
          </w:p>
        </w:tc>
      </w:tr>
      <w:tr w:rsidR="00044BB0" w:rsidRPr="00E128FE" w14:paraId="2B6438D6" w14:textId="77777777" w:rsidTr="00044BB0">
        <w:trPr>
          <w:trHeight w:val="57"/>
        </w:trPr>
        <w:tc>
          <w:tcPr>
            <w:tcW w:w="4580" w:type="dxa"/>
            <w:tcBorders>
              <w:top w:val="nil"/>
              <w:left w:val="nil"/>
              <w:bottom w:val="nil"/>
              <w:right w:val="nil"/>
            </w:tcBorders>
            <w:shd w:val="clear" w:color="auto" w:fill="auto"/>
            <w:tcMar>
              <w:top w:w="72" w:type="dxa"/>
              <w:left w:w="144" w:type="dxa"/>
              <w:bottom w:w="72" w:type="dxa"/>
              <w:right w:w="144" w:type="dxa"/>
            </w:tcMar>
            <w:vAlign w:val="center"/>
          </w:tcPr>
          <w:p w14:paraId="0610404A" w14:textId="77777777" w:rsidR="005C54C7" w:rsidRPr="00E128FE" w:rsidRDefault="005C54C7" w:rsidP="00AD7F9B">
            <w:pPr>
              <w:spacing w:after="0" w:line="240" w:lineRule="auto"/>
              <w:rPr>
                <w:rFonts w:ascii="Arial" w:hAnsi="Arial" w:cs="Arial"/>
                <w:sz w:val="20"/>
                <w:szCs w:val="20"/>
                <w:lang w:val="en-US"/>
              </w:rPr>
            </w:pPr>
            <w:r w:rsidRPr="00E128FE">
              <w:rPr>
                <w:rFonts w:ascii="Arial" w:hAnsi="Arial" w:cs="Arial"/>
                <w:sz w:val="20"/>
                <w:szCs w:val="20"/>
                <w:lang w:val="en-US"/>
              </w:rPr>
              <w:t xml:space="preserve">  Cardiac glycosides (C01A) – [%] (n)</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387F19A5" w14:textId="77777777" w:rsidR="005C54C7" w:rsidRPr="00E128FE" w:rsidRDefault="005C54C7" w:rsidP="00AD7F9B">
            <w:pPr>
              <w:spacing w:after="0" w:line="240" w:lineRule="auto"/>
              <w:rPr>
                <w:rFonts w:ascii="Arial" w:hAnsi="Arial" w:cs="Arial"/>
                <w:sz w:val="20"/>
                <w:szCs w:val="20"/>
                <w:lang w:val="en-US"/>
              </w:rPr>
            </w:pPr>
            <w:r w:rsidRPr="00E128FE">
              <w:rPr>
                <w:rFonts w:ascii="Arial" w:hAnsi="Arial" w:cs="Arial"/>
                <w:sz w:val="20"/>
                <w:szCs w:val="20"/>
                <w:lang w:val="en-US"/>
              </w:rPr>
              <w:t>2.8% (2)</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7F07A2B5" w14:textId="77777777" w:rsidR="005C54C7" w:rsidRPr="00E128FE" w:rsidRDefault="005C54C7" w:rsidP="00AD7F9B">
            <w:pPr>
              <w:spacing w:after="0" w:line="240" w:lineRule="auto"/>
              <w:rPr>
                <w:rFonts w:ascii="Arial" w:hAnsi="Arial" w:cs="Arial"/>
                <w:sz w:val="20"/>
                <w:szCs w:val="20"/>
                <w:lang w:val="en-US"/>
              </w:rPr>
            </w:pPr>
            <w:r w:rsidRPr="00E128FE">
              <w:rPr>
                <w:rFonts w:ascii="Arial" w:hAnsi="Arial" w:cs="Arial"/>
                <w:sz w:val="20"/>
                <w:szCs w:val="20"/>
                <w:lang w:val="en-US"/>
              </w:rPr>
              <w:t>0% (0)</w:t>
            </w:r>
          </w:p>
        </w:tc>
        <w:tc>
          <w:tcPr>
            <w:tcW w:w="1020" w:type="dxa"/>
            <w:tcBorders>
              <w:top w:val="nil"/>
              <w:left w:val="nil"/>
              <w:bottom w:val="nil"/>
              <w:right w:val="nil"/>
            </w:tcBorders>
            <w:shd w:val="clear" w:color="auto" w:fill="auto"/>
            <w:tcMar>
              <w:top w:w="72" w:type="dxa"/>
              <w:left w:w="144" w:type="dxa"/>
              <w:bottom w:w="72" w:type="dxa"/>
              <w:right w:w="144" w:type="dxa"/>
            </w:tcMar>
            <w:vAlign w:val="center"/>
          </w:tcPr>
          <w:p w14:paraId="62F9FCCD" w14:textId="77777777" w:rsidR="005C54C7" w:rsidRPr="00E128FE" w:rsidRDefault="005C54C7" w:rsidP="00AD7F9B">
            <w:pPr>
              <w:spacing w:after="0" w:line="240" w:lineRule="auto"/>
              <w:rPr>
                <w:rFonts w:ascii="Arial" w:hAnsi="Arial" w:cs="Arial"/>
                <w:sz w:val="20"/>
                <w:szCs w:val="20"/>
                <w:lang w:val="en-US"/>
              </w:rPr>
            </w:pPr>
            <w:r w:rsidRPr="00E128FE">
              <w:rPr>
                <w:rFonts w:ascii="Arial" w:hAnsi="Arial" w:cs="Arial"/>
                <w:sz w:val="20"/>
                <w:szCs w:val="20"/>
                <w:lang w:val="en-US"/>
              </w:rPr>
              <w:t>0.50</w:t>
            </w:r>
          </w:p>
        </w:tc>
      </w:tr>
      <w:tr w:rsidR="00044BB0" w:rsidRPr="00E128FE" w14:paraId="171D09B1" w14:textId="77777777" w:rsidTr="00044BB0">
        <w:trPr>
          <w:trHeight w:val="57"/>
        </w:trPr>
        <w:tc>
          <w:tcPr>
            <w:tcW w:w="4580" w:type="dxa"/>
            <w:tcBorders>
              <w:top w:val="nil"/>
              <w:left w:val="nil"/>
              <w:bottom w:val="nil"/>
              <w:right w:val="nil"/>
            </w:tcBorders>
            <w:shd w:val="clear" w:color="auto" w:fill="auto"/>
            <w:tcMar>
              <w:top w:w="72" w:type="dxa"/>
              <w:left w:w="144" w:type="dxa"/>
              <w:bottom w:w="72" w:type="dxa"/>
              <w:right w:w="144" w:type="dxa"/>
            </w:tcMar>
            <w:vAlign w:val="center"/>
          </w:tcPr>
          <w:p w14:paraId="3EE546F4" w14:textId="77777777" w:rsidR="005C54C7" w:rsidRPr="00E128FE" w:rsidRDefault="005C54C7" w:rsidP="00AD7F9B">
            <w:pPr>
              <w:spacing w:after="0" w:line="240" w:lineRule="auto"/>
              <w:rPr>
                <w:rFonts w:ascii="Arial" w:hAnsi="Arial" w:cs="Arial"/>
                <w:sz w:val="20"/>
                <w:szCs w:val="20"/>
                <w:lang w:val="en-US"/>
              </w:rPr>
            </w:pPr>
            <w:r w:rsidRPr="00E128FE">
              <w:rPr>
                <w:rFonts w:ascii="Arial" w:hAnsi="Arial" w:cs="Arial"/>
                <w:sz w:val="20"/>
                <w:szCs w:val="20"/>
                <w:lang w:val="en-US"/>
              </w:rPr>
              <w:t xml:space="preserve">  Diuretics (C03) – [%] (n)</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7CDFD6FA" w14:textId="77777777" w:rsidR="005C54C7" w:rsidRPr="00E128FE" w:rsidRDefault="005C54C7" w:rsidP="00AD7F9B">
            <w:pPr>
              <w:spacing w:after="0" w:line="240" w:lineRule="auto"/>
              <w:rPr>
                <w:rFonts w:ascii="Arial" w:hAnsi="Arial" w:cs="Arial"/>
                <w:sz w:val="20"/>
                <w:szCs w:val="20"/>
                <w:lang w:val="en-US"/>
              </w:rPr>
            </w:pPr>
            <w:r w:rsidRPr="00E128FE">
              <w:rPr>
                <w:rFonts w:ascii="Arial" w:hAnsi="Arial" w:cs="Arial"/>
                <w:sz w:val="20"/>
                <w:szCs w:val="20"/>
                <w:lang w:val="en-US"/>
              </w:rPr>
              <w:t>39.4% (28)</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32473AF1" w14:textId="77777777" w:rsidR="005C54C7" w:rsidRPr="00E128FE" w:rsidRDefault="005C54C7" w:rsidP="00AD7F9B">
            <w:pPr>
              <w:spacing w:after="0" w:line="240" w:lineRule="auto"/>
              <w:rPr>
                <w:rFonts w:ascii="Arial" w:hAnsi="Arial" w:cs="Arial"/>
                <w:sz w:val="20"/>
                <w:szCs w:val="20"/>
                <w:lang w:val="en-US"/>
              </w:rPr>
            </w:pPr>
            <w:r w:rsidRPr="00E128FE">
              <w:rPr>
                <w:rFonts w:ascii="Arial" w:hAnsi="Arial" w:cs="Arial"/>
                <w:sz w:val="20"/>
                <w:szCs w:val="20"/>
                <w:lang w:val="en-US"/>
              </w:rPr>
              <w:t>31.0% (22)</w:t>
            </w:r>
          </w:p>
        </w:tc>
        <w:tc>
          <w:tcPr>
            <w:tcW w:w="1020" w:type="dxa"/>
            <w:tcBorders>
              <w:top w:val="nil"/>
              <w:left w:val="nil"/>
              <w:bottom w:val="nil"/>
              <w:right w:val="nil"/>
            </w:tcBorders>
            <w:shd w:val="clear" w:color="auto" w:fill="auto"/>
            <w:tcMar>
              <w:top w:w="72" w:type="dxa"/>
              <w:left w:w="144" w:type="dxa"/>
              <w:bottom w:w="72" w:type="dxa"/>
              <w:right w:w="144" w:type="dxa"/>
            </w:tcMar>
            <w:vAlign w:val="center"/>
          </w:tcPr>
          <w:p w14:paraId="71AD0EC8" w14:textId="77777777" w:rsidR="005C54C7" w:rsidRPr="00E128FE" w:rsidRDefault="005C54C7" w:rsidP="00AD7F9B">
            <w:pPr>
              <w:spacing w:after="0" w:line="240" w:lineRule="auto"/>
              <w:rPr>
                <w:rFonts w:ascii="Arial" w:hAnsi="Arial" w:cs="Arial"/>
                <w:sz w:val="20"/>
                <w:szCs w:val="20"/>
                <w:lang w:val="en-US"/>
              </w:rPr>
            </w:pPr>
            <w:r w:rsidRPr="00E128FE">
              <w:rPr>
                <w:rFonts w:ascii="Arial" w:hAnsi="Arial" w:cs="Arial"/>
                <w:sz w:val="20"/>
                <w:szCs w:val="20"/>
                <w:lang w:val="en-US"/>
              </w:rPr>
              <w:t>0.38</w:t>
            </w:r>
          </w:p>
        </w:tc>
      </w:tr>
      <w:tr w:rsidR="00044BB0" w:rsidRPr="00E128FE" w14:paraId="1965ECDF" w14:textId="77777777" w:rsidTr="00044BB0">
        <w:trPr>
          <w:trHeight w:val="57"/>
        </w:trPr>
        <w:tc>
          <w:tcPr>
            <w:tcW w:w="4580" w:type="dxa"/>
            <w:tcBorders>
              <w:top w:val="nil"/>
              <w:left w:val="nil"/>
              <w:bottom w:val="nil"/>
              <w:right w:val="nil"/>
            </w:tcBorders>
            <w:shd w:val="clear" w:color="auto" w:fill="auto"/>
            <w:tcMar>
              <w:top w:w="72" w:type="dxa"/>
              <w:left w:w="144" w:type="dxa"/>
              <w:bottom w:w="72" w:type="dxa"/>
              <w:right w:w="144" w:type="dxa"/>
            </w:tcMar>
            <w:vAlign w:val="center"/>
          </w:tcPr>
          <w:p w14:paraId="500988AB" w14:textId="77777777" w:rsidR="005C54C7" w:rsidRPr="00E128FE" w:rsidRDefault="005C54C7" w:rsidP="00AD7F9B">
            <w:pPr>
              <w:spacing w:after="0" w:line="240" w:lineRule="auto"/>
              <w:rPr>
                <w:rFonts w:ascii="Arial" w:hAnsi="Arial" w:cs="Arial"/>
                <w:sz w:val="20"/>
                <w:szCs w:val="20"/>
                <w:lang w:val="en-US"/>
              </w:rPr>
            </w:pPr>
            <w:r w:rsidRPr="00E128FE">
              <w:rPr>
                <w:rFonts w:ascii="Arial" w:hAnsi="Arial" w:cs="Arial"/>
                <w:sz w:val="20"/>
                <w:szCs w:val="20"/>
                <w:lang w:val="en-US"/>
              </w:rPr>
              <w:t xml:space="preserve">  Lipid-modifying medication (C10) – [%] (n)</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18CCD8E6" w14:textId="77777777" w:rsidR="005C54C7" w:rsidRPr="00E128FE" w:rsidRDefault="005C54C7" w:rsidP="00AD7F9B">
            <w:pPr>
              <w:spacing w:after="0" w:line="240" w:lineRule="auto"/>
              <w:rPr>
                <w:rFonts w:ascii="Arial" w:hAnsi="Arial" w:cs="Arial"/>
                <w:sz w:val="20"/>
                <w:szCs w:val="20"/>
                <w:lang w:val="en-US"/>
              </w:rPr>
            </w:pPr>
            <w:r w:rsidRPr="00E128FE">
              <w:rPr>
                <w:rFonts w:ascii="Arial" w:hAnsi="Arial" w:cs="Arial"/>
                <w:sz w:val="20"/>
                <w:szCs w:val="20"/>
                <w:lang w:val="en-US"/>
              </w:rPr>
              <w:t>78.9% (56)</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05A99BB1" w14:textId="77777777" w:rsidR="005C54C7" w:rsidRPr="00E128FE" w:rsidRDefault="005C54C7" w:rsidP="00AD7F9B">
            <w:pPr>
              <w:spacing w:after="0" w:line="240" w:lineRule="auto"/>
              <w:rPr>
                <w:rFonts w:ascii="Arial" w:hAnsi="Arial" w:cs="Arial"/>
                <w:sz w:val="20"/>
                <w:szCs w:val="20"/>
                <w:lang w:val="en-US"/>
              </w:rPr>
            </w:pPr>
            <w:r w:rsidRPr="00E128FE">
              <w:rPr>
                <w:rFonts w:ascii="Arial" w:hAnsi="Arial" w:cs="Arial"/>
                <w:sz w:val="20"/>
                <w:szCs w:val="20"/>
                <w:lang w:val="en-US"/>
              </w:rPr>
              <w:t>77.5% (55)</w:t>
            </w:r>
          </w:p>
        </w:tc>
        <w:tc>
          <w:tcPr>
            <w:tcW w:w="1020" w:type="dxa"/>
            <w:tcBorders>
              <w:top w:val="nil"/>
              <w:left w:val="nil"/>
              <w:bottom w:val="nil"/>
              <w:right w:val="nil"/>
            </w:tcBorders>
            <w:shd w:val="clear" w:color="auto" w:fill="auto"/>
            <w:tcMar>
              <w:top w:w="72" w:type="dxa"/>
              <w:left w:w="144" w:type="dxa"/>
              <w:bottom w:w="72" w:type="dxa"/>
              <w:right w:w="144" w:type="dxa"/>
            </w:tcMar>
            <w:vAlign w:val="center"/>
          </w:tcPr>
          <w:p w14:paraId="56C68840" w14:textId="77777777" w:rsidR="005C54C7" w:rsidRPr="00E128FE" w:rsidRDefault="005C54C7" w:rsidP="00AD7F9B">
            <w:pPr>
              <w:spacing w:after="0" w:line="240" w:lineRule="auto"/>
              <w:rPr>
                <w:rFonts w:ascii="Arial" w:hAnsi="Arial" w:cs="Arial"/>
                <w:sz w:val="20"/>
                <w:szCs w:val="20"/>
                <w:lang w:val="en-US"/>
              </w:rPr>
            </w:pPr>
            <w:r w:rsidRPr="00E128FE">
              <w:rPr>
                <w:rFonts w:ascii="Arial" w:hAnsi="Arial" w:cs="Arial"/>
                <w:sz w:val="20"/>
                <w:szCs w:val="20"/>
                <w:lang w:val="en-US"/>
              </w:rPr>
              <w:t>1.00</w:t>
            </w:r>
          </w:p>
        </w:tc>
      </w:tr>
      <w:tr w:rsidR="00EB362B" w:rsidRPr="00E128FE" w14:paraId="3A52CD4F" w14:textId="77777777" w:rsidTr="00044BB0">
        <w:trPr>
          <w:trHeight w:val="57"/>
        </w:trPr>
        <w:tc>
          <w:tcPr>
            <w:tcW w:w="4580" w:type="dxa"/>
            <w:tcBorders>
              <w:top w:val="nil"/>
              <w:left w:val="nil"/>
              <w:bottom w:val="nil"/>
              <w:right w:val="nil"/>
            </w:tcBorders>
            <w:shd w:val="clear" w:color="auto" w:fill="auto"/>
            <w:tcMar>
              <w:top w:w="72" w:type="dxa"/>
              <w:left w:w="144" w:type="dxa"/>
              <w:bottom w:w="72" w:type="dxa"/>
              <w:right w:w="144" w:type="dxa"/>
            </w:tcMar>
            <w:vAlign w:val="center"/>
          </w:tcPr>
          <w:p w14:paraId="078962CA" w14:textId="77777777" w:rsidR="00EB362B" w:rsidRPr="00E128FE" w:rsidRDefault="00EB362B" w:rsidP="00AD7F9B">
            <w:pPr>
              <w:spacing w:after="0" w:line="240" w:lineRule="auto"/>
              <w:rPr>
                <w:rFonts w:ascii="Arial" w:hAnsi="Arial" w:cs="Arial"/>
                <w:sz w:val="20"/>
                <w:szCs w:val="20"/>
                <w:lang w:val="en-US"/>
              </w:rPr>
            </w:pP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3C9F884B" w14:textId="77777777" w:rsidR="00EB362B" w:rsidRPr="00E128FE" w:rsidRDefault="00EB362B" w:rsidP="00AD7F9B">
            <w:pPr>
              <w:spacing w:after="0" w:line="240" w:lineRule="auto"/>
              <w:rPr>
                <w:rFonts w:ascii="Arial" w:hAnsi="Arial" w:cs="Arial"/>
                <w:sz w:val="20"/>
                <w:szCs w:val="20"/>
                <w:lang w:val="en-US"/>
              </w:rPr>
            </w:pP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4F3C85D4" w14:textId="77777777" w:rsidR="00EB362B" w:rsidRPr="00E128FE" w:rsidRDefault="00EB362B" w:rsidP="00AD7F9B">
            <w:pPr>
              <w:spacing w:after="0" w:line="240" w:lineRule="auto"/>
              <w:rPr>
                <w:rFonts w:ascii="Arial" w:hAnsi="Arial" w:cs="Arial"/>
                <w:sz w:val="20"/>
                <w:szCs w:val="20"/>
                <w:lang w:val="en-US"/>
              </w:rPr>
            </w:pPr>
          </w:p>
        </w:tc>
        <w:tc>
          <w:tcPr>
            <w:tcW w:w="1020" w:type="dxa"/>
            <w:tcBorders>
              <w:top w:val="nil"/>
              <w:left w:val="nil"/>
              <w:bottom w:val="nil"/>
              <w:right w:val="nil"/>
            </w:tcBorders>
            <w:shd w:val="clear" w:color="auto" w:fill="auto"/>
            <w:tcMar>
              <w:top w:w="72" w:type="dxa"/>
              <w:left w:w="144" w:type="dxa"/>
              <w:bottom w:w="72" w:type="dxa"/>
              <w:right w:w="144" w:type="dxa"/>
            </w:tcMar>
            <w:vAlign w:val="center"/>
          </w:tcPr>
          <w:p w14:paraId="5FE6F506" w14:textId="77777777" w:rsidR="00EB362B" w:rsidRPr="00E128FE" w:rsidRDefault="00EB362B" w:rsidP="00AD7F9B">
            <w:pPr>
              <w:spacing w:after="0" w:line="240" w:lineRule="auto"/>
              <w:rPr>
                <w:rFonts w:ascii="Arial" w:hAnsi="Arial" w:cs="Arial"/>
                <w:sz w:val="20"/>
                <w:szCs w:val="20"/>
                <w:lang w:val="en-US"/>
              </w:rPr>
            </w:pPr>
          </w:p>
        </w:tc>
      </w:tr>
      <w:tr w:rsidR="00044BB0" w:rsidRPr="00E128FE" w14:paraId="28703C7E" w14:textId="77777777" w:rsidTr="00044BB0">
        <w:trPr>
          <w:trHeight w:val="57"/>
        </w:trPr>
        <w:tc>
          <w:tcPr>
            <w:tcW w:w="4580" w:type="dxa"/>
            <w:tcBorders>
              <w:top w:val="nil"/>
              <w:left w:val="nil"/>
              <w:bottom w:val="nil"/>
              <w:right w:val="nil"/>
            </w:tcBorders>
            <w:shd w:val="clear" w:color="auto" w:fill="auto"/>
            <w:tcMar>
              <w:top w:w="72" w:type="dxa"/>
              <w:left w:w="144" w:type="dxa"/>
              <w:bottom w:w="72" w:type="dxa"/>
              <w:right w:w="144" w:type="dxa"/>
            </w:tcMar>
            <w:vAlign w:val="center"/>
          </w:tcPr>
          <w:p w14:paraId="763CF6E2" w14:textId="77777777" w:rsidR="005C5FB6" w:rsidRPr="00E128FE" w:rsidRDefault="005C5FB6" w:rsidP="00AD7F9B">
            <w:pPr>
              <w:spacing w:after="0" w:line="240" w:lineRule="auto"/>
              <w:rPr>
                <w:rFonts w:ascii="Arial" w:hAnsi="Arial" w:cs="Arial"/>
                <w:i/>
                <w:sz w:val="20"/>
                <w:szCs w:val="20"/>
                <w:lang w:val="en-US"/>
              </w:rPr>
            </w:pPr>
            <w:r w:rsidRPr="00E128FE">
              <w:rPr>
                <w:rFonts w:ascii="Arial" w:hAnsi="Arial" w:cs="Arial"/>
                <w:i/>
                <w:sz w:val="20"/>
                <w:szCs w:val="20"/>
                <w:lang w:val="en-US"/>
              </w:rPr>
              <w:t>Laboratory biomarkers</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1BD82E12" w14:textId="77777777" w:rsidR="005C5FB6" w:rsidRPr="00E128FE" w:rsidRDefault="005C5FB6" w:rsidP="00AD7F9B">
            <w:pPr>
              <w:spacing w:after="0" w:line="240" w:lineRule="auto"/>
              <w:rPr>
                <w:rFonts w:ascii="Arial" w:hAnsi="Arial" w:cs="Arial"/>
                <w:i/>
                <w:sz w:val="20"/>
                <w:szCs w:val="20"/>
                <w:lang w:val="en-US"/>
              </w:rPr>
            </w:pP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4F6C26A7" w14:textId="77777777" w:rsidR="005C5FB6" w:rsidRPr="00E128FE" w:rsidRDefault="005C5FB6" w:rsidP="00AD7F9B">
            <w:pPr>
              <w:spacing w:after="0" w:line="240" w:lineRule="auto"/>
              <w:rPr>
                <w:rFonts w:ascii="Arial" w:hAnsi="Arial" w:cs="Arial"/>
                <w:i/>
                <w:sz w:val="20"/>
                <w:szCs w:val="20"/>
                <w:lang w:val="en-US"/>
              </w:rPr>
            </w:pPr>
          </w:p>
        </w:tc>
        <w:tc>
          <w:tcPr>
            <w:tcW w:w="1020" w:type="dxa"/>
            <w:tcBorders>
              <w:top w:val="nil"/>
              <w:left w:val="nil"/>
              <w:bottom w:val="nil"/>
              <w:right w:val="nil"/>
            </w:tcBorders>
            <w:shd w:val="clear" w:color="auto" w:fill="auto"/>
            <w:tcMar>
              <w:top w:w="72" w:type="dxa"/>
              <w:left w:w="144" w:type="dxa"/>
              <w:bottom w:w="72" w:type="dxa"/>
              <w:right w:w="144" w:type="dxa"/>
            </w:tcMar>
            <w:vAlign w:val="center"/>
          </w:tcPr>
          <w:p w14:paraId="0313C4C4" w14:textId="77777777" w:rsidR="005C5FB6" w:rsidRPr="00E128FE" w:rsidRDefault="005C5FB6" w:rsidP="00AD7F9B">
            <w:pPr>
              <w:spacing w:after="0" w:line="240" w:lineRule="auto"/>
              <w:rPr>
                <w:rFonts w:ascii="Arial" w:hAnsi="Arial" w:cs="Arial"/>
                <w:i/>
                <w:sz w:val="20"/>
                <w:szCs w:val="20"/>
                <w:lang w:val="en-US"/>
              </w:rPr>
            </w:pPr>
          </w:p>
        </w:tc>
      </w:tr>
      <w:tr w:rsidR="00044BB0" w:rsidRPr="00E128FE" w14:paraId="78440A69" w14:textId="77777777" w:rsidTr="00044BB0">
        <w:trPr>
          <w:trHeight w:val="57"/>
        </w:trPr>
        <w:tc>
          <w:tcPr>
            <w:tcW w:w="4580" w:type="dxa"/>
            <w:tcBorders>
              <w:top w:val="nil"/>
              <w:left w:val="nil"/>
              <w:bottom w:val="nil"/>
              <w:right w:val="nil"/>
            </w:tcBorders>
            <w:shd w:val="clear" w:color="auto" w:fill="auto"/>
            <w:tcMar>
              <w:top w:w="72" w:type="dxa"/>
              <w:left w:w="144" w:type="dxa"/>
              <w:bottom w:w="72" w:type="dxa"/>
              <w:right w:w="144" w:type="dxa"/>
            </w:tcMar>
            <w:vAlign w:val="center"/>
          </w:tcPr>
          <w:p w14:paraId="74CD6478"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 xml:space="preserve">  NT-proBNP</w:t>
            </w:r>
            <w:r w:rsidR="00DD3CEC" w:rsidRPr="00E128FE">
              <w:rPr>
                <w:rFonts w:ascii="Arial" w:hAnsi="Arial" w:cs="Arial"/>
                <w:sz w:val="20"/>
                <w:szCs w:val="20"/>
              </w:rPr>
              <w:t xml:space="preserve"> (IQR)</w:t>
            </w:r>
          </w:p>
        </w:tc>
        <w:tc>
          <w:tcPr>
            <w:tcW w:w="1701" w:type="dxa"/>
            <w:tcBorders>
              <w:top w:val="nil"/>
              <w:left w:val="nil"/>
              <w:bottom w:val="nil"/>
              <w:right w:val="nil"/>
            </w:tcBorders>
            <w:shd w:val="clear" w:color="auto" w:fill="auto"/>
            <w:tcMar>
              <w:top w:w="72" w:type="dxa"/>
              <w:left w:w="144" w:type="dxa"/>
              <w:bottom w:w="72" w:type="dxa"/>
              <w:right w:w="144" w:type="dxa"/>
            </w:tcMar>
          </w:tcPr>
          <w:p w14:paraId="0694575E" w14:textId="77777777" w:rsidR="00044BB0" w:rsidRPr="00E128FE" w:rsidRDefault="005744D1" w:rsidP="00AD7F9B">
            <w:pPr>
              <w:spacing w:after="0" w:line="240" w:lineRule="auto"/>
              <w:rPr>
                <w:rFonts w:ascii="Arial" w:hAnsi="Arial" w:cs="Arial"/>
                <w:sz w:val="20"/>
                <w:szCs w:val="20"/>
              </w:rPr>
            </w:pPr>
            <w:r w:rsidRPr="00E128FE">
              <w:rPr>
                <w:rFonts w:ascii="Arial" w:hAnsi="Arial" w:cs="Arial"/>
                <w:sz w:val="20"/>
                <w:szCs w:val="20"/>
              </w:rPr>
              <w:t xml:space="preserve">128.9 </w:t>
            </w:r>
          </w:p>
          <w:p w14:paraId="03E869B9"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(53.2/352.5)</w:t>
            </w:r>
          </w:p>
        </w:tc>
        <w:tc>
          <w:tcPr>
            <w:tcW w:w="1701" w:type="dxa"/>
            <w:tcBorders>
              <w:top w:val="nil"/>
              <w:left w:val="nil"/>
              <w:bottom w:val="nil"/>
              <w:right w:val="nil"/>
            </w:tcBorders>
            <w:shd w:val="clear" w:color="auto" w:fill="auto"/>
            <w:tcMar>
              <w:top w:w="72" w:type="dxa"/>
              <w:left w:w="144" w:type="dxa"/>
              <w:bottom w:w="72" w:type="dxa"/>
              <w:right w:w="144" w:type="dxa"/>
            </w:tcMar>
          </w:tcPr>
          <w:p w14:paraId="062C9702" w14:textId="77777777" w:rsidR="00044BB0" w:rsidRPr="00E128FE" w:rsidRDefault="005744D1" w:rsidP="00AD7F9B">
            <w:pPr>
              <w:spacing w:after="0" w:line="240" w:lineRule="auto"/>
              <w:rPr>
                <w:rFonts w:ascii="Arial" w:hAnsi="Arial" w:cs="Arial"/>
                <w:sz w:val="20"/>
                <w:szCs w:val="20"/>
              </w:rPr>
            </w:pPr>
            <w:r w:rsidRPr="00E128FE">
              <w:rPr>
                <w:rFonts w:ascii="Arial" w:hAnsi="Arial" w:cs="Arial"/>
                <w:sz w:val="20"/>
                <w:szCs w:val="20"/>
              </w:rPr>
              <w:t xml:space="preserve">141.7 </w:t>
            </w:r>
          </w:p>
          <w:p w14:paraId="77A9CF10"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(59.2/268.2)</w:t>
            </w:r>
          </w:p>
        </w:tc>
        <w:tc>
          <w:tcPr>
            <w:tcW w:w="1020" w:type="dxa"/>
            <w:tcBorders>
              <w:top w:val="nil"/>
              <w:left w:val="nil"/>
              <w:bottom w:val="nil"/>
              <w:right w:val="nil"/>
            </w:tcBorders>
            <w:shd w:val="clear" w:color="auto" w:fill="auto"/>
            <w:tcMar>
              <w:top w:w="72" w:type="dxa"/>
              <w:left w:w="144" w:type="dxa"/>
              <w:bottom w:w="72" w:type="dxa"/>
              <w:right w:w="144" w:type="dxa"/>
            </w:tcMar>
          </w:tcPr>
          <w:p w14:paraId="48798083"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0.96</w:t>
            </w:r>
          </w:p>
        </w:tc>
      </w:tr>
      <w:tr w:rsidR="00044BB0" w:rsidRPr="00E128FE" w14:paraId="0A31678A" w14:textId="77777777" w:rsidTr="00044BB0">
        <w:trPr>
          <w:trHeight w:val="57"/>
        </w:trPr>
        <w:tc>
          <w:tcPr>
            <w:tcW w:w="4580" w:type="dxa"/>
            <w:tcBorders>
              <w:top w:val="nil"/>
              <w:left w:val="nil"/>
              <w:bottom w:val="nil"/>
              <w:right w:val="nil"/>
            </w:tcBorders>
            <w:shd w:val="clear" w:color="auto" w:fill="auto"/>
            <w:tcMar>
              <w:top w:w="72" w:type="dxa"/>
              <w:left w:w="144" w:type="dxa"/>
              <w:bottom w:w="72" w:type="dxa"/>
              <w:right w:w="144" w:type="dxa"/>
            </w:tcMar>
            <w:vAlign w:val="center"/>
          </w:tcPr>
          <w:p w14:paraId="655062C4"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 xml:space="preserve">  Troponin</w:t>
            </w:r>
            <w:r w:rsidR="00DD3CEC" w:rsidRPr="00E128FE">
              <w:rPr>
                <w:rFonts w:ascii="Arial" w:hAnsi="Arial" w:cs="Arial"/>
                <w:sz w:val="20"/>
                <w:szCs w:val="20"/>
              </w:rPr>
              <w:t xml:space="preserve"> (IQR)</w:t>
            </w:r>
          </w:p>
        </w:tc>
        <w:tc>
          <w:tcPr>
            <w:tcW w:w="1701" w:type="dxa"/>
            <w:tcBorders>
              <w:top w:val="nil"/>
              <w:left w:val="nil"/>
              <w:bottom w:val="nil"/>
              <w:right w:val="nil"/>
            </w:tcBorders>
            <w:shd w:val="clear" w:color="auto" w:fill="auto"/>
            <w:tcMar>
              <w:top w:w="72" w:type="dxa"/>
              <w:left w:w="144" w:type="dxa"/>
              <w:bottom w:w="72" w:type="dxa"/>
              <w:right w:w="144" w:type="dxa"/>
            </w:tcMar>
          </w:tcPr>
          <w:p w14:paraId="57E9E686"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3.7 (1.6/8.1)</w:t>
            </w:r>
          </w:p>
        </w:tc>
        <w:tc>
          <w:tcPr>
            <w:tcW w:w="1701" w:type="dxa"/>
            <w:tcBorders>
              <w:top w:val="nil"/>
              <w:left w:val="nil"/>
              <w:bottom w:val="nil"/>
              <w:right w:val="nil"/>
            </w:tcBorders>
            <w:shd w:val="clear" w:color="auto" w:fill="auto"/>
            <w:tcMar>
              <w:top w:w="72" w:type="dxa"/>
              <w:left w:w="144" w:type="dxa"/>
              <w:bottom w:w="72" w:type="dxa"/>
              <w:right w:w="144" w:type="dxa"/>
            </w:tcMar>
          </w:tcPr>
          <w:p w14:paraId="433D7D0B"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4.0 (2.6/6.6)</w:t>
            </w:r>
          </w:p>
        </w:tc>
        <w:tc>
          <w:tcPr>
            <w:tcW w:w="1020" w:type="dxa"/>
            <w:tcBorders>
              <w:top w:val="nil"/>
              <w:left w:val="nil"/>
              <w:bottom w:val="nil"/>
              <w:right w:val="nil"/>
            </w:tcBorders>
            <w:shd w:val="clear" w:color="auto" w:fill="auto"/>
            <w:tcMar>
              <w:top w:w="72" w:type="dxa"/>
              <w:left w:w="144" w:type="dxa"/>
              <w:bottom w:w="72" w:type="dxa"/>
              <w:right w:w="144" w:type="dxa"/>
            </w:tcMar>
          </w:tcPr>
          <w:p w14:paraId="28F2EB16"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0.47</w:t>
            </w:r>
          </w:p>
        </w:tc>
      </w:tr>
      <w:tr w:rsidR="00044BB0" w:rsidRPr="00E128FE" w14:paraId="745629C6" w14:textId="77777777" w:rsidTr="00044BB0">
        <w:trPr>
          <w:trHeight w:val="57"/>
        </w:trPr>
        <w:tc>
          <w:tcPr>
            <w:tcW w:w="4580" w:type="dxa"/>
            <w:tcBorders>
              <w:top w:val="nil"/>
              <w:left w:val="nil"/>
              <w:bottom w:val="nil"/>
              <w:right w:val="nil"/>
            </w:tcBorders>
            <w:shd w:val="clear" w:color="auto" w:fill="auto"/>
            <w:tcMar>
              <w:top w:w="72" w:type="dxa"/>
              <w:left w:w="144" w:type="dxa"/>
              <w:bottom w:w="72" w:type="dxa"/>
              <w:right w:w="144" w:type="dxa"/>
            </w:tcMar>
            <w:vAlign w:val="center"/>
          </w:tcPr>
          <w:p w14:paraId="245DC39F"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 xml:space="preserve">  C-reactive protein</w:t>
            </w:r>
            <w:r w:rsidR="00DD3CEC" w:rsidRPr="00E128FE">
              <w:rPr>
                <w:rFonts w:ascii="Arial" w:hAnsi="Arial" w:cs="Arial"/>
                <w:sz w:val="20"/>
                <w:szCs w:val="20"/>
              </w:rPr>
              <w:t xml:space="preserve"> (IQR)</w:t>
            </w:r>
          </w:p>
        </w:tc>
        <w:tc>
          <w:tcPr>
            <w:tcW w:w="1701" w:type="dxa"/>
            <w:tcBorders>
              <w:top w:val="nil"/>
              <w:left w:val="nil"/>
              <w:bottom w:val="nil"/>
              <w:right w:val="nil"/>
            </w:tcBorders>
            <w:shd w:val="clear" w:color="auto" w:fill="auto"/>
            <w:tcMar>
              <w:top w:w="72" w:type="dxa"/>
              <w:left w:w="144" w:type="dxa"/>
              <w:bottom w:w="72" w:type="dxa"/>
              <w:right w:w="144" w:type="dxa"/>
            </w:tcMar>
          </w:tcPr>
          <w:p w14:paraId="3C265DDD"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1.9 (1.1/3.6)</w:t>
            </w:r>
          </w:p>
        </w:tc>
        <w:tc>
          <w:tcPr>
            <w:tcW w:w="1701" w:type="dxa"/>
            <w:tcBorders>
              <w:top w:val="nil"/>
              <w:left w:val="nil"/>
              <w:bottom w:val="nil"/>
              <w:right w:val="nil"/>
            </w:tcBorders>
            <w:shd w:val="clear" w:color="auto" w:fill="auto"/>
            <w:tcMar>
              <w:top w:w="72" w:type="dxa"/>
              <w:left w:w="144" w:type="dxa"/>
              <w:bottom w:w="72" w:type="dxa"/>
              <w:right w:w="144" w:type="dxa"/>
            </w:tcMar>
          </w:tcPr>
          <w:p w14:paraId="26EBBC7B"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2.2 (1.1/3.9)</w:t>
            </w:r>
          </w:p>
        </w:tc>
        <w:tc>
          <w:tcPr>
            <w:tcW w:w="1020" w:type="dxa"/>
            <w:tcBorders>
              <w:top w:val="nil"/>
              <w:left w:val="nil"/>
              <w:bottom w:val="nil"/>
              <w:right w:val="nil"/>
            </w:tcBorders>
            <w:shd w:val="clear" w:color="auto" w:fill="auto"/>
            <w:tcMar>
              <w:top w:w="72" w:type="dxa"/>
              <w:left w:w="144" w:type="dxa"/>
              <w:bottom w:w="72" w:type="dxa"/>
              <w:right w:w="144" w:type="dxa"/>
            </w:tcMar>
          </w:tcPr>
          <w:p w14:paraId="3CAA8251"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0.79</w:t>
            </w:r>
          </w:p>
        </w:tc>
      </w:tr>
      <w:tr w:rsidR="00E871D1" w:rsidRPr="00E128FE" w14:paraId="54ACA434" w14:textId="77777777" w:rsidTr="004E46AA">
        <w:trPr>
          <w:trHeight w:val="57"/>
        </w:trPr>
        <w:tc>
          <w:tcPr>
            <w:tcW w:w="4580" w:type="dxa"/>
            <w:tcBorders>
              <w:top w:val="nil"/>
              <w:left w:val="nil"/>
              <w:bottom w:val="nil"/>
              <w:right w:val="nil"/>
            </w:tcBorders>
            <w:shd w:val="clear" w:color="auto" w:fill="auto"/>
            <w:tcMar>
              <w:top w:w="72" w:type="dxa"/>
              <w:left w:w="144" w:type="dxa"/>
              <w:bottom w:w="72" w:type="dxa"/>
              <w:right w:w="144" w:type="dxa"/>
            </w:tcMar>
            <w:vAlign w:val="center"/>
          </w:tcPr>
          <w:p w14:paraId="288D94A8" w14:textId="77777777" w:rsidR="00E871D1" w:rsidRPr="00E128FE" w:rsidRDefault="00E871D1" w:rsidP="00E871D1">
            <w:pPr>
              <w:spacing w:after="0" w:line="240" w:lineRule="auto"/>
              <w:rPr>
                <w:rFonts w:ascii="Arial" w:hAnsi="Arial" w:cs="Arial"/>
                <w:sz w:val="20"/>
                <w:szCs w:val="20"/>
              </w:rPr>
            </w:pPr>
            <w:r w:rsidRPr="00E128FE">
              <w:rPr>
                <w:rFonts w:ascii="Arial" w:hAnsi="Arial" w:cs="Arial"/>
                <w:sz w:val="20"/>
                <w:szCs w:val="20"/>
              </w:rPr>
              <w:t xml:space="preserve">  eGFR [ml/Min/1.73m²]</w:t>
            </w:r>
            <w:r w:rsidR="00DD3CEC" w:rsidRPr="00E128FE">
              <w:rPr>
                <w:rFonts w:ascii="Arial" w:hAnsi="Arial" w:cs="Arial"/>
                <w:sz w:val="20"/>
                <w:szCs w:val="20"/>
              </w:rPr>
              <w:t xml:space="preserve"> (SD)</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5A8CB118" w14:textId="77777777" w:rsidR="00E871D1" w:rsidRPr="00E128FE" w:rsidRDefault="00E871D1" w:rsidP="00E871D1">
            <w:pPr>
              <w:spacing w:after="0" w:line="240" w:lineRule="auto"/>
              <w:rPr>
                <w:rFonts w:ascii="Arial" w:hAnsi="Arial" w:cs="Arial"/>
                <w:sz w:val="20"/>
                <w:szCs w:val="20"/>
                <w:lang w:val="en-US"/>
              </w:rPr>
            </w:pPr>
            <w:r w:rsidRPr="00E128FE">
              <w:rPr>
                <w:rFonts w:ascii="Arial" w:hAnsi="Arial" w:cs="Arial"/>
                <w:sz w:val="20"/>
                <w:szCs w:val="20"/>
                <w:lang w:val="en-US"/>
              </w:rPr>
              <w:t>77.1±12.7</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6272CB2B" w14:textId="77777777" w:rsidR="00E871D1" w:rsidRPr="00E128FE" w:rsidRDefault="00E871D1" w:rsidP="00E871D1">
            <w:pPr>
              <w:spacing w:after="0" w:line="240" w:lineRule="auto"/>
              <w:rPr>
                <w:rFonts w:ascii="Arial" w:hAnsi="Arial" w:cs="Arial"/>
                <w:sz w:val="20"/>
                <w:szCs w:val="20"/>
                <w:lang w:val="en-US"/>
              </w:rPr>
            </w:pPr>
            <w:r w:rsidRPr="00E128FE">
              <w:rPr>
                <w:rFonts w:ascii="Arial" w:hAnsi="Arial" w:cs="Arial"/>
                <w:sz w:val="20"/>
                <w:szCs w:val="20"/>
                <w:lang w:val="en-US"/>
              </w:rPr>
              <w:t>75.8±14.8</w:t>
            </w:r>
          </w:p>
        </w:tc>
        <w:tc>
          <w:tcPr>
            <w:tcW w:w="1020" w:type="dxa"/>
            <w:tcBorders>
              <w:top w:val="nil"/>
              <w:left w:val="nil"/>
              <w:bottom w:val="nil"/>
              <w:right w:val="nil"/>
            </w:tcBorders>
            <w:shd w:val="clear" w:color="auto" w:fill="auto"/>
            <w:tcMar>
              <w:top w:w="72" w:type="dxa"/>
              <w:left w:w="144" w:type="dxa"/>
              <w:bottom w:w="72" w:type="dxa"/>
              <w:right w:w="144" w:type="dxa"/>
            </w:tcMar>
            <w:vAlign w:val="center"/>
          </w:tcPr>
          <w:p w14:paraId="68E92E93" w14:textId="77777777" w:rsidR="00E871D1" w:rsidRPr="00E128FE" w:rsidRDefault="00E871D1" w:rsidP="00E871D1">
            <w:pPr>
              <w:spacing w:after="0" w:line="240" w:lineRule="auto"/>
              <w:rPr>
                <w:rFonts w:ascii="Arial" w:hAnsi="Arial" w:cs="Arial"/>
                <w:sz w:val="20"/>
                <w:szCs w:val="20"/>
                <w:lang w:val="en-US"/>
              </w:rPr>
            </w:pPr>
            <w:r w:rsidRPr="00E128FE">
              <w:rPr>
                <w:rFonts w:ascii="Arial" w:hAnsi="Arial" w:cs="Arial"/>
                <w:sz w:val="20"/>
                <w:szCs w:val="20"/>
                <w:lang w:val="en-US"/>
              </w:rPr>
              <w:t>0.58</w:t>
            </w:r>
          </w:p>
        </w:tc>
      </w:tr>
      <w:tr w:rsidR="00044BB0" w:rsidRPr="00E128FE" w14:paraId="54018BFF" w14:textId="77777777" w:rsidTr="00044BB0">
        <w:trPr>
          <w:trHeight w:val="57"/>
        </w:trPr>
        <w:tc>
          <w:tcPr>
            <w:tcW w:w="4580" w:type="dxa"/>
            <w:tcBorders>
              <w:top w:val="nil"/>
              <w:left w:val="nil"/>
              <w:bottom w:val="nil"/>
              <w:right w:val="nil"/>
            </w:tcBorders>
            <w:shd w:val="clear" w:color="auto" w:fill="auto"/>
            <w:tcMar>
              <w:top w:w="72" w:type="dxa"/>
              <w:left w:w="144" w:type="dxa"/>
              <w:bottom w:w="72" w:type="dxa"/>
              <w:right w:w="144" w:type="dxa"/>
            </w:tcMar>
            <w:vAlign w:val="center"/>
          </w:tcPr>
          <w:p w14:paraId="7E2440D2" w14:textId="77777777" w:rsidR="005C5FB6" w:rsidRPr="00E128FE" w:rsidRDefault="005C5FB6" w:rsidP="00AD7F9B">
            <w:pPr>
              <w:spacing w:after="0" w:line="240" w:lineRule="auto"/>
              <w:rPr>
                <w:rFonts w:ascii="Arial" w:hAnsi="Arial" w:cs="Arial"/>
                <w:sz w:val="20"/>
                <w:szCs w:val="20"/>
              </w:rPr>
            </w:pPr>
            <w:r w:rsidRPr="00E128FE">
              <w:rPr>
                <w:rFonts w:ascii="Arial" w:hAnsi="Arial" w:cs="Arial"/>
                <w:sz w:val="20"/>
                <w:szCs w:val="20"/>
              </w:rPr>
              <w:t xml:space="preserve">  Blood count</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4FD7A1A3" w14:textId="77777777" w:rsidR="005C5FB6" w:rsidRPr="00E128FE" w:rsidRDefault="005C5FB6" w:rsidP="00AD7F9B">
            <w:pPr>
              <w:spacing w:after="0" w:line="240" w:lineRule="auto"/>
              <w:rPr>
                <w:rFonts w:ascii="Arial" w:hAnsi="Arial" w:cs="Arial"/>
                <w:sz w:val="20"/>
                <w:szCs w:val="20"/>
              </w:rPr>
            </w:pP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1E60D30B" w14:textId="77777777" w:rsidR="005C5FB6" w:rsidRPr="00E128FE" w:rsidRDefault="005C5FB6" w:rsidP="00AD7F9B">
            <w:pPr>
              <w:spacing w:after="0" w:line="240" w:lineRule="auto"/>
              <w:rPr>
                <w:rFonts w:ascii="Arial" w:hAnsi="Arial" w:cs="Arial"/>
                <w:sz w:val="20"/>
                <w:szCs w:val="20"/>
              </w:rPr>
            </w:pPr>
          </w:p>
        </w:tc>
        <w:tc>
          <w:tcPr>
            <w:tcW w:w="1020" w:type="dxa"/>
            <w:tcBorders>
              <w:top w:val="nil"/>
              <w:left w:val="nil"/>
              <w:bottom w:val="nil"/>
              <w:right w:val="nil"/>
            </w:tcBorders>
            <w:shd w:val="clear" w:color="auto" w:fill="auto"/>
            <w:tcMar>
              <w:top w:w="72" w:type="dxa"/>
              <w:left w:w="144" w:type="dxa"/>
              <w:bottom w:w="72" w:type="dxa"/>
              <w:right w:w="144" w:type="dxa"/>
            </w:tcMar>
            <w:vAlign w:val="center"/>
          </w:tcPr>
          <w:p w14:paraId="038D04E6" w14:textId="77777777" w:rsidR="005C5FB6" w:rsidRPr="00E128FE" w:rsidRDefault="005C5FB6" w:rsidP="00AD7F9B">
            <w:pPr>
              <w:spacing w:after="0" w:line="240" w:lineRule="auto"/>
              <w:rPr>
                <w:rFonts w:ascii="Arial" w:hAnsi="Arial" w:cs="Arial"/>
                <w:sz w:val="20"/>
                <w:szCs w:val="20"/>
              </w:rPr>
            </w:pPr>
          </w:p>
        </w:tc>
      </w:tr>
      <w:tr w:rsidR="00044BB0" w:rsidRPr="00E128FE" w14:paraId="1D9FAD41" w14:textId="77777777" w:rsidTr="00044BB0">
        <w:trPr>
          <w:trHeight w:val="57"/>
        </w:trPr>
        <w:tc>
          <w:tcPr>
            <w:tcW w:w="4580" w:type="dxa"/>
            <w:tcBorders>
              <w:top w:val="nil"/>
              <w:left w:val="nil"/>
              <w:bottom w:val="nil"/>
              <w:right w:val="nil"/>
            </w:tcBorders>
            <w:shd w:val="clear" w:color="auto" w:fill="auto"/>
            <w:tcMar>
              <w:top w:w="72" w:type="dxa"/>
              <w:left w:w="144" w:type="dxa"/>
              <w:bottom w:w="72" w:type="dxa"/>
              <w:right w:w="144" w:type="dxa"/>
            </w:tcMar>
            <w:vAlign w:val="center"/>
          </w:tcPr>
          <w:p w14:paraId="5A64A86D" w14:textId="77777777" w:rsidR="005744D1" w:rsidRPr="00E128FE" w:rsidRDefault="005744D1" w:rsidP="0075770A">
            <w:pPr>
              <w:spacing w:after="0" w:line="240" w:lineRule="auto"/>
              <w:rPr>
                <w:rFonts w:ascii="Arial" w:hAnsi="Arial" w:cs="Arial"/>
                <w:sz w:val="20"/>
                <w:szCs w:val="20"/>
              </w:rPr>
            </w:pPr>
            <w:r w:rsidRPr="00E128FE">
              <w:rPr>
                <w:rFonts w:ascii="Arial" w:hAnsi="Arial" w:cs="Arial"/>
                <w:sz w:val="20"/>
                <w:szCs w:val="20"/>
              </w:rPr>
              <w:t xml:space="preserve">    Leukocyte count [/nL]</w:t>
            </w:r>
            <w:r w:rsidR="00DD3CEC" w:rsidRPr="00E128FE">
              <w:rPr>
                <w:rFonts w:ascii="Arial" w:hAnsi="Arial" w:cs="Arial"/>
                <w:sz w:val="20"/>
                <w:szCs w:val="20"/>
              </w:rPr>
              <w:t xml:space="preserve"> (IQR)</w:t>
            </w:r>
          </w:p>
        </w:tc>
        <w:tc>
          <w:tcPr>
            <w:tcW w:w="1701" w:type="dxa"/>
            <w:tcBorders>
              <w:top w:val="nil"/>
              <w:left w:val="nil"/>
              <w:bottom w:val="nil"/>
              <w:right w:val="nil"/>
            </w:tcBorders>
            <w:shd w:val="clear" w:color="auto" w:fill="auto"/>
            <w:tcMar>
              <w:top w:w="72" w:type="dxa"/>
              <w:left w:w="144" w:type="dxa"/>
              <w:bottom w:w="72" w:type="dxa"/>
              <w:right w:w="144" w:type="dxa"/>
            </w:tcMar>
          </w:tcPr>
          <w:p w14:paraId="629E41ED"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7.18 (5.99/8.47)</w:t>
            </w:r>
          </w:p>
        </w:tc>
        <w:tc>
          <w:tcPr>
            <w:tcW w:w="1701" w:type="dxa"/>
            <w:tcBorders>
              <w:top w:val="nil"/>
              <w:left w:val="nil"/>
              <w:bottom w:val="nil"/>
              <w:right w:val="nil"/>
            </w:tcBorders>
            <w:shd w:val="clear" w:color="auto" w:fill="auto"/>
            <w:tcMar>
              <w:top w:w="72" w:type="dxa"/>
              <w:left w:w="144" w:type="dxa"/>
              <w:bottom w:w="72" w:type="dxa"/>
              <w:right w:w="144" w:type="dxa"/>
            </w:tcMar>
          </w:tcPr>
          <w:p w14:paraId="6C540340"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7.02 (6.18/8.58)</w:t>
            </w:r>
          </w:p>
        </w:tc>
        <w:tc>
          <w:tcPr>
            <w:tcW w:w="1020" w:type="dxa"/>
            <w:tcBorders>
              <w:top w:val="nil"/>
              <w:left w:val="nil"/>
              <w:bottom w:val="nil"/>
              <w:right w:val="nil"/>
            </w:tcBorders>
            <w:shd w:val="clear" w:color="auto" w:fill="auto"/>
            <w:tcMar>
              <w:top w:w="72" w:type="dxa"/>
              <w:left w:w="144" w:type="dxa"/>
              <w:bottom w:w="72" w:type="dxa"/>
              <w:right w:w="144" w:type="dxa"/>
            </w:tcMar>
          </w:tcPr>
          <w:p w14:paraId="6E0DAC80"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0.74</w:t>
            </w:r>
          </w:p>
        </w:tc>
      </w:tr>
      <w:tr w:rsidR="00044BB0" w:rsidRPr="00E128FE" w14:paraId="6A19C7B4" w14:textId="77777777" w:rsidTr="00044BB0">
        <w:trPr>
          <w:trHeight w:val="57"/>
        </w:trPr>
        <w:tc>
          <w:tcPr>
            <w:tcW w:w="4580" w:type="dxa"/>
            <w:tcBorders>
              <w:top w:val="nil"/>
              <w:left w:val="nil"/>
              <w:bottom w:val="nil"/>
              <w:right w:val="nil"/>
            </w:tcBorders>
            <w:shd w:val="clear" w:color="auto" w:fill="auto"/>
            <w:tcMar>
              <w:top w:w="72" w:type="dxa"/>
              <w:left w:w="144" w:type="dxa"/>
              <w:bottom w:w="72" w:type="dxa"/>
              <w:right w:w="144" w:type="dxa"/>
            </w:tcMar>
            <w:vAlign w:val="center"/>
          </w:tcPr>
          <w:p w14:paraId="11C648BE" w14:textId="77777777" w:rsidR="005744D1" w:rsidRPr="00E128FE" w:rsidRDefault="005744D1" w:rsidP="0075770A">
            <w:pPr>
              <w:spacing w:after="0" w:line="240" w:lineRule="auto"/>
              <w:rPr>
                <w:rFonts w:ascii="Arial" w:hAnsi="Arial" w:cs="Arial"/>
                <w:sz w:val="20"/>
                <w:szCs w:val="20"/>
                <w:lang w:val="en-US"/>
              </w:rPr>
            </w:pPr>
            <w:r w:rsidRPr="00E128FE">
              <w:rPr>
                <w:rFonts w:ascii="Arial" w:hAnsi="Arial" w:cs="Arial"/>
                <w:sz w:val="20"/>
                <w:szCs w:val="20"/>
                <w:lang w:val="en-US"/>
              </w:rPr>
              <w:t xml:space="preserve">    Red blood cell count [/pL]</w:t>
            </w:r>
            <w:r w:rsidR="00DD3CEC" w:rsidRPr="00E128FE">
              <w:rPr>
                <w:rFonts w:ascii="Arial" w:hAnsi="Arial" w:cs="Arial"/>
                <w:sz w:val="20"/>
                <w:szCs w:val="20"/>
                <w:lang w:val="en-US"/>
              </w:rPr>
              <w:t xml:space="preserve"> (SD)</w:t>
            </w:r>
          </w:p>
        </w:tc>
        <w:tc>
          <w:tcPr>
            <w:tcW w:w="1701" w:type="dxa"/>
            <w:tcBorders>
              <w:top w:val="nil"/>
              <w:left w:val="nil"/>
              <w:bottom w:val="nil"/>
              <w:right w:val="nil"/>
            </w:tcBorders>
            <w:shd w:val="clear" w:color="auto" w:fill="auto"/>
            <w:tcMar>
              <w:top w:w="72" w:type="dxa"/>
              <w:left w:w="144" w:type="dxa"/>
              <w:bottom w:w="72" w:type="dxa"/>
              <w:right w:w="144" w:type="dxa"/>
            </w:tcMar>
          </w:tcPr>
          <w:p w14:paraId="7EE1685A"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4.65</w:t>
            </w:r>
            <w:r w:rsidR="00AD7F9B" w:rsidRPr="00E128FE">
              <w:rPr>
                <w:rFonts w:ascii="Arial" w:hAnsi="Arial" w:cs="Arial"/>
                <w:sz w:val="20"/>
                <w:szCs w:val="20"/>
              </w:rPr>
              <w:t>±</w:t>
            </w:r>
            <w:r w:rsidRPr="00E128FE">
              <w:rPr>
                <w:rFonts w:ascii="Arial" w:hAnsi="Arial" w:cs="Arial"/>
                <w:sz w:val="20"/>
                <w:szCs w:val="20"/>
              </w:rPr>
              <w:t>0.38</w:t>
            </w:r>
          </w:p>
        </w:tc>
        <w:tc>
          <w:tcPr>
            <w:tcW w:w="1701" w:type="dxa"/>
            <w:tcBorders>
              <w:top w:val="nil"/>
              <w:left w:val="nil"/>
              <w:bottom w:val="nil"/>
              <w:right w:val="nil"/>
            </w:tcBorders>
            <w:shd w:val="clear" w:color="auto" w:fill="auto"/>
            <w:tcMar>
              <w:top w:w="72" w:type="dxa"/>
              <w:left w:w="144" w:type="dxa"/>
              <w:bottom w:w="72" w:type="dxa"/>
              <w:right w:w="144" w:type="dxa"/>
            </w:tcMar>
          </w:tcPr>
          <w:p w14:paraId="286D41E7"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4.68</w:t>
            </w:r>
            <w:r w:rsidR="00AD7F9B" w:rsidRPr="00E128FE">
              <w:rPr>
                <w:rFonts w:ascii="Arial" w:hAnsi="Arial" w:cs="Arial"/>
                <w:sz w:val="20"/>
                <w:szCs w:val="20"/>
              </w:rPr>
              <w:t>±</w:t>
            </w:r>
            <w:r w:rsidRPr="00E128FE">
              <w:rPr>
                <w:rFonts w:ascii="Arial" w:hAnsi="Arial" w:cs="Arial"/>
                <w:sz w:val="20"/>
                <w:szCs w:val="20"/>
              </w:rPr>
              <w:t>0.40</w:t>
            </w:r>
          </w:p>
        </w:tc>
        <w:tc>
          <w:tcPr>
            <w:tcW w:w="1020" w:type="dxa"/>
            <w:tcBorders>
              <w:top w:val="nil"/>
              <w:left w:val="nil"/>
              <w:bottom w:val="nil"/>
              <w:right w:val="nil"/>
            </w:tcBorders>
            <w:shd w:val="clear" w:color="auto" w:fill="auto"/>
            <w:tcMar>
              <w:top w:w="72" w:type="dxa"/>
              <w:left w:w="144" w:type="dxa"/>
              <w:bottom w:w="72" w:type="dxa"/>
              <w:right w:w="144" w:type="dxa"/>
            </w:tcMar>
          </w:tcPr>
          <w:p w14:paraId="0286027B"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0.63</w:t>
            </w:r>
          </w:p>
        </w:tc>
      </w:tr>
      <w:tr w:rsidR="00044BB0" w:rsidRPr="00E128FE" w14:paraId="4F9621CB" w14:textId="77777777" w:rsidTr="00044BB0">
        <w:trPr>
          <w:trHeight w:val="57"/>
        </w:trPr>
        <w:tc>
          <w:tcPr>
            <w:tcW w:w="4580" w:type="dxa"/>
            <w:tcBorders>
              <w:top w:val="nil"/>
              <w:left w:val="nil"/>
              <w:bottom w:val="nil"/>
              <w:right w:val="nil"/>
            </w:tcBorders>
            <w:shd w:val="clear" w:color="auto" w:fill="auto"/>
            <w:tcMar>
              <w:top w:w="72" w:type="dxa"/>
              <w:left w:w="144" w:type="dxa"/>
              <w:bottom w:w="72" w:type="dxa"/>
              <w:right w:w="144" w:type="dxa"/>
            </w:tcMar>
            <w:vAlign w:val="center"/>
          </w:tcPr>
          <w:p w14:paraId="7A0F25DF" w14:textId="77777777" w:rsidR="005744D1" w:rsidRPr="00E128FE" w:rsidRDefault="005744D1" w:rsidP="0075770A">
            <w:pPr>
              <w:spacing w:after="0" w:line="240" w:lineRule="auto"/>
              <w:rPr>
                <w:rFonts w:ascii="Arial" w:hAnsi="Arial" w:cs="Arial"/>
                <w:sz w:val="20"/>
                <w:szCs w:val="20"/>
              </w:rPr>
            </w:pPr>
            <w:r w:rsidRPr="00E128FE">
              <w:rPr>
                <w:rFonts w:ascii="Arial" w:hAnsi="Arial" w:cs="Arial"/>
                <w:sz w:val="20"/>
                <w:szCs w:val="20"/>
                <w:lang w:val="en-US"/>
              </w:rPr>
              <w:t xml:space="preserve">    </w:t>
            </w:r>
            <w:r w:rsidRPr="00E128FE">
              <w:rPr>
                <w:rFonts w:ascii="Arial" w:hAnsi="Arial" w:cs="Arial"/>
                <w:sz w:val="20"/>
                <w:szCs w:val="20"/>
              </w:rPr>
              <w:t>Hemoglobin [g/dL]</w:t>
            </w:r>
            <w:r w:rsidR="00DD3CEC" w:rsidRPr="00E128FE">
              <w:rPr>
                <w:rFonts w:ascii="Arial" w:hAnsi="Arial" w:cs="Arial"/>
                <w:sz w:val="20"/>
                <w:szCs w:val="20"/>
              </w:rPr>
              <w:t xml:space="preserve"> (SD)</w:t>
            </w:r>
          </w:p>
        </w:tc>
        <w:tc>
          <w:tcPr>
            <w:tcW w:w="1701" w:type="dxa"/>
            <w:tcBorders>
              <w:top w:val="nil"/>
              <w:left w:val="nil"/>
              <w:bottom w:val="nil"/>
              <w:right w:val="nil"/>
            </w:tcBorders>
            <w:shd w:val="clear" w:color="auto" w:fill="auto"/>
            <w:tcMar>
              <w:top w:w="72" w:type="dxa"/>
              <w:left w:w="144" w:type="dxa"/>
              <w:bottom w:w="72" w:type="dxa"/>
              <w:right w:w="144" w:type="dxa"/>
            </w:tcMar>
          </w:tcPr>
          <w:p w14:paraId="322CD8EB"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14.1</w:t>
            </w:r>
            <w:r w:rsidR="00AD7F9B" w:rsidRPr="00E128FE">
              <w:rPr>
                <w:rFonts w:ascii="Arial" w:hAnsi="Arial" w:cs="Arial"/>
                <w:sz w:val="20"/>
                <w:szCs w:val="20"/>
              </w:rPr>
              <w:t>±</w:t>
            </w:r>
            <w:r w:rsidRPr="00E128FE">
              <w:rPr>
                <w:rFonts w:ascii="Arial" w:hAnsi="Arial" w:cs="Arial"/>
                <w:sz w:val="20"/>
                <w:szCs w:val="20"/>
              </w:rPr>
              <w:t>1.1</w:t>
            </w:r>
          </w:p>
        </w:tc>
        <w:tc>
          <w:tcPr>
            <w:tcW w:w="1701" w:type="dxa"/>
            <w:tcBorders>
              <w:top w:val="nil"/>
              <w:left w:val="nil"/>
              <w:bottom w:val="nil"/>
              <w:right w:val="nil"/>
            </w:tcBorders>
            <w:shd w:val="clear" w:color="auto" w:fill="auto"/>
            <w:tcMar>
              <w:top w:w="72" w:type="dxa"/>
              <w:left w:w="144" w:type="dxa"/>
              <w:bottom w:w="72" w:type="dxa"/>
              <w:right w:w="144" w:type="dxa"/>
            </w:tcMar>
          </w:tcPr>
          <w:p w14:paraId="7D8A816A"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14.2</w:t>
            </w:r>
            <w:r w:rsidR="00AD7F9B" w:rsidRPr="00E128FE">
              <w:rPr>
                <w:rFonts w:ascii="Arial" w:hAnsi="Arial" w:cs="Arial"/>
                <w:sz w:val="20"/>
                <w:szCs w:val="20"/>
              </w:rPr>
              <w:t>±1</w:t>
            </w:r>
            <w:r w:rsidRPr="00E128FE">
              <w:rPr>
                <w:rFonts w:ascii="Arial" w:hAnsi="Arial" w:cs="Arial"/>
                <w:sz w:val="20"/>
                <w:szCs w:val="20"/>
              </w:rPr>
              <w:t>.2</w:t>
            </w:r>
          </w:p>
        </w:tc>
        <w:tc>
          <w:tcPr>
            <w:tcW w:w="1020" w:type="dxa"/>
            <w:tcBorders>
              <w:top w:val="nil"/>
              <w:left w:val="nil"/>
              <w:bottom w:val="nil"/>
              <w:right w:val="nil"/>
            </w:tcBorders>
            <w:shd w:val="clear" w:color="auto" w:fill="auto"/>
            <w:tcMar>
              <w:top w:w="72" w:type="dxa"/>
              <w:left w:w="144" w:type="dxa"/>
              <w:bottom w:w="72" w:type="dxa"/>
              <w:right w:w="144" w:type="dxa"/>
            </w:tcMar>
          </w:tcPr>
          <w:p w14:paraId="4593BBBD"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0.55</w:t>
            </w:r>
          </w:p>
        </w:tc>
      </w:tr>
      <w:tr w:rsidR="00044BB0" w:rsidRPr="00E128FE" w14:paraId="3A135EA5" w14:textId="77777777" w:rsidTr="00044BB0">
        <w:trPr>
          <w:trHeight w:val="57"/>
        </w:trPr>
        <w:tc>
          <w:tcPr>
            <w:tcW w:w="4580" w:type="dxa"/>
            <w:tcBorders>
              <w:top w:val="nil"/>
              <w:left w:val="nil"/>
              <w:bottom w:val="nil"/>
              <w:right w:val="nil"/>
            </w:tcBorders>
            <w:shd w:val="clear" w:color="auto" w:fill="auto"/>
            <w:tcMar>
              <w:top w:w="72" w:type="dxa"/>
              <w:left w:w="144" w:type="dxa"/>
              <w:bottom w:w="72" w:type="dxa"/>
              <w:right w:w="144" w:type="dxa"/>
            </w:tcMar>
            <w:vAlign w:val="center"/>
          </w:tcPr>
          <w:p w14:paraId="4D9B444F" w14:textId="77777777" w:rsidR="005744D1" w:rsidRPr="00E128FE" w:rsidRDefault="005744D1" w:rsidP="0075770A">
            <w:pPr>
              <w:spacing w:after="0" w:line="240" w:lineRule="auto"/>
              <w:rPr>
                <w:rFonts w:ascii="Arial" w:hAnsi="Arial" w:cs="Arial"/>
                <w:sz w:val="20"/>
                <w:szCs w:val="20"/>
                <w:lang w:val="en-US"/>
              </w:rPr>
            </w:pPr>
            <w:r w:rsidRPr="00E128FE">
              <w:rPr>
                <w:rFonts w:ascii="Arial" w:hAnsi="Arial" w:cs="Arial"/>
                <w:sz w:val="20"/>
                <w:szCs w:val="20"/>
                <w:lang w:val="en-US"/>
              </w:rPr>
              <w:t xml:space="preserve">    Mean corpuscular hemoglobin [pg]</w:t>
            </w:r>
            <w:r w:rsidR="00DD3CEC" w:rsidRPr="00E128FE">
              <w:rPr>
                <w:rFonts w:ascii="Arial" w:hAnsi="Arial" w:cs="Arial"/>
                <w:sz w:val="20"/>
                <w:szCs w:val="20"/>
                <w:lang w:val="en-US"/>
              </w:rPr>
              <w:t xml:space="preserve"> (SD)</w:t>
            </w:r>
          </w:p>
        </w:tc>
        <w:tc>
          <w:tcPr>
            <w:tcW w:w="1701" w:type="dxa"/>
            <w:tcBorders>
              <w:top w:val="nil"/>
              <w:left w:val="nil"/>
              <w:bottom w:val="nil"/>
              <w:right w:val="nil"/>
            </w:tcBorders>
            <w:shd w:val="clear" w:color="auto" w:fill="auto"/>
            <w:tcMar>
              <w:top w:w="72" w:type="dxa"/>
              <w:left w:w="144" w:type="dxa"/>
              <w:bottom w:w="72" w:type="dxa"/>
              <w:right w:w="144" w:type="dxa"/>
            </w:tcMar>
          </w:tcPr>
          <w:p w14:paraId="58986330"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30.5</w:t>
            </w:r>
            <w:r w:rsidR="00AD7F9B" w:rsidRPr="00E128FE">
              <w:rPr>
                <w:rFonts w:ascii="Arial" w:hAnsi="Arial" w:cs="Arial"/>
                <w:sz w:val="20"/>
                <w:szCs w:val="20"/>
              </w:rPr>
              <w:t>±</w:t>
            </w:r>
            <w:r w:rsidRPr="00E128FE">
              <w:rPr>
                <w:rFonts w:ascii="Arial" w:hAnsi="Arial" w:cs="Arial"/>
                <w:sz w:val="20"/>
                <w:szCs w:val="20"/>
              </w:rPr>
              <w:t>1.8</w:t>
            </w:r>
          </w:p>
        </w:tc>
        <w:tc>
          <w:tcPr>
            <w:tcW w:w="1701" w:type="dxa"/>
            <w:tcBorders>
              <w:top w:val="nil"/>
              <w:left w:val="nil"/>
              <w:bottom w:val="nil"/>
              <w:right w:val="nil"/>
            </w:tcBorders>
            <w:shd w:val="clear" w:color="auto" w:fill="auto"/>
            <w:tcMar>
              <w:top w:w="72" w:type="dxa"/>
              <w:left w:w="144" w:type="dxa"/>
              <w:bottom w:w="72" w:type="dxa"/>
              <w:right w:w="144" w:type="dxa"/>
            </w:tcMar>
          </w:tcPr>
          <w:p w14:paraId="69221621"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30.5</w:t>
            </w:r>
            <w:r w:rsidR="00AD7F9B" w:rsidRPr="00E128FE">
              <w:rPr>
                <w:rFonts w:ascii="Arial" w:hAnsi="Arial" w:cs="Arial"/>
                <w:sz w:val="20"/>
                <w:szCs w:val="20"/>
              </w:rPr>
              <w:t>±</w:t>
            </w:r>
            <w:r w:rsidRPr="00E128FE">
              <w:rPr>
                <w:rFonts w:ascii="Arial" w:hAnsi="Arial" w:cs="Arial"/>
                <w:sz w:val="20"/>
                <w:szCs w:val="20"/>
              </w:rPr>
              <w:t>1.5</w:t>
            </w:r>
          </w:p>
        </w:tc>
        <w:tc>
          <w:tcPr>
            <w:tcW w:w="1020" w:type="dxa"/>
            <w:tcBorders>
              <w:top w:val="nil"/>
              <w:left w:val="nil"/>
              <w:bottom w:val="nil"/>
              <w:right w:val="nil"/>
            </w:tcBorders>
            <w:shd w:val="clear" w:color="auto" w:fill="auto"/>
            <w:tcMar>
              <w:top w:w="72" w:type="dxa"/>
              <w:left w:w="144" w:type="dxa"/>
              <w:bottom w:w="72" w:type="dxa"/>
              <w:right w:w="144" w:type="dxa"/>
            </w:tcMar>
          </w:tcPr>
          <w:p w14:paraId="5BB7ED31"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0.99</w:t>
            </w:r>
          </w:p>
        </w:tc>
      </w:tr>
      <w:tr w:rsidR="00044BB0" w:rsidRPr="00E128FE" w14:paraId="5A32FB80" w14:textId="77777777" w:rsidTr="00044BB0">
        <w:trPr>
          <w:trHeight w:val="57"/>
        </w:trPr>
        <w:tc>
          <w:tcPr>
            <w:tcW w:w="4580" w:type="dxa"/>
            <w:tcBorders>
              <w:top w:val="nil"/>
              <w:left w:val="nil"/>
              <w:bottom w:val="nil"/>
              <w:right w:val="nil"/>
            </w:tcBorders>
            <w:shd w:val="clear" w:color="auto" w:fill="auto"/>
            <w:tcMar>
              <w:top w:w="72" w:type="dxa"/>
              <w:left w:w="144" w:type="dxa"/>
              <w:bottom w:w="72" w:type="dxa"/>
              <w:right w:w="144" w:type="dxa"/>
            </w:tcMar>
            <w:vAlign w:val="center"/>
          </w:tcPr>
          <w:p w14:paraId="1422C4B9" w14:textId="77777777"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 xml:space="preserve">    Mean corpuscular hemoglobin </w:t>
            </w:r>
          </w:p>
          <w:p w14:paraId="14E1AC73" w14:textId="77777777" w:rsidR="005744D1" w:rsidRPr="00E128FE" w:rsidRDefault="005744D1" w:rsidP="0075770A">
            <w:pPr>
              <w:spacing w:after="0" w:line="240" w:lineRule="auto"/>
              <w:rPr>
                <w:rFonts w:ascii="Arial" w:hAnsi="Arial" w:cs="Arial"/>
                <w:sz w:val="20"/>
                <w:szCs w:val="20"/>
                <w:lang w:val="en-US"/>
              </w:rPr>
            </w:pPr>
            <w:r w:rsidRPr="00E128FE">
              <w:rPr>
                <w:rFonts w:ascii="Arial" w:hAnsi="Arial" w:cs="Arial"/>
                <w:sz w:val="20"/>
                <w:szCs w:val="20"/>
                <w:lang w:val="en-US"/>
              </w:rPr>
              <w:t xml:space="preserve">     concentration [g/L]</w:t>
            </w:r>
            <w:r w:rsidR="00DD3CEC" w:rsidRPr="00E128FE">
              <w:rPr>
                <w:rFonts w:ascii="Arial" w:hAnsi="Arial" w:cs="Arial"/>
                <w:sz w:val="20"/>
                <w:szCs w:val="20"/>
                <w:lang w:val="en-US"/>
              </w:rPr>
              <w:t xml:space="preserve"> (SD)</w:t>
            </w:r>
          </w:p>
        </w:tc>
        <w:tc>
          <w:tcPr>
            <w:tcW w:w="1701" w:type="dxa"/>
            <w:tcBorders>
              <w:top w:val="nil"/>
              <w:left w:val="nil"/>
              <w:bottom w:val="nil"/>
              <w:right w:val="nil"/>
            </w:tcBorders>
            <w:shd w:val="clear" w:color="auto" w:fill="auto"/>
            <w:tcMar>
              <w:top w:w="72" w:type="dxa"/>
              <w:left w:w="144" w:type="dxa"/>
              <w:bottom w:w="72" w:type="dxa"/>
              <w:right w:w="144" w:type="dxa"/>
            </w:tcMar>
          </w:tcPr>
          <w:p w14:paraId="30A176F1"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33.7</w:t>
            </w:r>
            <w:r w:rsidR="00AD7F9B" w:rsidRPr="00E128FE">
              <w:rPr>
                <w:rFonts w:ascii="Arial" w:hAnsi="Arial" w:cs="Arial"/>
                <w:sz w:val="20"/>
                <w:szCs w:val="20"/>
              </w:rPr>
              <w:t>±</w:t>
            </w:r>
            <w:r w:rsidRPr="00E128FE">
              <w:rPr>
                <w:rFonts w:ascii="Arial" w:hAnsi="Arial" w:cs="Arial"/>
                <w:sz w:val="20"/>
                <w:szCs w:val="20"/>
              </w:rPr>
              <w:t>0.9</w:t>
            </w:r>
          </w:p>
        </w:tc>
        <w:tc>
          <w:tcPr>
            <w:tcW w:w="1701" w:type="dxa"/>
            <w:tcBorders>
              <w:top w:val="nil"/>
              <w:left w:val="nil"/>
              <w:bottom w:val="nil"/>
              <w:right w:val="nil"/>
            </w:tcBorders>
            <w:shd w:val="clear" w:color="auto" w:fill="auto"/>
            <w:tcMar>
              <w:top w:w="72" w:type="dxa"/>
              <w:left w:w="144" w:type="dxa"/>
              <w:bottom w:w="72" w:type="dxa"/>
              <w:right w:w="144" w:type="dxa"/>
            </w:tcMar>
          </w:tcPr>
          <w:p w14:paraId="3D5CDA1C"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33.5</w:t>
            </w:r>
            <w:r w:rsidR="00AD7F9B" w:rsidRPr="00E128FE">
              <w:rPr>
                <w:rFonts w:ascii="Arial" w:hAnsi="Arial" w:cs="Arial"/>
                <w:sz w:val="20"/>
                <w:szCs w:val="20"/>
              </w:rPr>
              <w:t>±</w:t>
            </w:r>
            <w:r w:rsidRPr="00E128FE">
              <w:rPr>
                <w:rFonts w:ascii="Arial" w:hAnsi="Arial" w:cs="Arial"/>
                <w:sz w:val="20"/>
                <w:szCs w:val="20"/>
              </w:rPr>
              <w:t>0.9</w:t>
            </w:r>
          </w:p>
        </w:tc>
        <w:tc>
          <w:tcPr>
            <w:tcW w:w="1020" w:type="dxa"/>
            <w:tcBorders>
              <w:top w:val="nil"/>
              <w:left w:val="nil"/>
              <w:bottom w:val="nil"/>
              <w:right w:val="nil"/>
            </w:tcBorders>
            <w:shd w:val="clear" w:color="auto" w:fill="auto"/>
            <w:tcMar>
              <w:top w:w="72" w:type="dxa"/>
              <w:left w:w="144" w:type="dxa"/>
              <w:bottom w:w="72" w:type="dxa"/>
              <w:right w:w="144" w:type="dxa"/>
            </w:tcMar>
          </w:tcPr>
          <w:p w14:paraId="2E2846DB"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0.25</w:t>
            </w:r>
          </w:p>
        </w:tc>
      </w:tr>
      <w:tr w:rsidR="00044BB0" w:rsidRPr="00E128FE" w14:paraId="13D2CC6B" w14:textId="77777777" w:rsidTr="00044BB0">
        <w:trPr>
          <w:trHeight w:val="57"/>
        </w:trPr>
        <w:tc>
          <w:tcPr>
            <w:tcW w:w="4580" w:type="dxa"/>
            <w:tcBorders>
              <w:top w:val="nil"/>
              <w:left w:val="nil"/>
              <w:bottom w:val="nil"/>
              <w:right w:val="nil"/>
            </w:tcBorders>
            <w:shd w:val="clear" w:color="auto" w:fill="auto"/>
            <w:tcMar>
              <w:top w:w="72" w:type="dxa"/>
              <w:left w:w="144" w:type="dxa"/>
              <w:bottom w:w="72" w:type="dxa"/>
              <w:right w:w="144" w:type="dxa"/>
            </w:tcMar>
            <w:vAlign w:val="center"/>
          </w:tcPr>
          <w:p w14:paraId="70E74353" w14:textId="77777777" w:rsidR="005744D1" w:rsidRPr="00E128FE" w:rsidRDefault="005744D1" w:rsidP="0075770A">
            <w:pPr>
              <w:spacing w:after="0" w:line="240" w:lineRule="auto"/>
              <w:rPr>
                <w:rFonts w:ascii="Arial" w:hAnsi="Arial" w:cs="Arial"/>
                <w:sz w:val="20"/>
                <w:szCs w:val="20"/>
                <w:lang w:val="en-US"/>
              </w:rPr>
            </w:pPr>
            <w:r w:rsidRPr="00E128FE">
              <w:rPr>
                <w:rFonts w:ascii="Arial" w:hAnsi="Arial" w:cs="Arial"/>
                <w:sz w:val="20"/>
                <w:szCs w:val="20"/>
                <w:lang w:val="en-US"/>
              </w:rPr>
              <w:t xml:space="preserve">    Mean corpuscular volume [fL]</w:t>
            </w:r>
            <w:r w:rsidR="00DD3CEC" w:rsidRPr="00E128FE">
              <w:rPr>
                <w:rFonts w:ascii="Arial" w:hAnsi="Arial" w:cs="Arial"/>
                <w:sz w:val="20"/>
                <w:szCs w:val="20"/>
                <w:lang w:val="en-US"/>
              </w:rPr>
              <w:t xml:space="preserve"> (SD)</w:t>
            </w:r>
          </w:p>
        </w:tc>
        <w:tc>
          <w:tcPr>
            <w:tcW w:w="1701" w:type="dxa"/>
            <w:tcBorders>
              <w:top w:val="nil"/>
              <w:left w:val="nil"/>
              <w:bottom w:val="nil"/>
              <w:right w:val="nil"/>
            </w:tcBorders>
            <w:shd w:val="clear" w:color="auto" w:fill="auto"/>
            <w:tcMar>
              <w:top w:w="72" w:type="dxa"/>
              <w:left w:w="144" w:type="dxa"/>
              <w:bottom w:w="72" w:type="dxa"/>
              <w:right w:w="144" w:type="dxa"/>
            </w:tcMar>
          </w:tcPr>
          <w:p w14:paraId="730EC195"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90.5</w:t>
            </w:r>
            <w:r w:rsidR="00AD7F9B" w:rsidRPr="00E128FE">
              <w:rPr>
                <w:rFonts w:ascii="Arial" w:hAnsi="Arial" w:cs="Arial"/>
                <w:sz w:val="20"/>
                <w:szCs w:val="20"/>
              </w:rPr>
              <w:t>±4</w:t>
            </w:r>
            <w:r w:rsidRPr="00E128FE">
              <w:rPr>
                <w:rFonts w:ascii="Arial" w:hAnsi="Arial" w:cs="Arial"/>
                <w:sz w:val="20"/>
                <w:szCs w:val="20"/>
              </w:rPr>
              <w:t>.6</w:t>
            </w:r>
          </w:p>
        </w:tc>
        <w:tc>
          <w:tcPr>
            <w:tcW w:w="1701" w:type="dxa"/>
            <w:tcBorders>
              <w:top w:val="nil"/>
              <w:left w:val="nil"/>
              <w:bottom w:val="nil"/>
              <w:right w:val="nil"/>
            </w:tcBorders>
            <w:shd w:val="clear" w:color="auto" w:fill="auto"/>
            <w:tcMar>
              <w:top w:w="72" w:type="dxa"/>
              <w:left w:w="144" w:type="dxa"/>
              <w:bottom w:w="72" w:type="dxa"/>
              <w:right w:w="144" w:type="dxa"/>
            </w:tcMar>
          </w:tcPr>
          <w:p w14:paraId="182569D7"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91.0</w:t>
            </w:r>
            <w:r w:rsidR="00AD7F9B" w:rsidRPr="00E128FE">
              <w:rPr>
                <w:rFonts w:ascii="Arial" w:hAnsi="Arial" w:cs="Arial"/>
                <w:sz w:val="20"/>
                <w:szCs w:val="20"/>
              </w:rPr>
              <w:t>±</w:t>
            </w:r>
            <w:r w:rsidRPr="00E128FE">
              <w:rPr>
                <w:rFonts w:ascii="Arial" w:hAnsi="Arial" w:cs="Arial"/>
                <w:sz w:val="20"/>
                <w:szCs w:val="20"/>
              </w:rPr>
              <w:t>4.0</w:t>
            </w:r>
          </w:p>
        </w:tc>
        <w:tc>
          <w:tcPr>
            <w:tcW w:w="1020" w:type="dxa"/>
            <w:tcBorders>
              <w:top w:val="nil"/>
              <w:left w:val="nil"/>
              <w:bottom w:val="nil"/>
              <w:right w:val="nil"/>
            </w:tcBorders>
            <w:shd w:val="clear" w:color="auto" w:fill="auto"/>
            <w:tcMar>
              <w:top w:w="72" w:type="dxa"/>
              <w:left w:w="144" w:type="dxa"/>
              <w:bottom w:w="72" w:type="dxa"/>
              <w:right w:w="144" w:type="dxa"/>
            </w:tcMar>
          </w:tcPr>
          <w:p w14:paraId="6E5A288E"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0.48</w:t>
            </w:r>
          </w:p>
        </w:tc>
      </w:tr>
      <w:tr w:rsidR="00044BB0" w:rsidRPr="00E128FE" w14:paraId="60B296F5" w14:textId="77777777" w:rsidTr="00044BB0">
        <w:trPr>
          <w:trHeight w:val="57"/>
        </w:trPr>
        <w:tc>
          <w:tcPr>
            <w:tcW w:w="4580" w:type="dxa"/>
            <w:tcBorders>
              <w:top w:val="nil"/>
              <w:left w:val="nil"/>
              <w:right w:val="nil"/>
            </w:tcBorders>
            <w:shd w:val="clear" w:color="auto" w:fill="auto"/>
            <w:tcMar>
              <w:top w:w="72" w:type="dxa"/>
              <w:left w:w="144" w:type="dxa"/>
              <w:bottom w:w="72" w:type="dxa"/>
              <w:right w:w="144" w:type="dxa"/>
            </w:tcMar>
            <w:vAlign w:val="center"/>
          </w:tcPr>
          <w:p w14:paraId="18F8F007" w14:textId="77777777" w:rsidR="005744D1" w:rsidRPr="00E128FE" w:rsidRDefault="005744D1" w:rsidP="0075770A">
            <w:pPr>
              <w:spacing w:after="0" w:line="240" w:lineRule="auto"/>
              <w:rPr>
                <w:rFonts w:ascii="Arial" w:hAnsi="Arial" w:cs="Arial"/>
                <w:sz w:val="20"/>
                <w:szCs w:val="20"/>
              </w:rPr>
            </w:pPr>
            <w:r w:rsidRPr="00E128FE">
              <w:rPr>
                <w:rFonts w:ascii="Arial" w:hAnsi="Arial" w:cs="Arial"/>
                <w:sz w:val="20"/>
                <w:szCs w:val="20"/>
              </w:rPr>
              <w:t xml:space="preserve">    Hematocrit [%]</w:t>
            </w:r>
            <w:r w:rsidR="00DD3CEC" w:rsidRPr="00E128FE">
              <w:rPr>
                <w:rFonts w:ascii="Arial" w:hAnsi="Arial" w:cs="Arial"/>
                <w:sz w:val="20"/>
                <w:szCs w:val="20"/>
              </w:rPr>
              <w:t>(SD)</w:t>
            </w:r>
          </w:p>
        </w:tc>
        <w:tc>
          <w:tcPr>
            <w:tcW w:w="1701" w:type="dxa"/>
            <w:tcBorders>
              <w:top w:val="nil"/>
              <w:left w:val="nil"/>
              <w:right w:val="nil"/>
            </w:tcBorders>
            <w:shd w:val="clear" w:color="auto" w:fill="auto"/>
            <w:tcMar>
              <w:top w:w="72" w:type="dxa"/>
              <w:left w:w="144" w:type="dxa"/>
              <w:bottom w:w="72" w:type="dxa"/>
              <w:right w:w="144" w:type="dxa"/>
            </w:tcMar>
          </w:tcPr>
          <w:p w14:paraId="211CF724" w14:textId="77777777" w:rsidR="005744D1" w:rsidRPr="00E128FE" w:rsidRDefault="00AD7F9B" w:rsidP="00AD7F9B">
            <w:pPr>
              <w:spacing w:after="0" w:line="240" w:lineRule="auto"/>
              <w:rPr>
                <w:rFonts w:ascii="Arial" w:hAnsi="Arial" w:cs="Arial"/>
                <w:sz w:val="20"/>
                <w:szCs w:val="20"/>
              </w:rPr>
            </w:pPr>
            <w:r w:rsidRPr="00E128FE">
              <w:rPr>
                <w:rFonts w:ascii="Arial" w:hAnsi="Arial" w:cs="Arial"/>
                <w:sz w:val="20"/>
                <w:szCs w:val="20"/>
              </w:rPr>
              <w:t>42.0±</w:t>
            </w:r>
            <w:r w:rsidR="005744D1" w:rsidRPr="00E128FE">
              <w:rPr>
                <w:rFonts w:ascii="Arial" w:hAnsi="Arial" w:cs="Arial"/>
                <w:sz w:val="20"/>
                <w:szCs w:val="20"/>
              </w:rPr>
              <w:t>2.8</w:t>
            </w:r>
          </w:p>
        </w:tc>
        <w:tc>
          <w:tcPr>
            <w:tcW w:w="1701" w:type="dxa"/>
            <w:tcBorders>
              <w:top w:val="nil"/>
              <w:left w:val="nil"/>
              <w:right w:val="nil"/>
            </w:tcBorders>
            <w:shd w:val="clear" w:color="auto" w:fill="auto"/>
            <w:tcMar>
              <w:top w:w="72" w:type="dxa"/>
              <w:left w:w="144" w:type="dxa"/>
              <w:bottom w:w="72" w:type="dxa"/>
              <w:right w:w="144" w:type="dxa"/>
            </w:tcMar>
          </w:tcPr>
          <w:p w14:paraId="6F41D533"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42.6</w:t>
            </w:r>
            <w:r w:rsidR="00AD7F9B" w:rsidRPr="00E128FE">
              <w:rPr>
                <w:rFonts w:ascii="Arial" w:hAnsi="Arial" w:cs="Arial"/>
                <w:sz w:val="20"/>
                <w:szCs w:val="20"/>
              </w:rPr>
              <w:t>±</w:t>
            </w:r>
            <w:r w:rsidRPr="00E128FE">
              <w:rPr>
                <w:rFonts w:ascii="Arial" w:hAnsi="Arial" w:cs="Arial"/>
                <w:sz w:val="20"/>
                <w:szCs w:val="20"/>
              </w:rPr>
              <w:t>3.3</w:t>
            </w:r>
          </w:p>
        </w:tc>
        <w:tc>
          <w:tcPr>
            <w:tcW w:w="1020" w:type="dxa"/>
            <w:tcBorders>
              <w:top w:val="nil"/>
              <w:left w:val="nil"/>
              <w:right w:val="nil"/>
            </w:tcBorders>
            <w:shd w:val="clear" w:color="auto" w:fill="auto"/>
            <w:tcMar>
              <w:top w:w="72" w:type="dxa"/>
              <w:left w:w="144" w:type="dxa"/>
              <w:bottom w:w="72" w:type="dxa"/>
              <w:right w:w="144" w:type="dxa"/>
            </w:tcMar>
          </w:tcPr>
          <w:p w14:paraId="4B9CFD6A"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0.27</w:t>
            </w:r>
          </w:p>
        </w:tc>
      </w:tr>
      <w:tr w:rsidR="00044BB0" w:rsidRPr="00E128FE" w14:paraId="42F8365D" w14:textId="77777777" w:rsidTr="00044BB0">
        <w:trPr>
          <w:trHeight w:val="57"/>
        </w:trPr>
        <w:tc>
          <w:tcPr>
            <w:tcW w:w="4580" w:type="dxa"/>
            <w:tcBorders>
              <w:top w:val="nil"/>
              <w:left w:val="nil"/>
              <w:right w:val="nil"/>
            </w:tcBorders>
            <w:shd w:val="clear" w:color="auto" w:fill="auto"/>
            <w:tcMar>
              <w:top w:w="72" w:type="dxa"/>
              <w:left w:w="144" w:type="dxa"/>
              <w:bottom w:w="72" w:type="dxa"/>
              <w:right w:w="144" w:type="dxa"/>
            </w:tcMar>
            <w:vAlign w:val="center"/>
          </w:tcPr>
          <w:p w14:paraId="3E5631D6" w14:textId="77777777" w:rsidR="005744D1" w:rsidRPr="00E128FE" w:rsidRDefault="005744D1" w:rsidP="0075770A">
            <w:pPr>
              <w:spacing w:after="0" w:line="240" w:lineRule="auto"/>
              <w:rPr>
                <w:rFonts w:ascii="Arial" w:hAnsi="Arial" w:cs="Arial"/>
                <w:sz w:val="20"/>
                <w:szCs w:val="20"/>
              </w:rPr>
            </w:pPr>
            <w:r w:rsidRPr="00E128FE">
              <w:rPr>
                <w:rFonts w:ascii="Arial" w:hAnsi="Arial" w:cs="Arial"/>
                <w:sz w:val="20"/>
                <w:szCs w:val="20"/>
              </w:rPr>
              <w:t xml:space="preserve">    Thrombocyte count [/nL]</w:t>
            </w:r>
            <w:r w:rsidR="00DD3CEC" w:rsidRPr="00E128FE">
              <w:rPr>
                <w:rFonts w:ascii="Arial" w:hAnsi="Arial" w:cs="Arial"/>
                <w:sz w:val="20"/>
                <w:szCs w:val="20"/>
              </w:rPr>
              <w:t xml:space="preserve"> (IQR)</w:t>
            </w:r>
          </w:p>
        </w:tc>
        <w:tc>
          <w:tcPr>
            <w:tcW w:w="1701" w:type="dxa"/>
            <w:tcBorders>
              <w:top w:val="nil"/>
              <w:left w:val="nil"/>
              <w:right w:val="nil"/>
            </w:tcBorders>
            <w:shd w:val="clear" w:color="auto" w:fill="auto"/>
            <w:tcMar>
              <w:top w:w="72" w:type="dxa"/>
              <w:left w:w="144" w:type="dxa"/>
              <w:bottom w:w="72" w:type="dxa"/>
              <w:right w:w="144" w:type="dxa"/>
            </w:tcMar>
          </w:tcPr>
          <w:p w14:paraId="0BC2A9C0"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213 (178/245)</w:t>
            </w:r>
          </w:p>
        </w:tc>
        <w:tc>
          <w:tcPr>
            <w:tcW w:w="1701" w:type="dxa"/>
            <w:tcBorders>
              <w:top w:val="nil"/>
              <w:left w:val="nil"/>
              <w:right w:val="nil"/>
            </w:tcBorders>
            <w:shd w:val="clear" w:color="auto" w:fill="auto"/>
            <w:tcMar>
              <w:top w:w="72" w:type="dxa"/>
              <w:left w:w="144" w:type="dxa"/>
              <w:bottom w:w="72" w:type="dxa"/>
              <w:right w:w="144" w:type="dxa"/>
            </w:tcMar>
          </w:tcPr>
          <w:p w14:paraId="45F6D768"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229 (184/247)</w:t>
            </w:r>
          </w:p>
        </w:tc>
        <w:tc>
          <w:tcPr>
            <w:tcW w:w="1020" w:type="dxa"/>
            <w:tcBorders>
              <w:top w:val="nil"/>
              <w:left w:val="nil"/>
              <w:right w:val="nil"/>
            </w:tcBorders>
            <w:shd w:val="clear" w:color="auto" w:fill="auto"/>
            <w:tcMar>
              <w:top w:w="72" w:type="dxa"/>
              <w:left w:w="144" w:type="dxa"/>
              <w:bottom w:w="72" w:type="dxa"/>
              <w:right w:w="144" w:type="dxa"/>
            </w:tcMar>
          </w:tcPr>
          <w:p w14:paraId="29B29483"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0.30</w:t>
            </w:r>
          </w:p>
        </w:tc>
      </w:tr>
      <w:tr w:rsidR="00540B23" w:rsidRPr="00E128FE" w14:paraId="5650EC7A" w14:textId="77777777" w:rsidTr="00832543">
        <w:trPr>
          <w:trHeight w:val="57"/>
        </w:trPr>
        <w:tc>
          <w:tcPr>
            <w:tcW w:w="4580"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4175D2F9" w14:textId="08AE6D32" w:rsidR="00540B23" w:rsidRPr="00E128FE" w:rsidRDefault="00540B23" w:rsidP="00832543">
            <w:pPr>
              <w:spacing w:after="0" w:line="240" w:lineRule="auto"/>
              <w:rPr>
                <w:rFonts w:ascii="Arial" w:hAnsi="Arial" w:cs="Arial"/>
                <w:sz w:val="20"/>
                <w:szCs w:val="20"/>
                <w:lang w:val="en-US"/>
              </w:rPr>
            </w:pPr>
            <w:r w:rsidRPr="00E128FE">
              <w:rPr>
                <w:rFonts w:ascii="Arial" w:hAnsi="Arial" w:cs="Arial"/>
                <w:sz w:val="20"/>
                <w:szCs w:val="20"/>
                <w:lang w:val="en-US"/>
              </w:rPr>
              <w:t>(continued)</w:t>
            </w:r>
          </w:p>
        </w:tc>
        <w:tc>
          <w:tcPr>
            <w:tcW w:w="170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602B8454" w14:textId="77777777" w:rsidR="00540B23" w:rsidRPr="00E128FE" w:rsidRDefault="00540B23" w:rsidP="00832543">
            <w:pPr>
              <w:spacing w:after="0" w:line="240" w:lineRule="auto"/>
              <w:rPr>
                <w:rFonts w:ascii="Arial" w:hAnsi="Arial" w:cs="Arial"/>
                <w:sz w:val="20"/>
                <w:szCs w:val="20"/>
                <w:lang w:val="en-US"/>
              </w:rPr>
            </w:pPr>
            <w:r w:rsidRPr="00E128FE">
              <w:rPr>
                <w:rFonts w:ascii="Arial" w:hAnsi="Arial" w:cs="Arial"/>
                <w:sz w:val="20"/>
                <w:szCs w:val="20"/>
                <w:lang w:val="en-US"/>
              </w:rPr>
              <w:t>Placebo</w:t>
            </w:r>
          </w:p>
        </w:tc>
        <w:tc>
          <w:tcPr>
            <w:tcW w:w="170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00807D9C" w14:textId="77777777" w:rsidR="00540B23" w:rsidRPr="00E128FE" w:rsidRDefault="00540B23" w:rsidP="00832543">
            <w:pPr>
              <w:spacing w:after="0" w:line="240" w:lineRule="auto"/>
              <w:rPr>
                <w:rFonts w:ascii="Arial" w:hAnsi="Arial" w:cs="Arial"/>
                <w:sz w:val="20"/>
                <w:szCs w:val="20"/>
                <w:lang w:val="en-US"/>
              </w:rPr>
            </w:pPr>
            <w:r w:rsidRPr="00E128FE">
              <w:rPr>
                <w:rFonts w:ascii="Arial" w:hAnsi="Arial" w:cs="Arial"/>
                <w:sz w:val="20"/>
                <w:szCs w:val="20"/>
                <w:lang w:val="en-US"/>
              </w:rPr>
              <w:t>Empagliflozin 10mg/day</w:t>
            </w:r>
          </w:p>
        </w:tc>
        <w:tc>
          <w:tcPr>
            <w:tcW w:w="1020"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5C5F7D25" w14:textId="77777777" w:rsidR="00540B23" w:rsidRPr="00E128FE" w:rsidRDefault="00540B23" w:rsidP="00832543">
            <w:pPr>
              <w:spacing w:after="0" w:line="240" w:lineRule="auto"/>
              <w:rPr>
                <w:rFonts w:ascii="Arial" w:hAnsi="Arial" w:cs="Arial"/>
                <w:sz w:val="20"/>
                <w:szCs w:val="20"/>
              </w:rPr>
            </w:pPr>
            <w:r w:rsidRPr="00E128FE">
              <w:rPr>
                <w:rFonts w:ascii="Arial" w:hAnsi="Arial" w:cs="Arial"/>
                <w:i/>
                <w:sz w:val="20"/>
                <w:szCs w:val="20"/>
                <w:lang w:val="en-US"/>
              </w:rPr>
              <w:t>P</w:t>
            </w:r>
            <w:r w:rsidRPr="00E128FE">
              <w:rPr>
                <w:rFonts w:ascii="Arial" w:hAnsi="Arial" w:cs="Arial"/>
                <w:sz w:val="20"/>
                <w:szCs w:val="20"/>
                <w:lang w:val="en-US"/>
              </w:rPr>
              <w:t>-value</w:t>
            </w:r>
          </w:p>
        </w:tc>
      </w:tr>
      <w:tr w:rsidR="00044BB0" w:rsidRPr="00E128FE" w14:paraId="7E31D64F" w14:textId="77777777" w:rsidTr="00044BB0">
        <w:trPr>
          <w:trHeight w:val="57"/>
        </w:trPr>
        <w:tc>
          <w:tcPr>
            <w:tcW w:w="4580" w:type="dxa"/>
            <w:tcBorders>
              <w:top w:val="nil"/>
              <w:left w:val="nil"/>
              <w:right w:val="nil"/>
            </w:tcBorders>
            <w:shd w:val="clear" w:color="auto" w:fill="auto"/>
            <w:tcMar>
              <w:top w:w="72" w:type="dxa"/>
              <w:left w:w="144" w:type="dxa"/>
              <w:bottom w:w="72" w:type="dxa"/>
              <w:right w:w="144" w:type="dxa"/>
            </w:tcMar>
            <w:vAlign w:val="center"/>
          </w:tcPr>
          <w:p w14:paraId="474A6048" w14:textId="77777777" w:rsidR="005C5FB6" w:rsidRPr="00E128FE" w:rsidRDefault="005C5FB6" w:rsidP="00AD7F9B">
            <w:pPr>
              <w:spacing w:after="0" w:line="240" w:lineRule="auto"/>
              <w:rPr>
                <w:rFonts w:ascii="Arial" w:hAnsi="Arial" w:cs="Arial"/>
                <w:sz w:val="20"/>
                <w:szCs w:val="20"/>
              </w:rPr>
            </w:pPr>
            <w:r w:rsidRPr="00E128FE">
              <w:rPr>
                <w:rFonts w:ascii="Arial" w:hAnsi="Arial" w:cs="Arial"/>
                <w:sz w:val="20"/>
                <w:szCs w:val="20"/>
              </w:rPr>
              <w:t xml:space="preserve">  Metabolism</w:t>
            </w:r>
          </w:p>
        </w:tc>
        <w:tc>
          <w:tcPr>
            <w:tcW w:w="1701" w:type="dxa"/>
            <w:tcBorders>
              <w:top w:val="nil"/>
              <w:left w:val="nil"/>
              <w:right w:val="nil"/>
            </w:tcBorders>
            <w:shd w:val="clear" w:color="auto" w:fill="auto"/>
            <w:tcMar>
              <w:top w:w="72" w:type="dxa"/>
              <w:left w:w="144" w:type="dxa"/>
              <w:bottom w:w="72" w:type="dxa"/>
              <w:right w:w="144" w:type="dxa"/>
            </w:tcMar>
            <w:vAlign w:val="center"/>
          </w:tcPr>
          <w:p w14:paraId="0B5C8379" w14:textId="77777777" w:rsidR="005C5FB6" w:rsidRPr="00E128FE" w:rsidRDefault="005C5FB6" w:rsidP="00AD7F9B">
            <w:pPr>
              <w:spacing w:after="0" w:line="240" w:lineRule="auto"/>
              <w:rPr>
                <w:rFonts w:ascii="Arial" w:hAnsi="Arial" w:cs="Arial"/>
                <w:sz w:val="20"/>
                <w:szCs w:val="20"/>
              </w:rPr>
            </w:pPr>
          </w:p>
        </w:tc>
        <w:tc>
          <w:tcPr>
            <w:tcW w:w="1701" w:type="dxa"/>
            <w:tcBorders>
              <w:top w:val="nil"/>
              <w:left w:val="nil"/>
              <w:right w:val="nil"/>
            </w:tcBorders>
            <w:shd w:val="clear" w:color="auto" w:fill="auto"/>
            <w:tcMar>
              <w:top w:w="72" w:type="dxa"/>
              <w:left w:w="144" w:type="dxa"/>
              <w:bottom w:w="72" w:type="dxa"/>
              <w:right w:w="144" w:type="dxa"/>
            </w:tcMar>
            <w:vAlign w:val="center"/>
          </w:tcPr>
          <w:p w14:paraId="772C8036" w14:textId="77777777" w:rsidR="005C5FB6" w:rsidRPr="00E128FE" w:rsidRDefault="005C5FB6" w:rsidP="00AD7F9B">
            <w:pPr>
              <w:spacing w:after="0" w:line="240" w:lineRule="auto"/>
              <w:rPr>
                <w:rFonts w:ascii="Arial" w:hAnsi="Arial" w:cs="Arial"/>
                <w:sz w:val="20"/>
                <w:szCs w:val="20"/>
              </w:rPr>
            </w:pPr>
          </w:p>
        </w:tc>
        <w:tc>
          <w:tcPr>
            <w:tcW w:w="1020" w:type="dxa"/>
            <w:tcBorders>
              <w:top w:val="nil"/>
              <w:left w:val="nil"/>
              <w:right w:val="nil"/>
            </w:tcBorders>
            <w:shd w:val="clear" w:color="auto" w:fill="auto"/>
            <w:tcMar>
              <w:top w:w="72" w:type="dxa"/>
              <w:left w:w="144" w:type="dxa"/>
              <w:bottom w:w="72" w:type="dxa"/>
              <w:right w:w="144" w:type="dxa"/>
            </w:tcMar>
            <w:vAlign w:val="center"/>
          </w:tcPr>
          <w:p w14:paraId="013F8DDC" w14:textId="77777777" w:rsidR="005C5FB6" w:rsidRPr="00E128FE" w:rsidRDefault="005C5FB6" w:rsidP="00AD7F9B">
            <w:pPr>
              <w:spacing w:after="0" w:line="240" w:lineRule="auto"/>
              <w:rPr>
                <w:rFonts w:ascii="Arial" w:hAnsi="Arial" w:cs="Arial"/>
                <w:sz w:val="20"/>
                <w:szCs w:val="20"/>
              </w:rPr>
            </w:pPr>
          </w:p>
        </w:tc>
      </w:tr>
      <w:tr w:rsidR="00044BB0" w:rsidRPr="00E128FE" w14:paraId="496A6C40" w14:textId="77777777" w:rsidTr="00044BB0">
        <w:trPr>
          <w:trHeight w:val="57"/>
        </w:trPr>
        <w:tc>
          <w:tcPr>
            <w:tcW w:w="4580" w:type="dxa"/>
            <w:tcBorders>
              <w:top w:val="nil"/>
              <w:left w:val="nil"/>
              <w:bottom w:val="nil"/>
              <w:right w:val="nil"/>
            </w:tcBorders>
            <w:shd w:val="clear" w:color="auto" w:fill="auto"/>
            <w:tcMar>
              <w:top w:w="72" w:type="dxa"/>
              <w:left w:w="144" w:type="dxa"/>
              <w:bottom w:w="72" w:type="dxa"/>
              <w:right w:w="144" w:type="dxa"/>
            </w:tcMar>
            <w:vAlign w:val="center"/>
          </w:tcPr>
          <w:p w14:paraId="58F7870A" w14:textId="3D89AA9F" w:rsidR="005744D1" w:rsidRPr="00E128FE" w:rsidRDefault="005744D1" w:rsidP="0075770A">
            <w:pPr>
              <w:spacing w:after="0" w:line="240" w:lineRule="auto"/>
              <w:rPr>
                <w:rFonts w:ascii="Arial" w:hAnsi="Arial" w:cs="Arial"/>
                <w:sz w:val="20"/>
                <w:szCs w:val="20"/>
              </w:rPr>
            </w:pPr>
            <w:r w:rsidRPr="00E128FE">
              <w:rPr>
                <w:rFonts w:ascii="Arial" w:hAnsi="Arial" w:cs="Arial"/>
                <w:sz w:val="20"/>
                <w:szCs w:val="20"/>
              </w:rPr>
              <w:t xml:space="preserve">    LDL cholesterol</w:t>
            </w:r>
            <w:r w:rsidR="00DD3CEC" w:rsidRPr="00E128FE">
              <w:rPr>
                <w:rFonts w:ascii="Arial" w:hAnsi="Arial" w:cs="Arial"/>
                <w:sz w:val="20"/>
                <w:szCs w:val="20"/>
              </w:rPr>
              <w:t xml:space="preserve"> (SD)</w:t>
            </w:r>
            <w:r w:rsidR="004F7B11" w:rsidRPr="00E128FE">
              <w:rPr>
                <w:rFonts w:ascii="Arial" w:hAnsi="Arial" w:cs="Arial"/>
                <w:sz w:val="20"/>
                <w:szCs w:val="20"/>
              </w:rPr>
              <w:t xml:space="preserve"> [mg/dL]</w:t>
            </w:r>
          </w:p>
        </w:tc>
        <w:tc>
          <w:tcPr>
            <w:tcW w:w="1701" w:type="dxa"/>
            <w:tcBorders>
              <w:top w:val="nil"/>
              <w:left w:val="nil"/>
              <w:bottom w:val="nil"/>
              <w:right w:val="nil"/>
            </w:tcBorders>
            <w:shd w:val="clear" w:color="auto" w:fill="auto"/>
            <w:tcMar>
              <w:top w:w="72" w:type="dxa"/>
              <w:left w:w="144" w:type="dxa"/>
              <w:bottom w:w="72" w:type="dxa"/>
              <w:right w:w="144" w:type="dxa"/>
            </w:tcMar>
          </w:tcPr>
          <w:p w14:paraId="2B04770E" w14:textId="77777777" w:rsidR="005744D1" w:rsidRPr="00E128FE" w:rsidRDefault="00AD7F9B" w:rsidP="00AD7F9B">
            <w:pPr>
              <w:spacing w:after="0" w:line="240" w:lineRule="auto"/>
              <w:rPr>
                <w:rFonts w:ascii="Arial" w:hAnsi="Arial" w:cs="Arial"/>
                <w:sz w:val="20"/>
                <w:szCs w:val="20"/>
              </w:rPr>
            </w:pPr>
            <w:r w:rsidRPr="00E128FE">
              <w:rPr>
                <w:rFonts w:ascii="Arial" w:hAnsi="Arial" w:cs="Arial"/>
                <w:sz w:val="20"/>
                <w:szCs w:val="20"/>
              </w:rPr>
              <w:t>97.3±</w:t>
            </w:r>
            <w:r w:rsidR="005744D1" w:rsidRPr="00E128FE">
              <w:rPr>
                <w:rFonts w:ascii="Arial" w:hAnsi="Arial" w:cs="Arial"/>
                <w:sz w:val="20"/>
                <w:szCs w:val="20"/>
              </w:rPr>
              <w:t>30.4</w:t>
            </w:r>
          </w:p>
        </w:tc>
        <w:tc>
          <w:tcPr>
            <w:tcW w:w="1701" w:type="dxa"/>
            <w:tcBorders>
              <w:top w:val="nil"/>
              <w:left w:val="nil"/>
              <w:bottom w:val="nil"/>
              <w:right w:val="nil"/>
            </w:tcBorders>
            <w:shd w:val="clear" w:color="auto" w:fill="auto"/>
            <w:tcMar>
              <w:top w:w="72" w:type="dxa"/>
              <w:left w:w="144" w:type="dxa"/>
              <w:bottom w:w="72" w:type="dxa"/>
              <w:right w:w="144" w:type="dxa"/>
            </w:tcMar>
          </w:tcPr>
          <w:p w14:paraId="6558278E"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97.8</w:t>
            </w:r>
            <w:r w:rsidR="00AD7F9B" w:rsidRPr="00E128FE">
              <w:rPr>
                <w:rFonts w:ascii="Arial" w:hAnsi="Arial" w:cs="Arial"/>
                <w:sz w:val="20"/>
                <w:szCs w:val="20"/>
              </w:rPr>
              <w:t>±</w:t>
            </w:r>
            <w:r w:rsidRPr="00E128FE">
              <w:rPr>
                <w:rFonts w:ascii="Arial" w:hAnsi="Arial" w:cs="Arial"/>
                <w:sz w:val="20"/>
                <w:szCs w:val="20"/>
              </w:rPr>
              <w:t>34.8</w:t>
            </w:r>
          </w:p>
        </w:tc>
        <w:tc>
          <w:tcPr>
            <w:tcW w:w="1020" w:type="dxa"/>
            <w:tcBorders>
              <w:top w:val="nil"/>
              <w:left w:val="nil"/>
              <w:bottom w:val="nil"/>
              <w:right w:val="nil"/>
            </w:tcBorders>
            <w:shd w:val="clear" w:color="auto" w:fill="auto"/>
            <w:tcMar>
              <w:top w:w="72" w:type="dxa"/>
              <w:left w:w="144" w:type="dxa"/>
              <w:bottom w:w="72" w:type="dxa"/>
              <w:right w:w="144" w:type="dxa"/>
            </w:tcMar>
          </w:tcPr>
          <w:p w14:paraId="01F259C4"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0.94</w:t>
            </w:r>
          </w:p>
        </w:tc>
      </w:tr>
      <w:tr w:rsidR="00044BB0" w:rsidRPr="00E128FE" w14:paraId="5427D8A2" w14:textId="77777777" w:rsidTr="00044BB0">
        <w:trPr>
          <w:trHeight w:val="57"/>
        </w:trPr>
        <w:tc>
          <w:tcPr>
            <w:tcW w:w="4580" w:type="dxa"/>
            <w:tcBorders>
              <w:top w:val="nil"/>
              <w:left w:val="nil"/>
              <w:bottom w:val="nil"/>
              <w:right w:val="nil"/>
            </w:tcBorders>
            <w:shd w:val="clear" w:color="auto" w:fill="auto"/>
            <w:tcMar>
              <w:top w:w="72" w:type="dxa"/>
              <w:left w:w="144" w:type="dxa"/>
              <w:bottom w:w="72" w:type="dxa"/>
              <w:right w:w="144" w:type="dxa"/>
            </w:tcMar>
            <w:vAlign w:val="center"/>
          </w:tcPr>
          <w:p w14:paraId="12C7A800" w14:textId="0EF9C341" w:rsidR="005744D1" w:rsidRPr="00E128FE" w:rsidRDefault="005744D1" w:rsidP="00AD7F9B">
            <w:pPr>
              <w:spacing w:after="0" w:line="240" w:lineRule="auto"/>
              <w:rPr>
                <w:rFonts w:ascii="Arial" w:hAnsi="Arial" w:cs="Arial"/>
                <w:sz w:val="20"/>
                <w:szCs w:val="20"/>
                <w:lang w:val="en-US"/>
              </w:rPr>
            </w:pPr>
            <w:r w:rsidRPr="00E128FE">
              <w:rPr>
                <w:rFonts w:ascii="Arial" w:hAnsi="Arial" w:cs="Arial"/>
                <w:sz w:val="20"/>
                <w:szCs w:val="20"/>
                <w:lang w:val="en-US"/>
              </w:rPr>
              <w:t xml:space="preserve">    HDL cholesterol</w:t>
            </w:r>
            <w:r w:rsidR="00DD3CEC" w:rsidRPr="00E128FE">
              <w:rPr>
                <w:rFonts w:ascii="Arial" w:hAnsi="Arial" w:cs="Arial"/>
                <w:sz w:val="20"/>
                <w:szCs w:val="20"/>
              </w:rPr>
              <w:t xml:space="preserve"> (IQR)</w:t>
            </w:r>
            <w:r w:rsidR="004F7B11" w:rsidRPr="00E128FE">
              <w:rPr>
                <w:rFonts w:ascii="Arial" w:hAnsi="Arial" w:cs="Arial"/>
                <w:sz w:val="20"/>
                <w:szCs w:val="20"/>
              </w:rPr>
              <w:t xml:space="preserve"> [mg/dL]</w:t>
            </w:r>
          </w:p>
        </w:tc>
        <w:tc>
          <w:tcPr>
            <w:tcW w:w="1701" w:type="dxa"/>
            <w:tcBorders>
              <w:top w:val="nil"/>
              <w:left w:val="nil"/>
              <w:bottom w:val="nil"/>
              <w:right w:val="nil"/>
            </w:tcBorders>
            <w:shd w:val="clear" w:color="auto" w:fill="auto"/>
            <w:tcMar>
              <w:top w:w="72" w:type="dxa"/>
              <w:left w:w="144" w:type="dxa"/>
              <w:bottom w:w="72" w:type="dxa"/>
              <w:right w:w="144" w:type="dxa"/>
            </w:tcMar>
          </w:tcPr>
          <w:p w14:paraId="1084BCD4"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42.0 (38.0/48.0)</w:t>
            </w:r>
          </w:p>
        </w:tc>
        <w:tc>
          <w:tcPr>
            <w:tcW w:w="1701" w:type="dxa"/>
            <w:tcBorders>
              <w:top w:val="nil"/>
              <w:left w:val="nil"/>
              <w:bottom w:val="nil"/>
              <w:right w:val="nil"/>
            </w:tcBorders>
            <w:shd w:val="clear" w:color="auto" w:fill="auto"/>
            <w:tcMar>
              <w:top w:w="72" w:type="dxa"/>
              <w:left w:w="144" w:type="dxa"/>
              <w:bottom w:w="72" w:type="dxa"/>
              <w:right w:w="144" w:type="dxa"/>
            </w:tcMar>
          </w:tcPr>
          <w:p w14:paraId="4F4CC6AA"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44.0 (38.0/52.8)</w:t>
            </w:r>
          </w:p>
        </w:tc>
        <w:tc>
          <w:tcPr>
            <w:tcW w:w="1020" w:type="dxa"/>
            <w:tcBorders>
              <w:top w:val="nil"/>
              <w:left w:val="nil"/>
              <w:bottom w:val="nil"/>
              <w:right w:val="nil"/>
            </w:tcBorders>
            <w:shd w:val="clear" w:color="auto" w:fill="auto"/>
            <w:tcMar>
              <w:top w:w="72" w:type="dxa"/>
              <w:left w:w="144" w:type="dxa"/>
              <w:bottom w:w="72" w:type="dxa"/>
              <w:right w:w="144" w:type="dxa"/>
            </w:tcMar>
          </w:tcPr>
          <w:p w14:paraId="4F6E43B2"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0.29</w:t>
            </w:r>
          </w:p>
        </w:tc>
      </w:tr>
      <w:tr w:rsidR="00044BB0" w:rsidRPr="00E128FE" w14:paraId="69153FFC" w14:textId="77777777" w:rsidTr="00044BB0">
        <w:trPr>
          <w:trHeight w:val="57"/>
        </w:trPr>
        <w:tc>
          <w:tcPr>
            <w:tcW w:w="4580" w:type="dxa"/>
            <w:tcBorders>
              <w:left w:val="nil"/>
              <w:bottom w:val="nil"/>
              <w:right w:val="nil"/>
            </w:tcBorders>
            <w:shd w:val="clear" w:color="auto" w:fill="auto"/>
            <w:tcMar>
              <w:top w:w="72" w:type="dxa"/>
              <w:left w:w="144" w:type="dxa"/>
              <w:bottom w:w="72" w:type="dxa"/>
              <w:right w:w="144" w:type="dxa"/>
            </w:tcMar>
            <w:vAlign w:val="center"/>
          </w:tcPr>
          <w:p w14:paraId="17AE97F2" w14:textId="632B833A"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 xml:space="preserve">    Triglycerides</w:t>
            </w:r>
            <w:r w:rsidR="00DD3CEC" w:rsidRPr="00E128FE">
              <w:rPr>
                <w:rFonts w:ascii="Arial" w:hAnsi="Arial" w:cs="Arial"/>
                <w:sz w:val="20"/>
                <w:szCs w:val="20"/>
              </w:rPr>
              <w:t xml:space="preserve"> (IQR)</w:t>
            </w:r>
            <w:r w:rsidR="004F7B11" w:rsidRPr="00E128FE">
              <w:rPr>
                <w:rFonts w:ascii="Arial" w:hAnsi="Arial" w:cs="Arial"/>
                <w:sz w:val="20"/>
                <w:szCs w:val="20"/>
              </w:rPr>
              <w:t xml:space="preserve"> [mg/dL]</w:t>
            </w:r>
          </w:p>
        </w:tc>
        <w:tc>
          <w:tcPr>
            <w:tcW w:w="1701" w:type="dxa"/>
            <w:tcBorders>
              <w:left w:val="nil"/>
              <w:bottom w:val="nil"/>
              <w:right w:val="nil"/>
            </w:tcBorders>
            <w:shd w:val="clear" w:color="auto" w:fill="auto"/>
            <w:tcMar>
              <w:top w:w="72" w:type="dxa"/>
              <w:left w:w="144" w:type="dxa"/>
              <w:bottom w:w="72" w:type="dxa"/>
              <w:right w:w="144" w:type="dxa"/>
            </w:tcMar>
          </w:tcPr>
          <w:p w14:paraId="2007D145" w14:textId="77777777" w:rsidR="00044BB0" w:rsidRPr="00E128FE" w:rsidRDefault="005744D1" w:rsidP="00AD7F9B">
            <w:pPr>
              <w:spacing w:after="0" w:line="240" w:lineRule="auto"/>
              <w:rPr>
                <w:rFonts w:ascii="Arial" w:hAnsi="Arial" w:cs="Arial"/>
                <w:sz w:val="20"/>
                <w:szCs w:val="20"/>
              </w:rPr>
            </w:pPr>
            <w:r w:rsidRPr="00E128FE">
              <w:rPr>
                <w:rFonts w:ascii="Arial" w:hAnsi="Arial" w:cs="Arial"/>
                <w:sz w:val="20"/>
                <w:szCs w:val="20"/>
              </w:rPr>
              <w:t xml:space="preserve">150.0 </w:t>
            </w:r>
          </w:p>
          <w:p w14:paraId="66F3F9F0"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(97.8/196.0)</w:t>
            </w:r>
          </w:p>
        </w:tc>
        <w:tc>
          <w:tcPr>
            <w:tcW w:w="1701" w:type="dxa"/>
            <w:tcBorders>
              <w:left w:val="nil"/>
              <w:bottom w:val="nil"/>
              <w:right w:val="nil"/>
            </w:tcBorders>
            <w:shd w:val="clear" w:color="auto" w:fill="auto"/>
            <w:tcMar>
              <w:top w:w="72" w:type="dxa"/>
              <w:left w:w="144" w:type="dxa"/>
              <w:bottom w:w="72" w:type="dxa"/>
              <w:right w:w="144" w:type="dxa"/>
            </w:tcMar>
          </w:tcPr>
          <w:p w14:paraId="38C85D08" w14:textId="77777777" w:rsidR="00044BB0" w:rsidRPr="00E128FE" w:rsidRDefault="005744D1" w:rsidP="00AD7F9B">
            <w:pPr>
              <w:spacing w:after="0" w:line="240" w:lineRule="auto"/>
              <w:rPr>
                <w:rFonts w:ascii="Arial" w:hAnsi="Arial" w:cs="Arial"/>
                <w:sz w:val="20"/>
                <w:szCs w:val="20"/>
              </w:rPr>
            </w:pPr>
            <w:r w:rsidRPr="00E128FE">
              <w:rPr>
                <w:rFonts w:ascii="Arial" w:hAnsi="Arial" w:cs="Arial"/>
                <w:sz w:val="20"/>
                <w:szCs w:val="20"/>
              </w:rPr>
              <w:t xml:space="preserve">128.0 </w:t>
            </w:r>
          </w:p>
          <w:p w14:paraId="79A5C482"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(103.2/171.0)</w:t>
            </w:r>
          </w:p>
        </w:tc>
        <w:tc>
          <w:tcPr>
            <w:tcW w:w="1020" w:type="dxa"/>
            <w:tcBorders>
              <w:left w:val="nil"/>
              <w:bottom w:val="nil"/>
              <w:right w:val="nil"/>
            </w:tcBorders>
            <w:shd w:val="clear" w:color="auto" w:fill="auto"/>
            <w:tcMar>
              <w:top w:w="72" w:type="dxa"/>
              <w:left w:w="144" w:type="dxa"/>
              <w:bottom w:w="72" w:type="dxa"/>
              <w:right w:w="144" w:type="dxa"/>
            </w:tcMar>
          </w:tcPr>
          <w:p w14:paraId="6770AFCD"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0.16</w:t>
            </w:r>
          </w:p>
        </w:tc>
      </w:tr>
      <w:tr w:rsidR="00044BB0" w:rsidRPr="00E128FE" w14:paraId="7631B4A6" w14:textId="77777777" w:rsidTr="00044BB0">
        <w:trPr>
          <w:trHeight w:val="57"/>
        </w:trPr>
        <w:tc>
          <w:tcPr>
            <w:tcW w:w="4580" w:type="dxa"/>
            <w:tcBorders>
              <w:top w:val="nil"/>
              <w:left w:val="nil"/>
              <w:right w:val="nil"/>
            </w:tcBorders>
            <w:shd w:val="clear" w:color="auto" w:fill="auto"/>
            <w:tcMar>
              <w:top w:w="72" w:type="dxa"/>
              <w:left w:w="144" w:type="dxa"/>
              <w:bottom w:w="72" w:type="dxa"/>
              <w:right w:w="144" w:type="dxa"/>
            </w:tcMar>
            <w:vAlign w:val="center"/>
          </w:tcPr>
          <w:p w14:paraId="6F4491B1" w14:textId="671F59CA" w:rsidR="005744D1" w:rsidRPr="00E128FE" w:rsidRDefault="005744D1" w:rsidP="004F7B11">
            <w:pPr>
              <w:spacing w:after="0" w:line="240" w:lineRule="auto"/>
              <w:rPr>
                <w:rFonts w:ascii="Arial" w:hAnsi="Arial" w:cs="Arial"/>
                <w:sz w:val="20"/>
                <w:szCs w:val="20"/>
              </w:rPr>
            </w:pPr>
            <w:r w:rsidRPr="00E128FE">
              <w:rPr>
                <w:rFonts w:ascii="Arial" w:hAnsi="Arial" w:cs="Arial"/>
                <w:sz w:val="20"/>
                <w:szCs w:val="20"/>
              </w:rPr>
              <w:t xml:space="preserve">    Gamma-</w:t>
            </w:r>
            <w:r w:rsidRPr="00E128FE">
              <w:rPr>
                <w:rFonts w:ascii="Arial" w:hAnsi="Arial" w:cs="Arial"/>
                <w:color w:val="444444"/>
                <w:sz w:val="20"/>
                <w:szCs w:val="20"/>
                <w:shd w:val="clear" w:color="auto" w:fill="FFFFFF"/>
              </w:rPr>
              <w:t xml:space="preserve"> glutamyltransferase</w:t>
            </w:r>
            <w:r w:rsidRPr="00E128FE">
              <w:rPr>
                <w:rFonts w:ascii="Arial" w:hAnsi="Arial" w:cs="Arial"/>
                <w:sz w:val="20"/>
                <w:szCs w:val="20"/>
              </w:rPr>
              <w:t xml:space="preserve"> </w:t>
            </w:r>
            <w:r w:rsidR="00DD3CEC" w:rsidRPr="00E128FE">
              <w:rPr>
                <w:rFonts w:ascii="Arial" w:hAnsi="Arial" w:cs="Arial"/>
                <w:sz w:val="20"/>
                <w:szCs w:val="20"/>
              </w:rPr>
              <w:t>(IQR)</w:t>
            </w:r>
            <w:r w:rsidR="004F7B11" w:rsidRPr="00E128FE">
              <w:rPr>
                <w:rFonts w:ascii="Arial" w:hAnsi="Arial" w:cs="Arial"/>
                <w:sz w:val="20"/>
                <w:szCs w:val="20"/>
              </w:rPr>
              <w:t xml:space="preserve"> [U/l]</w:t>
            </w:r>
          </w:p>
        </w:tc>
        <w:tc>
          <w:tcPr>
            <w:tcW w:w="1701" w:type="dxa"/>
            <w:tcBorders>
              <w:top w:val="nil"/>
              <w:left w:val="nil"/>
              <w:right w:val="nil"/>
            </w:tcBorders>
            <w:shd w:val="clear" w:color="auto" w:fill="auto"/>
            <w:tcMar>
              <w:top w:w="72" w:type="dxa"/>
              <w:left w:w="144" w:type="dxa"/>
              <w:bottom w:w="72" w:type="dxa"/>
              <w:right w:w="144" w:type="dxa"/>
            </w:tcMar>
          </w:tcPr>
          <w:p w14:paraId="349629C3"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30.0 (22.0/50.0)</w:t>
            </w:r>
          </w:p>
        </w:tc>
        <w:tc>
          <w:tcPr>
            <w:tcW w:w="1701" w:type="dxa"/>
            <w:tcBorders>
              <w:top w:val="nil"/>
              <w:left w:val="nil"/>
              <w:right w:val="nil"/>
            </w:tcBorders>
            <w:shd w:val="clear" w:color="auto" w:fill="auto"/>
            <w:tcMar>
              <w:top w:w="72" w:type="dxa"/>
              <w:left w:w="144" w:type="dxa"/>
              <w:bottom w:w="72" w:type="dxa"/>
              <w:right w:w="144" w:type="dxa"/>
            </w:tcMar>
          </w:tcPr>
          <w:p w14:paraId="7FCCFE6B"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30.0 (22.0/54.8)</w:t>
            </w:r>
          </w:p>
        </w:tc>
        <w:tc>
          <w:tcPr>
            <w:tcW w:w="1020" w:type="dxa"/>
            <w:tcBorders>
              <w:top w:val="nil"/>
              <w:left w:val="nil"/>
              <w:right w:val="nil"/>
            </w:tcBorders>
            <w:shd w:val="clear" w:color="auto" w:fill="auto"/>
            <w:tcMar>
              <w:top w:w="72" w:type="dxa"/>
              <w:left w:w="144" w:type="dxa"/>
              <w:bottom w:w="72" w:type="dxa"/>
              <w:right w:w="144" w:type="dxa"/>
            </w:tcMar>
          </w:tcPr>
          <w:p w14:paraId="7649543E"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0.70</w:t>
            </w:r>
          </w:p>
        </w:tc>
      </w:tr>
      <w:tr w:rsidR="00044BB0" w:rsidRPr="00E128FE" w14:paraId="26E58D39" w14:textId="77777777" w:rsidTr="00044BB0">
        <w:trPr>
          <w:trHeight w:val="57"/>
        </w:trPr>
        <w:tc>
          <w:tcPr>
            <w:tcW w:w="4580" w:type="dxa"/>
            <w:tcBorders>
              <w:top w:val="nil"/>
              <w:left w:val="nil"/>
              <w:right w:val="nil"/>
            </w:tcBorders>
            <w:shd w:val="clear" w:color="auto" w:fill="auto"/>
            <w:tcMar>
              <w:top w:w="72" w:type="dxa"/>
              <w:left w:w="144" w:type="dxa"/>
              <w:bottom w:w="72" w:type="dxa"/>
              <w:right w:w="144" w:type="dxa"/>
            </w:tcMar>
            <w:vAlign w:val="center"/>
          </w:tcPr>
          <w:p w14:paraId="6BEC3452"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 xml:space="preserve">    Fatty liver index</w:t>
            </w:r>
            <w:r w:rsidR="00DD3CEC" w:rsidRPr="00E128FE">
              <w:rPr>
                <w:rFonts w:ascii="Arial" w:hAnsi="Arial" w:cs="Arial"/>
                <w:sz w:val="20"/>
                <w:szCs w:val="20"/>
              </w:rPr>
              <w:t xml:space="preserve"> (IQR)</w:t>
            </w:r>
          </w:p>
        </w:tc>
        <w:tc>
          <w:tcPr>
            <w:tcW w:w="1701" w:type="dxa"/>
            <w:tcBorders>
              <w:top w:val="nil"/>
              <w:left w:val="nil"/>
              <w:right w:val="nil"/>
            </w:tcBorders>
            <w:shd w:val="clear" w:color="auto" w:fill="auto"/>
            <w:tcMar>
              <w:top w:w="72" w:type="dxa"/>
              <w:left w:w="144" w:type="dxa"/>
              <w:bottom w:w="72" w:type="dxa"/>
              <w:right w:w="144" w:type="dxa"/>
            </w:tcMar>
          </w:tcPr>
          <w:p w14:paraId="5FA01CE8"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86.3 (60.5/95.8)</w:t>
            </w:r>
          </w:p>
        </w:tc>
        <w:tc>
          <w:tcPr>
            <w:tcW w:w="1701" w:type="dxa"/>
            <w:tcBorders>
              <w:top w:val="nil"/>
              <w:left w:val="nil"/>
              <w:right w:val="nil"/>
            </w:tcBorders>
            <w:shd w:val="clear" w:color="auto" w:fill="auto"/>
            <w:tcMar>
              <w:top w:w="72" w:type="dxa"/>
              <w:left w:w="144" w:type="dxa"/>
              <w:bottom w:w="72" w:type="dxa"/>
              <w:right w:w="144" w:type="dxa"/>
            </w:tcMar>
          </w:tcPr>
          <w:p w14:paraId="1C81D882"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86.0 (67.9/93.2)</w:t>
            </w:r>
          </w:p>
        </w:tc>
        <w:tc>
          <w:tcPr>
            <w:tcW w:w="1020" w:type="dxa"/>
            <w:tcBorders>
              <w:top w:val="nil"/>
              <w:left w:val="nil"/>
              <w:right w:val="nil"/>
            </w:tcBorders>
            <w:shd w:val="clear" w:color="auto" w:fill="auto"/>
            <w:tcMar>
              <w:top w:w="72" w:type="dxa"/>
              <w:left w:w="144" w:type="dxa"/>
              <w:bottom w:w="72" w:type="dxa"/>
              <w:right w:w="144" w:type="dxa"/>
            </w:tcMar>
          </w:tcPr>
          <w:p w14:paraId="3C5BC01B"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0.78</w:t>
            </w:r>
          </w:p>
        </w:tc>
      </w:tr>
      <w:tr w:rsidR="00044BB0" w:rsidRPr="00E128FE" w14:paraId="10370430" w14:textId="77777777" w:rsidTr="00044BB0">
        <w:trPr>
          <w:trHeight w:val="57"/>
        </w:trPr>
        <w:tc>
          <w:tcPr>
            <w:tcW w:w="4580" w:type="dxa"/>
            <w:tcBorders>
              <w:top w:val="nil"/>
              <w:left w:val="nil"/>
              <w:bottom w:val="single" w:sz="4" w:space="0" w:color="auto"/>
              <w:right w:val="nil"/>
            </w:tcBorders>
            <w:shd w:val="clear" w:color="auto" w:fill="auto"/>
            <w:tcMar>
              <w:top w:w="72" w:type="dxa"/>
              <w:left w:w="144" w:type="dxa"/>
              <w:bottom w:w="72" w:type="dxa"/>
              <w:right w:w="144" w:type="dxa"/>
            </w:tcMar>
            <w:vAlign w:val="center"/>
          </w:tcPr>
          <w:p w14:paraId="4F678D23" w14:textId="4AC3F6DD"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 xml:space="preserve">    Uric acid</w:t>
            </w:r>
            <w:r w:rsidR="00DD3CEC" w:rsidRPr="00E128FE">
              <w:rPr>
                <w:rFonts w:ascii="Arial" w:hAnsi="Arial" w:cs="Arial"/>
                <w:sz w:val="20"/>
                <w:szCs w:val="20"/>
              </w:rPr>
              <w:t xml:space="preserve"> (SD)</w:t>
            </w:r>
            <w:r w:rsidR="004F7B11" w:rsidRPr="00E128FE">
              <w:rPr>
                <w:rFonts w:ascii="Arial" w:hAnsi="Arial" w:cs="Arial"/>
                <w:sz w:val="20"/>
                <w:szCs w:val="20"/>
              </w:rPr>
              <w:t xml:space="preserve"> [mg/dL]</w:t>
            </w:r>
          </w:p>
        </w:tc>
        <w:tc>
          <w:tcPr>
            <w:tcW w:w="1701" w:type="dxa"/>
            <w:tcBorders>
              <w:top w:val="nil"/>
              <w:left w:val="nil"/>
              <w:bottom w:val="single" w:sz="4" w:space="0" w:color="auto"/>
              <w:right w:val="nil"/>
            </w:tcBorders>
            <w:shd w:val="clear" w:color="auto" w:fill="auto"/>
            <w:tcMar>
              <w:top w:w="72" w:type="dxa"/>
              <w:left w:w="144" w:type="dxa"/>
              <w:bottom w:w="72" w:type="dxa"/>
              <w:right w:w="144" w:type="dxa"/>
            </w:tcMar>
          </w:tcPr>
          <w:p w14:paraId="529E51DA"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6.49</w:t>
            </w:r>
            <w:r w:rsidR="00AD7F9B" w:rsidRPr="00E128FE">
              <w:rPr>
                <w:rFonts w:ascii="Arial" w:hAnsi="Arial" w:cs="Arial"/>
                <w:sz w:val="20"/>
                <w:szCs w:val="20"/>
              </w:rPr>
              <w:t>±</w:t>
            </w:r>
            <w:r w:rsidRPr="00E128FE">
              <w:rPr>
                <w:rFonts w:ascii="Arial" w:hAnsi="Arial" w:cs="Arial"/>
                <w:sz w:val="20"/>
                <w:szCs w:val="20"/>
              </w:rPr>
              <w:t>1.59</w:t>
            </w:r>
          </w:p>
        </w:tc>
        <w:tc>
          <w:tcPr>
            <w:tcW w:w="1701" w:type="dxa"/>
            <w:tcBorders>
              <w:top w:val="nil"/>
              <w:left w:val="nil"/>
              <w:bottom w:val="single" w:sz="4" w:space="0" w:color="auto"/>
              <w:right w:val="nil"/>
            </w:tcBorders>
            <w:shd w:val="clear" w:color="auto" w:fill="auto"/>
            <w:tcMar>
              <w:top w:w="72" w:type="dxa"/>
              <w:left w:w="144" w:type="dxa"/>
              <w:bottom w:w="72" w:type="dxa"/>
              <w:right w:w="144" w:type="dxa"/>
            </w:tcMar>
          </w:tcPr>
          <w:p w14:paraId="1EB705BE"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6.21</w:t>
            </w:r>
            <w:r w:rsidR="00AD7F9B" w:rsidRPr="00E128FE">
              <w:rPr>
                <w:rFonts w:ascii="Arial" w:hAnsi="Arial" w:cs="Arial"/>
                <w:sz w:val="20"/>
                <w:szCs w:val="20"/>
              </w:rPr>
              <w:t>±1</w:t>
            </w:r>
            <w:r w:rsidRPr="00E128FE">
              <w:rPr>
                <w:rFonts w:ascii="Arial" w:hAnsi="Arial" w:cs="Arial"/>
                <w:sz w:val="20"/>
                <w:szCs w:val="20"/>
              </w:rPr>
              <w:t>.36</w:t>
            </w:r>
          </w:p>
        </w:tc>
        <w:tc>
          <w:tcPr>
            <w:tcW w:w="1020" w:type="dxa"/>
            <w:tcBorders>
              <w:top w:val="nil"/>
              <w:left w:val="nil"/>
              <w:bottom w:val="single" w:sz="4" w:space="0" w:color="auto"/>
              <w:right w:val="nil"/>
            </w:tcBorders>
            <w:shd w:val="clear" w:color="auto" w:fill="auto"/>
            <w:tcMar>
              <w:top w:w="72" w:type="dxa"/>
              <w:left w:w="144" w:type="dxa"/>
              <w:bottom w:w="72" w:type="dxa"/>
              <w:right w:w="144" w:type="dxa"/>
            </w:tcMar>
          </w:tcPr>
          <w:p w14:paraId="6E6412ED" w14:textId="77777777" w:rsidR="005744D1" w:rsidRPr="00E128FE" w:rsidRDefault="005744D1" w:rsidP="00AD7F9B">
            <w:pPr>
              <w:spacing w:after="0" w:line="240" w:lineRule="auto"/>
              <w:rPr>
                <w:rFonts w:ascii="Arial" w:hAnsi="Arial" w:cs="Arial"/>
                <w:sz w:val="20"/>
                <w:szCs w:val="20"/>
              </w:rPr>
            </w:pPr>
            <w:r w:rsidRPr="00E128FE">
              <w:rPr>
                <w:rFonts w:ascii="Arial" w:hAnsi="Arial" w:cs="Arial"/>
                <w:sz w:val="20"/>
                <w:szCs w:val="20"/>
              </w:rPr>
              <w:t>0.27</w:t>
            </w:r>
          </w:p>
        </w:tc>
      </w:tr>
    </w:tbl>
    <w:p w14:paraId="29A8631B" w14:textId="243C59E8" w:rsidR="000965BC" w:rsidRPr="00E128FE" w:rsidRDefault="007F2614" w:rsidP="007F2614">
      <w:pPr>
        <w:spacing w:after="0" w:line="240" w:lineRule="auto"/>
        <w:rPr>
          <w:rFonts w:ascii="Arial" w:hAnsi="Arial" w:cs="Arial"/>
          <w:sz w:val="20"/>
          <w:lang w:val="en-US"/>
        </w:rPr>
      </w:pPr>
      <w:r w:rsidRPr="00E128FE">
        <w:rPr>
          <w:rFonts w:ascii="Arial" w:hAnsi="Arial" w:cs="Arial"/>
          <w:sz w:val="20"/>
          <w:lang w:val="en-US"/>
        </w:rPr>
        <w:t>Dependent on distribution, linear trait values are presented as mean ± standard deviation or as median with interquartile range (25</w:t>
      </w:r>
      <w:r w:rsidRPr="00E128FE">
        <w:rPr>
          <w:rFonts w:ascii="Arial" w:hAnsi="Arial" w:cs="Arial"/>
          <w:sz w:val="20"/>
          <w:vertAlign w:val="superscript"/>
          <w:lang w:val="en-US"/>
        </w:rPr>
        <w:t>th</w:t>
      </w:r>
      <w:r w:rsidRPr="00E128FE">
        <w:rPr>
          <w:rFonts w:ascii="Arial" w:hAnsi="Arial" w:cs="Arial"/>
          <w:sz w:val="20"/>
          <w:lang w:val="en-US"/>
        </w:rPr>
        <w:t>/75</w:t>
      </w:r>
      <w:r w:rsidRPr="00E128FE">
        <w:rPr>
          <w:rFonts w:ascii="Arial" w:hAnsi="Arial" w:cs="Arial"/>
          <w:sz w:val="20"/>
          <w:vertAlign w:val="superscript"/>
          <w:lang w:val="en-US"/>
        </w:rPr>
        <w:t>th</w:t>
      </w:r>
      <w:r w:rsidRPr="00E128FE">
        <w:rPr>
          <w:rFonts w:ascii="Arial" w:hAnsi="Arial" w:cs="Arial"/>
          <w:sz w:val="20"/>
          <w:lang w:val="en-US"/>
        </w:rPr>
        <w:t xml:space="preserve"> percentile). </w:t>
      </w:r>
      <w:r w:rsidR="00E35538" w:rsidRPr="00E128FE">
        <w:rPr>
          <w:rFonts w:ascii="Arial" w:hAnsi="Arial" w:cs="Arial"/>
          <w:sz w:val="20"/>
          <w:lang w:val="en-US"/>
        </w:rPr>
        <w:t xml:space="preserve">Information on medication was </w:t>
      </w:r>
      <w:r w:rsidRPr="00E128FE">
        <w:rPr>
          <w:rFonts w:ascii="Arial" w:hAnsi="Arial" w:cs="Arial"/>
          <w:sz w:val="20"/>
          <w:lang w:val="en-US"/>
        </w:rPr>
        <w:t>derived from personal computer-assisted interview during the baseline visit in the study center with subsequent coding</w:t>
      </w:r>
      <w:r w:rsidR="00E35538" w:rsidRPr="00E128FE">
        <w:rPr>
          <w:rFonts w:ascii="Arial" w:hAnsi="Arial" w:cs="Arial"/>
          <w:sz w:val="20"/>
          <w:lang w:val="en-US"/>
        </w:rPr>
        <w:t xml:space="preserve"> according to the anatomical therapeutic chemical (ATC) classification system of drugs. ATC codes for the categories of medication are displayed in brackets accompanying the drug’s name.</w:t>
      </w:r>
      <w:r w:rsidR="00E871D1" w:rsidRPr="00E128FE">
        <w:rPr>
          <w:rFonts w:ascii="Arial" w:hAnsi="Arial" w:cs="Arial"/>
          <w:sz w:val="20"/>
          <w:lang w:val="en-US"/>
        </w:rPr>
        <w:t xml:space="preserve"> The 2009 CKD-EPI equation was used to assess renal function (eGFR).</w:t>
      </w:r>
      <w:r w:rsidR="00F72A43" w:rsidRPr="00E128FE">
        <w:rPr>
          <w:rFonts w:ascii="Arial" w:hAnsi="Arial" w:cs="Arial"/>
          <w:sz w:val="20"/>
          <w:lang w:val="en-US"/>
        </w:rPr>
        <w:fldChar w:fldCharType="begin">
          <w:fldData xml:space="preserve">PEVuZE5vdGU+PENpdGU+PEF1dGhvcj5MZXZleTwvQXV0aG9yPjxZZWFyPjIwMDk8L1llYXI+PFJl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</w:fldData>
        </w:fldChar>
      </w:r>
      <w:r w:rsidR="009219DD" w:rsidRPr="00E128FE">
        <w:rPr>
          <w:rFonts w:ascii="Arial" w:hAnsi="Arial" w:cs="Arial"/>
          <w:sz w:val="20"/>
          <w:lang w:val="en-US"/>
        </w:rPr>
        <w:instrText xml:space="preserve"> ADDIN EN.CITE </w:instrText>
      </w:r>
      <w:r w:rsidR="009219DD" w:rsidRPr="00E128FE">
        <w:rPr>
          <w:rFonts w:ascii="Arial" w:hAnsi="Arial" w:cs="Arial"/>
          <w:sz w:val="20"/>
          <w:lang w:val="en-US"/>
        </w:rPr>
        <w:fldChar w:fldCharType="begin">
          <w:fldData xml:space="preserve">PEVuZE5vdGU+PENpdGU+PEF1dGhvcj5MZXZleTwvQXV0aG9yPjxZZWFyPjIwMDk8L1llYXI+PFJl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</w:fldData>
        </w:fldChar>
      </w:r>
      <w:r w:rsidR="009219DD" w:rsidRPr="00E128FE">
        <w:rPr>
          <w:rFonts w:ascii="Arial" w:hAnsi="Arial" w:cs="Arial"/>
          <w:sz w:val="20"/>
          <w:lang w:val="en-US"/>
        </w:rPr>
        <w:instrText xml:space="preserve"> ADDIN EN.CITE.DATA </w:instrText>
      </w:r>
      <w:r w:rsidR="009219DD" w:rsidRPr="00E128FE">
        <w:rPr>
          <w:rFonts w:ascii="Arial" w:hAnsi="Arial" w:cs="Arial"/>
          <w:sz w:val="20"/>
          <w:lang w:val="en-US"/>
        </w:rPr>
      </w:r>
      <w:r w:rsidR="009219DD" w:rsidRPr="00E128FE">
        <w:rPr>
          <w:rFonts w:ascii="Arial" w:hAnsi="Arial" w:cs="Arial"/>
          <w:sz w:val="20"/>
          <w:lang w:val="en-US"/>
        </w:rPr>
        <w:fldChar w:fldCharType="end"/>
      </w:r>
      <w:r w:rsidR="00F72A43" w:rsidRPr="00E128FE">
        <w:rPr>
          <w:rFonts w:ascii="Arial" w:hAnsi="Arial" w:cs="Arial"/>
          <w:sz w:val="20"/>
          <w:lang w:val="en-US"/>
        </w:rPr>
      </w:r>
      <w:r w:rsidR="00F72A43" w:rsidRPr="00E128FE">
        <w:rPr>
          <w:rFonts w:ascii="Arial" w:hAnsi="Arial" w:cs="Arial"/>
          <w:sz w:val="20"/>
          <w:lang w:val="en-US"/>
        </w:rPr>
        <w:fldChar w:fldCharType="separate"/>
      </w:r>
      <w:r w:rsidR="009219DD" w:rsidRPr="00E128FE">
        <w:rPr>
          <w:rFonts w:ascii="Arial" w:hAnsi="Arial" w:cs="Arial"/>
          <w:noProof/>
          <w:sz w:val="20"/>
          <w:vertAlign w:val="superscript"/>
          <w:lang w:val="en-US"/>
        </w:rPr>
        <w:t>4</w:t>
      </w:r>
      <w:r w:rsidR="00F72A43" w:rsidRPr="00E128FE">
        <w:rPr>
          <w:rFonts w:ascii="Arial" w:hAnsi="Arial" w:cs="Arial"/>
          <w:sz w:val="20"/>
          <w:lang w:val="en-US"/>
        </w:rPr>
        <w:fldChar w:fldCharType="end"/>
      </w:r>
      <w:r w:rsidR="00E871D1" w:rsidRPr="00E128FE">
        <w:rPr>
          <w:rFonts w:ascii="Arial" w:hAnsi="Arial" w:cs="Arial"/>
          <w:sz w:val="20"/>
          <w:lang w:val="en-US"/>
        </w:rPr>
        <w:t xml:space="preserve"> </w:t>
      </w:r>
      <w:r w:rsidR="001A75F4" w:rsidRPr="00E128FE">
        <w:rPr>
          <w:rFonts w:ascii="Arial" w:hAnsi="Arial" w:cs="Arial"/>
          <w:sz w:val="20"/>
          <w:lang w:val="en-US"/>
        </w:rPr>
        <w:t>A</w:t>
      </w:r>
      <w:r w:rsidR="005C54C7" w:rsidRPr="00E128FE">
        <w:rPr>
          <w:rFonts w:ascii="Arial" w:hAnsi="Arial" w:cs="Arial"/>
          <w:sz w:val="20"/>
          <w:lang w:val="en-US"/>
        </w:rPr>
        <w:t>RB, angiotensin I receptor blocker;</w:t>
      </w:r>
      <w:r w:rsidR="001A75F4" w:rsidRPr="00E128FE">
        <w:rPr>
          <w:rFonts w:ascii="Arial" w:hAnsi="Arial" w:cs="Arial"/>
          <w:sz w:val="20"/>
          <w:lang w:val="en-US"/>
        </w:rPr>
        <w:t xml:space="preserve"> </w:t>
      </w:r>
      <w:r w:rsidR="00377116" w:rsidRPr="00E128FE">
        <w:rPr>
          <w:rFonts w:ascii="Arial" w:hAnsi="Arial" w:cs="Arial"/>
          <w:sz w:val="20"/>
          <w:lang w:val="en-US"/>
        </w:rPr>
        <w:t>BNP, brain natriuretic peptide;</w:t>
      </w:r>
      <w:r w:rsidR="00BA00CC" w:rsidRPr="00E128FE">
        <w:rPr>
          <w:rFonts w:ascii="Arial" w:hAnsi="Arial" w:cs="Arial"/>
          <w:sz w:val="20"/>
          <w:lang w:val="en-US"/>
        </w:rPr>
        <w:t xml:space="preserve"> excl, excluding;</w:t>
      </w:r>
      <w:r w:rsidR="00377116" w:rsidRPr="00E128FE">
        <w:rPr>
          <w:rFonts w:ascii="Arial" w:hAnsi="Arial" w:cs="Arial"/>
          <w:sz w:val="20"/>
          <w:lang w:val="en-US"/>
        </w:rPr>
        <w:t xml:space="preserve"> HDL, high density lipoprotein; </w:t>
      </w:r>
      <w:r w:rsidR="00DD3CEC" w:rsidRPr="00E128FE">
        <w:rPr>
          <w:rFonts w:ascii="Arial" w:hAnsi="Arial" w:cs="Arial"/>
          <w:sz w:val="20"/>
          <w:lang w:val="en-US"/>
        </w:rPr>
        <w:t xml:space="preserve">IQR, interquartile range; </w:t>
      </w:r>
      <w:r w:rsidR="00377116" w:rsidRPr="00E128FE">
        <w:rPr>
          <w:rFonts w:ascii="Arial" w:hAnsi="Arial" w:cs="Arial"/>
          <w:sz w:val="20"/>
          <w:lang w:val="en-US"/>
        </w:rPr>
        <w:t>LDL, low density lipoprotein</w:t>
      </w:r>
      <w:r w:rsidR="00DD3CEC" w:rsidRPr="00E128FE">
        <w:rPr>
          <w:rFonts w:ascii="Arial" w:hAnsi="Arial" w:cs="Arial"/>
          <w:sz w:val="20"/>
          <w:lang w:val="en-US"/>
        </w:rPr>
        <w:t>; SD, standard deviation</w:t>
      </w:r>
      <w:r w:rsidR="00377116" w:rsidRPr="00E128FE">
        <w:rPr>
          <w:rFonts w:ascii="Arial" w:hAnsi="Arial" w:cs="Arial"/>
          <w:sz w:val="20"/>
          <w:lang w:val="en-US"/>
        </w:rPr>
        <w:t>.</w:t>
      </w:r>
      <w:r w:rsidR="000965BC" w:rsidRPr="00E128FE">
        <w:rPr>
          <w:rFonts w:ascii="Arial" w:hAnsi="Arial" w:cs="Arial"/>
          <w:sz w:val="20"/>
          <w:lang w:val="en-US"/>
        </w:rPr>
        <w:br w:type="page"/>
      </w:r>
    </w:p>
    <w:p w14:paraId="3BEEC918" w14:textId="77777777" w:rsidR="007A6B73" w:rsidRPr="00E128FE" w:rsidRDefault="00AA4E4F" w:rsidP="002270E9">
      <w:pPr>
        <w:pStyle w:val="Heading1"/>
        <w:spacing w:before="0" w:line="480" w:lineRule="auto"/>
        <w:rPr>
          <w:rFonts w:ascii="Arial" w:hAnsi="Arial" w:cs="Arial"/>
          <w:color w:val="auto"/>
          <w:sz w:val="22"/>
          <w:szCs w:val="22"/>
          <w:lang w:val="en-US"/>
        </w:rPr>
      </w:pPr>
      <w:bookmarkStart w:id="2" w:name="_Toc66278938"/>
      <w:r w:rsidRPr="00E128FE">
        <w:rPr>
          <w:rFonts w:ascii="Arial" w:hAnsi="Arial" w:cs="Arial"/>
          <w:b/>
          <w:color w:val="auto"/>
          <w:sz w:val="22"/>
          <w:szCs w:val="22"/>
          <w:lang w:val="en-US"/>
        </w:rPr>
        <w:t xml:space="preserve">Supplemental Table </w:t>
      </w:r>
      <w:r w:rsidR="002270E9" w:rsidRPr="00E128FE">
        <w:rPr>
          <w:rFonts w:ascii="Arial" w:hAnsi="Arial" w:cs="Arial"/>
          <w:b/>
          <w:color w:val="auto"/>
          <w:sz w:val="22"/>
          <w:szCs w:val="22"/>
          <w:lang w:val="en-US"/>
        </w:rPr>
        <w:t>2</w:t>
      </w:r>
      <w:r w:rsidRPr="00E128FE">
        <w:rPr>
          <w:rFonts w:ascii="Arial" w:hAnsi="Arial" w:cs="Arial"/>
          <w:b/>
          <w:color w:val="auto"/>
          <w:sz w:val="22"/>
          <w:szCs w:val="22"/>
          <w:lang w:val="en-US"/>
        </w:rPr>
        <w:t xml:space="preserve">. </w:t>
      </w:r>
      <w:r w:rsidR="007C7E0E" w:rsidRPr="00E128FE">
        <w:rPr>
          <w:rFonts w:ascii="Arial" w:hAnsi="Arial" w:cs="Arial"/>
          <w:color w:val="auto"/>
          <w:sz w:val="22"/>
          <w:szCs w:val="22"/>
          <w:lang w:val="en-US"/>
        </w:rPr>
        <w:t>Baseline characteristics of the per-protocol sample.</w:t>
      </w:r>
      <w:bookmarkEnd w:id="2"/>
    </w:p>
    <w:tbl>
      <w:tblPr>
        <w:tblW w:w="9356" w:type="dxa"/>
        <w:tblLayout w:type="fixed"/>
        <w:tblCellMar>
          <w:left w:w="0" w:type="dxa"/>
          <w:right w:w="0" w:type="dxa"/>
        </w:tblCellMar>
        <w:tblLook w:val="0420" w:firstRow="1" w:lastRow="0" w:firstColumn="0" w:lastColumn="0" w:noHBand="0" w:noVBand="1"/>
      </w:tblPr>
      <w:tblGrid>
        <w:gridCol w:w="4962"/>
        <w:gridCol w:w="1701"/>
        <w:gridCol w:w="1701"/>
        <w:gridCol w:w="992"/>
      </w:tblGrid>
      <w:tr w:rsidR="00EC3AE8" w:rsidRPr="00E128FE" w14:paraId="7F6FD89E" w14:textId="77777777" w:rsidTr="00540B23">
        <w:trPr>
          <w:trHeight w:val="113"/>
        </w:trPr>
        <w:tc>
          <w:tcPr>
            <w:tcW w:w="4962"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02933899" w14:textId="77777777" w:rsidR="00EC3AE8" w:rsidRPr="00E128FE" w:rsidRDefault="00EC3AE8" w:rsidP="00832543">
            <w:pPr>
              <w:spacing w:after="0" w:line="240" w:lineRule="auto"/>
              <w:rPr>
                <w:rFonts w:ascii="Arial" w:hAnsi="Arial" w:cs="Arial"/>
                <w:sz w:val="20"/>
                <w:szCs w:val="20"/>
                <w:lang w:val="en-US"/>
              </w:rPr>
            </w:pPr>
          </w:p>
        </w:tc>
        <w:tc>
          <w:tcPr>
            <w:tcW w:w="170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64EF04AB"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Placebo</w:t>
            </w:r>
          </w:p>
        </w:tc>
        <w:tc>
          <w:tcPr>
            <w:tcW w:w="170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2ED1EAD6"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 xml:space="preserve">Empagliflozin </w:t>
            </w:r>
          </w:p>
          <w:p w14:paraId="40931214" w14:textId="03A8A979"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10mg/day</w:t>
            </w:r>
          </w:p>
        </w:tc>
        <w:tc>
          <w:tcPr>
            <w:tcW w:w="992"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652960B4"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i/>
                <w:sz w:val="20"/>
                <w:szCs w:val="20"/>
                <w:lang w:val="en-US"/>
              </w:rPr>
              <w:t>P</w:t>
            </w:r>
            <w:r w:rsidRPr="00E128FE">
              <w:rPr>
                <w:rFonts w:ascii="Arial" w:hAnsi="Arial" w:cs="Arial"/>
                <w:sz w:val="20"/>
                <w:szCs w:val="20"/>
                <w:lang w:val="en-US"/>
              </w:rPr>
              <w:t>-value</w:t>
            </w:r>
          </w:p>
        </w:tc>
      </w:tr>
      <w:tr w:rsidR="00EC3AE8" w:rsidRPr="00E128FE" w14:paraId="50D82D4B" w14:textId="77777777" w:rsidTr="00540B23">
        <w:trPr>
          <w:trHeight w:val="113"/>
        </w:trPr>
        <w:tc>
          <w:tcPr>
            <w:tcW w:w="4962" w:type="dxa"/>
            <w:tcBorders>
              <w:top w:val="single" w:sz="8" w:space="0" w:color="000000"/>
              <w:left w:val="nil"/>
              <w:right w:val="nil"/>
            </w:tcBorders>
            <w:shd w:val="clear" w:color="auto" w:fill="auto"/>
            <w:tcMar>
              <w:top w:w="72" w:type="dxa"/>
              <w:left w:w="144" w:type="dxa"/>
              <w:bottom w:w="72" w:type="dxa"/>
              <w:right w:w="144" w:type="dxa"/>
            </w:tcMar>
            <w:vAlign w:val="center"/>
          </w:tcPr>
          <w:p w14:paraId="00D60F93"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Sample size (n)</w:t>
            </w:r>
          </w:p>
        </w:tc>
        <w:tc>
          <w:tcPr>
            <w:tcW w:w="1701" w:type="dxa"/>
            <w:tcBorders>
              <w:top w:val="single" w:sz="8" w:space="0" w:color="000000"/>
              <w:left w:val="nil"/>
              <w:right w:val="nil"/>
            </w:tcBorders>
            <w:shd w:val="clear" w:color="auto" w:fill="auto"/>
            <w:tcMar>
              <w:top w:w="72" w:type="dxa"/>
              <w:left w:w="144" w:type="dxa"/>
              <w:bottom w:w="72" w:type="dxa"/>
              <w:right w:w="144" w:type="dxa"/>
            </w:tcMar>
            <w:vAlign w:val="center"/>
          </w:tcPr>
          <w:p w14:paraId="2F203CB7"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66</w:t>
            </w:r>
          </w:p>
        </w:tc>
        <w:tc>
          <w:tcPr>
            <w:tcW w:w="1701" w:type="dxa"/>
            <w:tcBorders>
              <w:top w:val="single" w:sz="8" w:space="0" w:color="000000"/>
              <w:left w:val="nil"/>
              <w:right w:val="nil"/>
            </w:tcBorders>
            <w:shd w:val="clear" w:color="auto" w:fill="auto"/>
            <w:tcMar>
              <w:top w:w="72" w:type="dxa"/>
              <w:left w:w="144" w:type="dxa"/>
              <w:bottom w:w="72" w:type="dxa"/>
              <w:right w:w="144" w:type="dxa"/>
            </w:tcMar>
            <w:vAlign w:val="center"/>
          </w:tcPr>
          <w:p w14:paraId="02C608CF"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66</w:t>
            </w:r>
          </w:p>
        </w:tc>
        <w:tc>
          <w:tcPr>
            <w:tcW w:w="992" w:type="dxa"/>
            <w:tcBorders>
              <w:top w:val="single" w:sz="8" w:space="0" w:color="000000"/>
              <w:left w:val="nil"/>
              <w:right w:val="nil"/>
            </w:tcBorders>
            <w:shd w:val="clear" w:color="auto" w:fill="auto"/>
            <w:tcMar>
              <w:top w:w="72" w:type="dxa"/>
              <w:left w:w="144" w:type="dxa"/>
              <w:bottom w:w="72" w:type="dxa"/>
              <w:right w:w="144" w:type="dxa"/>
            </w:tcMar>
            <w:vAlign w:val="center"/>
          </w:tcPr>
          <w:p w14:paraId="024CA164" w14:textId="77777777" w:rsidR="00EC3AE8" w:rsidRPr="00E128FE" w:rsidRDefault="00EC3AE8" w:rsidP="00832543">
            <w:pPr>
              <w:spacing w:after="0" w:line="240" w:lineRule="auto"/>
              <w:rPr>
                <w:rFonts w:ascii="Arial" w:hAnsi="Arial" w:cs="Arial"/>
                <w:sz w:val="20"/>
                <w:szCs w:val="20"/>
                <w:lang w:val="en-US"/>
              </w:rPr>
            </w:pPr>
          </w:p>
        </w:tc>
      </w:tr>
      <w:tr w:rsidR="00EC3AE8" w:rsidRPr="00E128FE" w14:paraId="5A817C91" w14:textId="77777777" w:rsidTr="00540B23">
        <w:trPr>
          <w:trHeight w:val="113"/>
        </w:trPr>
        <w:tc>
          <w:tcPr>
            <w:tcW w:w="4962" w:type="dxa"/>
            <w:tcBorders>
              <w:left w:val="nil"/>
              <w:bottom w:val="nil"/>
              <w:right w:val="nil"/>
            </w:tcBorders>
            <w:shd w:val="clear" w:color="auto" w:fill="auto"/>
            <w:tcMar>
              <w:top w:w="72" w:type="dxa"/>
              <w:left w:w="144" w:type="dxa"/>
              <w:bottom w:w="72" w:type="dxa"/>
              <w:right w:w="144" w:type="dxa"/>
            </w:tcMar>
            <w:vAlign w:val="center"/>
            <w:hideMark/>
          </w:tcPr>
          <w:p w14:paraId="104E72AB"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lang w:val="en-US"/>
              </w:rPr>
              <w:t>Age [years] (SD)</w:t>
            </w:r>
          </w:p>
        </w:tc>
        <w:tc>
          <w:tcPr>
            <w:tcW w:w="1701" w:type="dxa"/>
            <w:tcBorders>
              <w:left w:val="nil"/>
              <w:bottom w:val="nil"/>
              <w:right w:val="nil"/>
            </w:tcBorders>
            <w:shd w:val="clear" w:color="auto" w:fill="auto"/>
            <w:tcMar>
              <w:top w:w="72" w:type="dxa"/>
              <w:left w:w="144" w:type="dxa"/>
              <w:bottom w:w="72" w:type="dxa"/>
              <w:right w:w="144" w:type="dxa"/>
            </w:tcMar>
            <w:vAlign w:val="center"/>
          </w:tcPr>
          <w:p w14:paraId="2C91CB3C"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68.2</w:t>
            </w:r>
            <w:r w:rsidRPr="00E128FE">
              <w:rPr>
                <w:rFonts w:ascii="Arial" w:hAnsi="Arial" w:cs="Arial"/>
                <w:sz w:val="20"/>
                <w:szCs w:val="20"/>
                <w:lang w:val="en-US"/>
              </w:rPr>
              <w:t>±</w:t>
            </w:r>
            <w:r w:rsidRPr="00E128FE">
              <w:rPr>
                <w:rFonts w:ascii="Arial" w:hAnsi="Arial" w:cs="Arial"/>
                <w:sz w:val="20"/>
                <w:szCs w:val="20"/>
              </w:rPr>
              <w:t>7.9</w:t>
            </w:r>
          </w:p>
        </w:tc>
        <w:tc>
          <w:tcPr>
            <w:tcW w:w="1701" w:type="dxa"/>
            <w:tcBorders>
              <w:left w:val="nil"/>
              <w:bottom w:val="nil"/>
              <w:right w:val="nil"/>
            </w:tcBorders>
            <w:shd w:val="clear" w:color="auto" w:fill="auto"/>
            <w:tcMar>
              <w:top w:w="72" w:type="dxa"/>
              <w:left w:w="144" w:type="dxa"/>
              <w:bottom w:w="72" w:type="dxa"/>
              <w:right w:w="144" w:type="dxa"/>
            </w:tcMar>
            <w:vAlign w:val="center"/>
          </w:tcPr>
          <w:p w14:paraId="702E90B7"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69.3 +/- 7.5</w:t>
            </w:r>
          </w:p>
        </w:tc>
        <w:tc>
          <w:tcPr>
            <w:tcW w:w="992" w:type="dxa"/>
            <w:tcBorders>
              <w:left w:val="nil"/>
              <w:bottom w:val="nil"/>
              <w:right w:val="nil"/>
            </w:tcBorders>
            <w:shd w:val="clear" w:color="auto" w:fill="auto"/>
            <w:tcMar>
              <w:top w:w="72" w:type="dxa"/>
              <w:left w:w="144" w:type="dxa"/>
              <w:bottom w:w="72" w:type="dxa"/>
              <w:right w:w="144" w:type="dxa"/>
            </w:tcMar>
            <w:vAlign w:val="center"/>
          </w:tcPr>
          <w:p w14:paraId="4572A71A"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0.40</w:t>
            </w:r>
          </w:p>
        </w:tc>
      </w:tr>
      <w:tr w:rsidR="00EC3AE8" w:rsidRPr="00E128FE" w14:paraId="794EBBC1"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hideMark/>
          </w:tcPr>
          <w:p w14:paraId="3494A4A3"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lang w:val="en-US"/>
              </w:rPr>
              <w:t>Sex [female] – [%] (n)</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457CD283"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12.1% (8)</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60A4C880"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16.7% (11)</w:t>
            </w: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2CACB955"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0.62</w:t>
            </w:r>
          </w:p>
        </w:tc>
      </w:tr>
      <w:tr w:rsidR="00EC3AE8" w:rsidRPr="00E128FE" w14:paraId="7E30537A"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tcPr>
          <w:p w14:paraId="5C85DF10"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Heart rate [bpm] (SD)</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16CB3DB6"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68.9 +/- 10.4</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0E0B1AE1"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67.6 +/- 10.3</w:t>
            </w: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5B12E036"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0.50</w:t>
            </w:r>
          </w:p>
        </w:tc>
      </w:tr>
      <w:tr w:rsidR="00EC3AE8" w:rsidRPr="00E128FE" w14:paraId="6484A8FF"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hideMark/>
          </w:tcPr>
          <w:p w14:paraId="1EFF63B0"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Blood pressure – Systolic [mmHg] (SD)</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46A00DDC"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133.2 +/- 15.8</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0540903C"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134.9 +/- 16.1</w:t>
            </w: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18EA0313"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0.53</w:t>
            </w:r>
          </w:p>
        </w:tc>
      </w:tr>
      <w:tr w:rsidR="00EC3AE8" w:rsidRPr="00E128FE" w14:paraId="37060BCA"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hideMark/>
          </w:tcPr>
          <w:p w14:paraId="50542836"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lang w:val="en-US"/>
              </w:rPr>
              <w:t xml:space="preserve">                         – Diastolic [mmHg] (SD)</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479776D5"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76.0 +/- 9.1</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18B6B3B4"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77.4 +/- 9.3</w:t>
            </w: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3418D091"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0.37</w:t>
            </w:r>
          </w:p>
        </w:tc>
      </w:tr>
      <w:tr w:rsidR="00EC3AE8" w:rsidRPr="00E128FE" w14:paraId="4108DDF9"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hideMark/>
          </w:tcPr>
          <w:p w14:paraId="7DFF184D"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Body Mass Index [kg/m²] (SD)</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3E542C99"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31.9 +/- 4.9</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3E3FAF57"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31.9 +/- 4.8</w:t>
            </w: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2C367A91"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0.95</w:t>
            </w:r>
          </w:p>
        </w:tc>
      </w:tr>
      <w:tr w:rsidR="00EC3AE8" w:rsidRPr="00E128FE" w14:paraId="1016419E"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hideMark/>
          </w:tcPr>
          <w:p w14:paraId="0C38765F"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lang w:val="en-US"/>
              </w:rPr>
              <w:t>Traditional cardiovascular risk factors</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6D21D6FA" w14:textId="77777777" w:rsidR="00EC3AE8" w:rsidRPr="00E128FE" w:rsidRDefault="00EC3AE8" w:rsidP="00832543">
            <w:pPr>
              <w:spacing w:after="0" w:line="240" w:lineRule="auto"/>
              <w:rPr>
                <w:rFonts w:ascii="Arial" w:hAnsi="Arial" w:cs="Arial"/>
                <w:sz w:val="20"/>
                <w:szCs w:val="20"/>
              </w:rPr>
            </w:pP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46412510" w14:textId="77777777" w:rsidR="00EC3AE8" w:rsidRPr="00E128FE" w:rsidRDefault="00EC3AE8" w:rsidP="00832543">
            <w:pPr>
              <w:spacing w:after="0" w:line="240" w:lineRule="auto"/>
              <w:rPr>
                <w:rFonts w:ascii="Arial" w:hAnsi="Arial" w:cs="Arial"/>
                <w:sz w:val="20"/>
                <w:szCs w:val="20"/>
              </w:rPr>
            </w:pP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4C37B48C" w14:textId="77777777" w:rsidR="00EC3AE8" w:rsidRPr="00E128FE" w:rsidRDefault="00EC3AE8" w:rsidP="00832543">
            <w:pPr>
              <w:spacing w:after="0" w:line="240" w:lineRule="auto"/>
              <w:rPr>
                <w:rFonts w:ascii="Arial" w:hAnsi="Arial" w:cs="Arial"/>
                <w:sz w:val="20"/>
                <w:szCs w:val="20"/>
              </w:rPr>
            </w:pPr>
          </w:p>
        </w:tc>
      </w:tr>
      <w:tr w:rsidR="00EC3AE8" w:rsidRPr="00E128FE" w14:paraId="37C7E075"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hideMark/>
          </w:tcPr>
          <w:p w14:paraId="40E00D4F"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lang w:val="en-US"/>
              </w:rPr>
              <w:t xml:space="preserve">   Arterial Hypertension  – [%] (n)</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6E6B7167"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93.9% (62)</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2AEA773A"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84.8% (56)</w:t>
            </w: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7FECBAD1"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0.16</w:t>
            </w:r>
          </w:p>
        </w:tc>
      </w:tr>
      <w:tr w:rsidR="00EC3AE8" w:rsidRPr="00E128FE" w14:paraId="6E1223BF"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hideMark/>
          </w:tcPr>
          <w:p w14:paraId="09FABE27"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lang w:val="en-US"/>
              </w:rPr>
              <w:t xml:space="preserve">   Diabetes mellitus – [%] (n)</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735D82E1"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100% (66)</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6572F217"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100% (61)</w:t>
            </w: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05BE3C0B"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1.00</w:t>
            </w:r>
          </w:p>
        </w:tc>
      </w:tr>
      <w:tr w:rsidR="00EC3AE8" w:rsidRPr="00E128FE" w14:paraId="4B07CF74"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tcPr>
          <w:p w14:paraId="48F2479A"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 xml:space="preserve">       Insulin-dependent diabetes mellitus – [%] (n)</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11B1CA78"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45.5% (30)</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6CB12A2B"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48.5% (32)</w:t>
            </w: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63ABA5E3"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0.86</w:t>
            </w:r>
          </w:p>
        </w:tc>
      </w:tr>
      <w:tr w:rsidR="00EC3AE8" w:rsidRPr="00E128FE" w14:paraId="55A4AE1A"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tcPr>
          <w:p w14:paraId="05AE74C1"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 xml:space="preserve">       HbA1c [%] (IQR)</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10C1BAE7"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7.40 (7.00/8.20)</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732BD887"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7.30 (6.99/7.70)</w:t>
            </w: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741E9E1D"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0.21</w:t>
            </w:r>
          </w:p>
        </w:tc>
      </w:tr>
      <w:tr w:rsidR="00EC3AE8" w:rsidRPr="00E128FE" w14:paraId="025C281F"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hideMark/>
          </w:tcPr>
          <w:p w14:paraId="29B8071E"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lang w:val="en-US"/>
              </w:rPr>
              <w:t xml:space="preserve">   Dyslipidemia  – [%] (n)</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13F5E46A"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90.9% (60)</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5B487A2B"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83.3% (55)</w:t>
            </w: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06839E4A"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0.30</w:t>
            </w:r>
          </w:p>
        </w:tc>
      </w:tr>
      <w:tr w:rsidR="00EC3AE8" w:rsidRPr="00E128FE" w14:paraId="1D4086E7"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hideMark/>
          </w:tcPr>
          <w:p w14:paraId="247BD952"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 xml:space="preserve">   Family history of MI and/or stroke – [%] (n)</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3E4CF123"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34.8% (23)</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28CBAE19"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30.3% (20)</w:t>
            </w: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28E2BB84"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0.71</w:t>
            </w:r>
          </w:p>
        </w:tc>
      </w:tr>
      <w:tr w:rsidR="00EC3AE8" w:rsidRPr="00E128FE" w14:paraId="7CB69549"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hideMark/>
          </w:tcPr>
          <w:p w14:paraId="4F841E7D"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lang w:val="en-US"/>
              </w:rPr>
              <w:t xml:space="preserve">   Obesity – [%] (n)</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1A9281B2"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57.6% (38)</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01864CCE"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63.6% (42)</w:t>
            </w: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183D24B9"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0.59</w:t>
            </w:r>
          </w:p>
        </w:tc>
      </w:tr>
      <w:tr w:rsidR="00EC3AE8" w:rsidRPr="00E128FE" w14:paraId="430115BC"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hideMark/>
          </w:tcPr>
          <w:p w14:paraId="038A1330"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lang w:val="en-US"/>
              </w:rPr>
              <w:t xml:space="preserve">   Smoking – [%] (n)</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630EC578"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15.2% (10)</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48BA6CCD"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12.1% (8)</w:t>
            </w: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32ECD701"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0.80</w:t>
            </w:r>
          </w:p>
        </w:tc>
      </w:tr>
      <w:tr w:rsidR="00EC3AE8" w:rsidRPr="00E128FE" w14:paraId="418B4020"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hideMark/>
          </w:tcPr>
          <w:p w14:paraId="1BAB9501"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lang w:val="en-US"/>
              </w:rPr>
              <w:t>Comorbidities</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20801AB0" w14:textId="77777777" w:rsidR="00EC3AE8" w:rsidRPr="00E128FE" w:rsidRDefault="00EC3AE8" w:rsidP="00832543">
            <w:pPr>
              <w:spacing w:after="0" w:line="240" w:lineRule="auto"/>
              <w:rPr>
                <w:rFonts w:ascii="Arial" w:hAnsi="Arial" w:cs="Arial"/>
                <w:sz w:val="20"/>
                <w:szCs w:val="20"/>
              </w:rPr>
            </w:pP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6D8C84D0" w14:textId="77777777" w:rsidR="00EC3AE8" w:rsidRPr="00E128FE" w:rsidRDefault="00EC3AE8" w:rsidP="00832543">
            <w:pPr>
              <w:spacing w:after="0" w:line="240" w:lineRule="auto"/>
              <w:rPr>
                <w:rFonts w:ascii="Arial" w:hAnsi="Arial" w:cs="Arial"/>
                <w:sz w:val="20"/>
                <w:szCs w:val="20"/>
              </w:rPr>
            </w:pP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42D00637" w14:textId="77777777" w:rsidR="00EC3AE8" w:rsidRPr="00E128FE" w:rsidRDefault="00EC3AE8" w:rsidP="00832543">
            <w:pPr>
              <w:spacing w:after="0" w:line="240" w:lineRule="auto"/>
              <w:rPr>
                <w:rFonts w:ascii="Arial" w:hAnsi="Arial" w:cs="Arial"/>
                <w:sz w:val="20"/>
                <w:szCs w:val="20"/>
              </w:rPr>
            </w:pPr>
          </w:p>
        </w:tc>
      </w:tr>
      <w:tr w:rsidR="00EC3AE8" w:rsidRPr="00E128FE" w14:paraId="1AF1F388"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hideMark/>
          </w:tcPr>
          <w:p w14:paraId="1627E4CB"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lang w:val="en-US"/>
              </w:rPr>
              <w:t xml:space="preserve">    Atrial fibrillation – [%] (n)</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1380F912"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30.2% (19)</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55DFD94A"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25.0% (16)</w:t>
            </w: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079FDD1A"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0.56</w:t>
            </w:r>
          </w:p>
        </w:tc>
      </w:tr>
      <w:tr w:rsidR="00EC3AE8" w:rsidRPr="00E128FE" w14:paraId="617DB75F"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hideMark/>
          </w:tcPr>
          <w:p w14:paraId="4F186E04"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lang w:val="en-US"/>
              </w:rPr>
              <w:t xml:space="preserve">    Chronic kidney disease  – [%] (n)</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77415F79"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20.0% (13)</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21F8A4DD"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14.1% (9)</w:t>
            </w: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5AD96828"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0.48</w:t>
            </w:r>
          </w:p>
        </w:tc>
      </w:tr>
      <w:tr w:rsidR="00EC3AE8" w:rsidRPr="00E128FE" w14:paraId="52A36D61"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hideMark/>
          </w:tcPr>
          <w:p w14:paraId="2EF0A67B"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 xml:space="preserve">    Chronic obstructive pulmonary disease  – [%] (n)</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612F96E5"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6.1% (4)</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79BCC3B4"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7.7% (5)</w:t>
            </w: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59ACBB89"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0.74</w:t>
            </w:r>
          </w:p>
        </w:tc>
      </w:tr>
      <w:tr w:rsidR="00EC3AE8" w:rsidRPr="00E128FE" w14:paraId="4D2C8180"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hideMark/>
          </w:tcPr>
          <w:p w14:paraId="62A810AE"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lang w:val="en-US"/>
              </w:rPr>
              <w:t xml:space="preserve">    Congestive heart failure – [%] (n)</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6494D95F"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28.8% (19)</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3D63FC83"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15.2% (10)</w:t>
            </w: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3FDAEFC0"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0.092</w:t>
            </w:r>
          </w:p>
        </w:tc>
      </w:tr>
      <w:tr w:rsidR="00EC3AE8" w:rsidRPr="00E128FE" w14:paraId="74C8F12D"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hideMark/>
          </w:tcPr>
          <w:p w14:paraId="3F70E2CB"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lang w:val="en-US"/>
              </w:rPr>
              <w:t xml:space="preserve">    Coronary artery disease  – [%] (n)</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68B950AC"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44.4% (28)</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2858C8E7"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36.7% (22)</w:t>
            </w: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71200767"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0.46</w:t>
            </w:r>
          </w:p>
        </w:tc>
      </w:tr>
      <w:tr w:rsidR="00EC3AE8" w:rsidRPr="00E128FE" w14:paraId="3222F7A4"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hideMark/>
          </w:tcPr>
          <w:p w14:paraId="5BD947CD"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 xml:space="preserve">    History of myocardial infarction  – [%] (n)</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39A47870"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36.9% (24)</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75AD28EA"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21.9% (14)</w:t>
            </w: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0F079D1C"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0.082</w:t>
            </w:r>
          </w:p>
        </w:tc>
      </w:tr>
      <w:tr w:rsidR="00EC3AE8" w:rsidRPr="00E128FE" w14:paraId="3D2D81A0" w14:textId="77777777" w:rsidTr="00540B23">
        <w:trPr>
          <w:trHeight w:val="113"/>
        </w:trPr>
        <w:tc>
          <w:tcPr>
            <w:tcW w:w="4962" w:type="dxa"/>
            <w:tcBorders>
              <w:top w:val="nil"/>
              <w:left w:val="nil"/>
              <w:bottom w:val="nil"/>
              <w:right w:val="nil"/>
            </w:tcBorders>
            <w:shd w:val="clear" w:color="auto" w:fill="auto"/>
            <w:tcMar>
              <w:top w:w="72" w:type="dxa"/>
              <w:left w:w="144" w:type="dxa"/>
              <w:bottom w:w="72" w:type="dxa"/>
              <w:right w:w="144" w:type="dxa"/>
            </w:tcMar>
            <w:vAlign w:val="center"/>
            <w:hideMark/>
          </w:tcPr>
          <w:p w14:paraId="02831876"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 xml:space="preserve">    History of TIA/Stroke  – [%] (n)</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7A4E1E16"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10.6% (7)</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21E52D2E"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7.7% (5)</w:t>
            </w:r>
          </w:p>
        </w:tc>
        <w:tc>
          <w:tcPr>
            <w:tcW w:w="992" w:type="dxa"/>
            <w:tcBorders>
              <w:top w:val="nil"/>
              <w:left w:val="nil"/>
              <w:bottom w:val="nil"/>
              <w:right w:val="nil"/>
            </w:tcBorders>
            <w:shd w:val="clear" w:color="auto" w:fill="auto"/>
            <w:tcMar>
              <w:top w:w="72" w:type="dxa"/>
              <w:left w:w="144" w:type="dxa"/>
              <w:bottom w:w="72" w:type="dxa"/>
              <w:right w:w="144" w:type="dxa"/>
            </w:tcMar>
            <w:vAlign w:val="center"/>
          </w:tcPr>
          <w:p w14:paraId="7002F993" w14:textId="77777777" w:rsidR="00EC3AE8" w:rsidRPr="00E128FE" w:rsidRDefault="00EC3AE8" w:rsidP="00832543">
            <w:pPr>
              <w:spacing w:after="0" w:line="240" w:lineRule="auto"/>
              <w:rPr>
                <w:rFonts w:ascii="Arial" w:hAnsi="Arial" w:cs="Arial"/>
                <w:sz w:val="20"/>
                <w:szCs w:val="20"/>
                <w:lang w:val="en-US"/>
              </w:rPr>
            </w:pPr>
            <w:r w:rsidRPr="00E128FE">
              <w:rPr>
                <w:rFonts w:ascii="Arial" w:hAnsi="Arial" w:cs="Arial"/>
                <w:sz w:val="20"/>
                <w:szCs w:val="20"/>
                <w:lang w:val="en-US"/>
              </w:rPr>
              <w:t>0.76</w:t>
            </w:r>
          </w:p>
        </w:tc>
      </w:tr>
      <w:tr w:rsidR="00EC3AE8" w:rsidRPr="00E128FE" w14:paraId="745955F8" w14:textId="77777777" w:rsidTr="00540B23">
        <w:trPr>
          <w:trHeight w:val="113"/>
        </w:trPr>
        <w:tc>
          <w:tcPr>
            <w:tcW w:w="4962" w:type="dxa"/>
            <w:tcBorders>
              <w:top w:val="nil"/>
              <w:left w:val="nil"/>
              <w:right w:val="nil"/>
            </w:tcBorders>
            <w:shd w:val="clear" w:color="auto" w:fill="auto"/>
            <w:tcMar>
              <w:top w:w="72" w:type="dxa"/>
              <w:left w:w="144" w:type="dxa"/>
              <w:bottom w:w="72" w:type="dxa"/>
              <w:right w:w="144" w:type="dxa"/>
            </w:tcMar>
            <w:vAlign w:val="center"/>
            <w:hideMark/>
          </w:tcPr>
          <w:p w14:paraId="15D2AF78"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lang w:val="en-US"/>
              </w:rPr>
              <w:t xml:space="preserve">    Peripheral artery disease  – [%] (n)</w:t>
            </w:r>
          </w:p>
        </w:tc>
        <w:tc>
          <w:tcPr>
            <w:tcW w:w="1701" w:type="dxa"/>
            <w:tcBorders>
              <w:top w:val="nil"/>
              <w:left w:val="nil"/>
              <w:right w:val="nil"/>
            </w:tcBorders>
            <w:shd w:val="clear" w:color="auto" w:fill="auto"/>
            <w:tcMar>
              <w:top w:w="72" w:type="dxa"/>
              <w:left w:w="144" w:type="dxa"/>
              <w:bottom w:w="72" w:type="dxa"/>
              <w:right w:w="144" w:type="dxa"/>
            </w:tcMar>
            <w:vAlign w:val="center"/>
          </w:tcPr>
          <w:p w14:paraId="4EA247FD"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11.3% (7)</w:t>
            </w:r>
          </w:p>
        </w:tc>
        <w:tc>
          <w:tcPr>
            <w:tcW w:w="1701" w:type="dxa"/>
            <w:tcBorders>
              <w:top w:val="nil"/>
              <w:left w:val="nil"/>
              <w:right w:val="nil"/>
            </w:tcBorders>
            <w:shd w:val="clear" w:color="auto" w:fill="auto"/>
            <w:tcMar>
              <w:top w:w="72" w:type="dxa"/>
              <w:left w:w="144" w:type="dxa"/>
              <w:bottom w:w="72" w:type="dxa"/>
              <w:right w:w="144" w:type="dxa"/>
            </w:tcMar>
            <w:vAlign w:val="center"/>
          </w:tcPr>
          <w:p w14:paraId="42B093FF"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7.8% (5)</w:t>
            </w:r>
          </w:p>
        </w:tc>
        <w:tc>
          <w:tcPr>
            <w:tcW w:w="992" w:type="dxa"/>
            <w:tcBorders>
              <w:top w:val="nil"/>
              <w:left w:val="nil"/>
              <w:right w:val="nil"/>
            </w:tcBorders>
            <w:shd w:val="clear" w:color="auto" w:fill="auto"/>
            <w:tcMar>
              <w:top w:w="72" w:type="dxa"/>
              <w:left w:w="144" w:type="dxa"/>
              <w:bottom w:w="72" w:type="dxa"/>
              <w:right w:w="144" w:type="dxa"/>
            </w:tcMar>
            <w:vAlign w:val="center"/>
          </w:tcPr>
          <w:p w14:paraId="0B2A645F"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0.56</w:t>
            </w:r>
          </w:p>
        </w:tc>
      </w:tr>
      <w:tr w:rsidR="00EC3AE8" w:rsidRPr="00E128FE" w14:paraId="7B5B0C2D" w14:textId="77777777" w:rsidTr="00540B23">
        <w:trPr>
          <w:trHeight w:val="113"/>
        </w:trPr>
        <w:tc>
          <w:tcPr>
            <w:tcW w:w="4962"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2243F38C"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lang w:val="en-US"/>
              </w:rPr>
              <w:t xml:space="preserve">    Venous thromboembolism – [%] (n)</w:t>
            </w:r>
          </w:p>
        </w:tc>
        <w:tc>
          <w:tcPr>
            <w:tcW w:w="1701" w:type="dxa"/>
            <w:tcBorders>
              <w:top w:val="nil"/>
              <w:left w:val="nil"/>
              <w:bottom w:val="single" w:sz="4" w:space="0" w:color="auto"/>
              <w:right w:val="nil"/>
            </w:tcBorders>
            <w:shd w:val="clear" w:color="auto" w:fill="auto"/>
            <w:tcMar>
              <w:top w:w="72" w:type="dxa"/>
              <w:left w:w="144" w:type="dxa"/>
              <w:bottom w:w="72" w:type="dxa"/>
              <w:right w:w="144" w:type="dxa"/>
            </w:tcMar>
            <w:vAlign w:val="center"/>
          </w:tcPr>
          <w:p w14:paraId="23E2FD6E"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10.8% (7)</w:t>
            </w:r>
          </w:p>
        </w:tc>
        <w:tc>
          <w:tcPr>
            <w:tcW w:w="1701" w:type="dxa"/>
            <w:tcBorders>
              <w:top w:val="nil"/>
              <w:left w:val="nil"/>
              <w:bottom w:val="single" w:sz="4" w:space="0" w:color="auto"/>
              <w:right w:val="nil"/>
            </w:tcBorders>
            <w:shd w:val="clear" w:color="auto" w:fill="auto"/>
            <w:tcMar>
              <w:top w:w="72" w:type="dxa"/>
              <w:left w:w="144" w:type="dxa"/>
              <w:bottom w:w="72" w:type="dxa"/>
              <w:right w:w="144" w:type="dxa"/>
            </w:tcMar>
            <w:vAlign w:val="center"/>
          </w:tcPr>
          <w:p w14:paraId="562127F2"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7.7% (5)</w:t>
            </w:r>
          </w:p>
        </w:tc>
        <w:tc>
          <w:tcPr>
            <w:tcW w:w="992" w:type="dxa"/>
            <w:tcBorders>
              <w:top w:val="nil"/>
              <w:left w:val="nil"/>
              <w:bottom w:val="single" w:sz="4" w:space="0" w:color="auto"/>
              <w:right w:val="nil"/>
            </w:tcBorders>
            <w:shd w:val="clear" w:color="auto" w:fill="auto"/>
            <w:tcMar>
              <w:top w:w="72" w:type="dxa"/>
              <w:left w:w="144" w:type="dxa"/>
              <w:bottom w:w="72" w:type="dxa"/>
              <w:right w:w="144" w:type="dxa"/>
            </w:tcMar>
            <w:vAlign w:val="center"/>
          </w:tcPr>
          <w:p w14:paraId="51065797" w14:textId="77777777" w:rsidR="00EC3AE8" w:rsidRPr="00E128FE" w:rsidRDefault="00EC3AE8" w:rsidP="00832543">
            <w:pPr>
              <w:spacing w:after="0" w:line="240" w:lineRule="auto"/>
              <w:rPr>
                <w:rFonts w:ascii="Arial" w:hAnsi="Arial" w:cs="Arial"/>
                <w:sz w:val="20"/>
                <w:szCs w:val="20"/>
              </w:rPr>
            </w:pPr>
            <w:r w:rsidRPr="00E128FE">
              <w:rPr>
                <w:rFonts w:ascii="Arial" w:hAnsi="Arial" w:cs="Arial"/>
                <w:sz w:val="20"/>
                <w:szCs w:val="20"/>
              </w:rPr>
              <w:t>0.76</w:t>
            </w:r>
          </w:p>
        </w:tc>
      </w:tr>
    </w:tbl>
    <w:p w14:paraId="6165EDC7" w14:textId="77777777" w:rsidR="00356EB0" w:rsidRPr="00E128FE" w:rsidRDefault="00356EB0" w:rsidP="00356EB0">
      <w:pPr>
        <w:spacing w:after="0" w:line="240" w:lineRule="auto"/>
        <w:rPr>
          <w:rFonts w:ascii="Arial" w:hAnsi="Arial" w:cs="Arial"/>
          <w:lang w:val="en-US"/>
        </w:rPr>
      </w:pPr>
      <w:r w:rsidRPr="00E128FE">
        <w:rPr>
          <w:rFonts w:ascii="Arial" w:hAnsi="Arial" w:cs="Arial"/>
          <w:lang w:val="en-US"/>
        </w:rPr>
        <w:t>Absolute and relative frequency of categorical variables and mean with standard deviation (SD) or median with interquartile range (IQR) for continuous traits (dependent on distribution). MI, myocardial infarction.</w:t>
      </w:r>
      <w:r w:rsidRPr="00E128FE">
        <w:rPr>
          <w:rFonts w:ascii="Arial" w:hAnsi="Arial" w:cs="Arial"/>
          <w:lang w:val="en-US"/>
        </w:rPr>
        <w:br w:type="page"/>
      </w:r>
    </w:p>
    <w:p w14:paraId="1E5FCF53" w14:textId="77777777" w:rsidR="008C6990" w:rsidRPr="00E128FE" w:rsidRDefault="008C6990" w:rsidP="002270E9">
      <w:pPr>
        <w:pStyle w:val="Heading1"/>
        <w:spacing w:before="0" w:line="480" w:lineRule="auto"/>
        <w:rPr>
          <w:rFonts w:ascii="Arial" w:hAnsi="Arial" w:cs="Arial"/>
          <w:color w:val="auto"/>
          <w:sz w:val="22"/>
          <w:szCs w:val="22"/>
          <w:lang w:val="en-US"/>
        </w:rPr>
      </w:pPr>
      <w:bookmarkStart w:id="3" w:name="_Toc66278939"/>
      <w:r w:rsidRPr="00E128FE">
        <w:rPr>
          <w:rFonts w:ascii="Arial" w:hAnsi="Arial" w:cs="Arial"/>
          <w:b/>
          <w:color w:val="auto"/>
          <w:sz w:val="22"/>
          <w:szCs w:val="22"/>
          <w:lang w:val="en-US"/>
        </w:rPr>
        <w:t xml:space="preserve">Supplemental Figure </w:t>
      </w:r>
      <w:r w:rsidR="002270E9" w:rsidRPr="00E128FE">
        <w:rPr>
          <w:rFonts w:ascii="Arial" w:hAnsi="Arial" w:cs="Arial"/>
          <w:b/>
          <w:color w:val="auto"/>
          <w:sz w:val="22"/>
          <w:szCs w:val="22"/>
          <w:lang w:val="en-US"/>
        </w:rPr>
        <w:t>1</w:t>
      </w:r>
      <w:r w:rsidRPr="00E128FE">
        <w:rPr>
          <w:rFonts w:ascii="Arial" w:hAnsi="Arial" w:cs="Arial"/>
          <w:b/>
          <w:color w:val="auto"/>
          <w:sz w:val="22"/>
          <w:szCs w:val="22"/>
          <w:lang w:val="en-US"/>
        </w:rPr>
        <w:t xml:space="preserve">. </w:t>
      </w:r>
      <w:r w:rsidRPr="00E128FE">
        <w:rPr>
          <w:rFonts w:ascii="Arial" w:hAnsi="Arial" w:cs="Arial"/>
          <w:color w:val="auto"/>
          <w:sz w:val="22"/>
          <w:szCs w:val="22"/>
          <w:lang w:val="en-US"/>
        </w:rPr>
        <w:t>Consort Flow Diagram</w:t>
      </w:r>
      <w:r w:rsidR="002270E9" w:rsidRPr="00E128FE">
        <w:rPr>
          <w:rFonts w:ascii="Arial" w:hAnsi="Arial" w:cs="Arial"/>
          <w:color w:val="auto"/>
          <w:sz w:val="22"/>
          <w:szCs w:val="22"/>
          <w:lang w:val="en-US"/>
        </w:rPr>
        <w:t>.</w:t>
      </w:r>
      <w:bookmarkEnd w:id="3"/>
    </w:p>
    <w:p w14:paraId="5CA1696F" w14:textId="77777777" w:rsidR="008C6990" w:rsidRPr="00E128FE" w:rsidRDefault="008C6990" w:rsidP="008C6990">
      <w:pPr>
        <w:rPr>
          <w:rFonts w:ascii="Arial" w:hAnsi="Arial" w:cs="Arial"/>
          <w:b/>
          <w:lang w:val="en-US"/>
        </w:rPr>
      </w:pPr>
    </w:p>
    <w:p w14:paraId="3756AFB3" w14:textId="77777777" w:rsidR="008C6990" w:rsidRPr="00E128FE" w:rsidRDefault="008C6990" w:rsidP="008C6990">
      <w:pPr>
        <w:rPr>
          <w:rFonts w:ascii="Arial" w:hAnsi="Arial" w:cs="Arial"/>
          <w:b/>
          <w:lang w:val="en-US"/>
        </w:rPr>
      </w:pPr>
      <w:r w:rsidRPr="00E128FE">
        <w:rPr>
          <w:rFonts w:ascii="Arial" w:hAnsi="Arial" w:cs="Arial"/>
          <w:b/>
          <w:noProof/>
          <w:lang w:val="en-US"/>
        </w:rPr>
        <w:drawing>
          <wp:inline distT="0" distB="0" distL="0" distR="0" wp14:anchorId="128C8A0A" wp14:editId="34985C74">
            <wp:extent cx="5760720" cy="3242092"/>
            <wp:effectExtent l="0" t="0" r="0" b="0"/>
            <wp:docPr id="1" name="Grafik 1" descr="Z:\Daten_Prochaska\EmDIA\Projekte\Hauptauswertung\Manuskript\Figure_Consort Flow Diagram 2021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_Prochaska\EmDIA\Projekte\Hauptauswertung\Manuskript\Figure_Consort Flow Diagram 202102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2092"/>
                    </a:xfrm>
                    <a:prstGeom prst="rect">
                      <a:avLst/>
                    </a:prstGeom>
                    <a:noFill/>
                    <a:ln>
                      <a:noFill/>
                    </a:ln>
                  </pic:spPr>
                </pic:pic>
              </a:graphicData>
            </a:graphic>
          </wp:inline>
        </w:drawing>
      </w:r>
      <w:bookmarkStart w:id="4" w:name="_GoBack"/>
      <w:bookmarkEnd w:id="4"/>
      <w:r w:rsidRPr="00E128FE">
        <w:rPr>
          <w:rFonts w:ascii="Arial" w:hAnsi="Arial" w:cs="Arial"/>
          <w:b/>
          <w:lang w:val="en-US"/>
        </w:rPr>
        <w:br w:type="page"/>
      </w:r>
    </w:p>
    <w:p w14:paraId="139F40D8" w14:textId="38708321" w:rsidR="00A5572F" w:rsidRPr="00E128FE" w:rsidRDefault="00A5572F" w:rsidP="00C37883">
      <w:pPr>
        <w:pStyle w:val="Heading1"/>
        <w:tabs>
          <w:tab w:val="left" w:pos="2127"/>
        </w:tabs>
        <w:spacing w:before="0" w:line="480" w:lineRule="auto"/>
        <w:ind w:left="2268" w:hanging="2268"/>
        <w:rPr>
          <w:rFonts w:ascii="Arial" w:hAnsi="Arial" w:cs="Arial"/>
          <w:b/>
          <w:color w:val="auto"/>
          <w:sz w:val="22"/>
          <w:lang w:val="en-US"/>
        </w:rPr>
      </w:pPr>
      <w:bookmarkStart w:id="5" w:name="_Toc66278940"/>
      <w:r w:rsidRPr="00E128FE">
        <w:rPr>
          <w:rFonts w:ascii="Arial" w:hAnsi="Arial" w:cs="Arial"/>
          <w:b/>
          <w:color w:val="auto"/>
          <w:sz w:val="22"/>
          <w:lang w:val="en-US"/>
        </w:rPr>
        <w:t xml:space="preserve">Supplemental Figure </w:t>
      </w:r>
      <w:r w:rsidR="002270E9" w:rsidRPr="00E128FE">
        <w:rPr>
          <w:rFonts w:ascii="Arial" w:hAnsi="Arial" w:cs="Arial"/>
          <w:b/>
          <w:color w:val="auto"/>
          <w:sz w:val="22"/>
          <w:lang w:val="en-US"/>
        </w:rPr>
        <w:t>2</w:t>
      </w:r>
      <w:r w:rsidRPr="00E128FE">
        <w:rPr>
          <w:rFonts w:ascii="Arial" w:hAnsi="Arial" w:cs="Arial"/>
          <w:b/>
          <w:color w:val="auto"/>
          <w:sz w:val="22"/>
          <w:lang w:val="en-US"/>
        </w:rPr>
        <w:t xml:space="preserve">. </w:t>
      </w:r>
      <w:r w:rsidR="00CA1EDE" w:rsidRPr="00E128FE">
        <w:rPr>
          <w:rFonts w:ascii="Arial" w:hAnsi="Arial" w:cs="Arial"/>
          <w:color w:val="auto"/>
          <w:sz w:val="22"/>
          <w:lang w:val="en-US"/>
        </w:rPr>
        <w:t xml:space="preserve">Effect of empagliflozin </w:t>
      </w:r>
      <w:r w:rsidR="002C7EB3" w:rsidRPr="00E128FE">
        <w:rPr>
          <w:rFonts w:ascii="Arial" w:hAnsi="Arial" w:cs="Arial"/>
          <w:color w:val="auto"/>
          <w:sz w:val="22"/>
          <w:lang w:val="en-US"/>
        </w:rPr>
        <w:t>10mg/day versus placebo on E/</w:t>
      </w:r>
      <w:r w:rsidR="00C50ACB" w:rsidRPr="00E128FE">
        <w:rPr>
          <w:rFonts w:ascii="Arial" w:hAnsi="Arial" w:cs="Arial"/>
          <w:color w:val="auto"/>
          <w:sz w:val="22"/>
          <w:lang w:val="en-US"/>
        </w:rPr>
        <w:t>é</w:t>
      </w:r>
      <w:r w:rsidR="007C7E0E" w:rsidRPr="00E128FE">
        <w:rPr>
          <w:rFonts w:ascii="Arial" w:hAnsi="Arial" w:cs="Arial"/>
          <w:color w:val="auto"/>
          <w:sz w:val="22"/>
          <w:lang w:val="en-US"/>
        </w:rPr>
        <w:t>´ ratio after 1 and 12 weeks of intervention in the per-protocol sample.</w:t>
      </w:r>
      <w:bookmarkEnd w:id="5"/>
    </w:p>
    <w:p w14:paraId="5F8757A3" w14:textId="77777777" w:rsidR="00356EB0" w:rsidRPr="00E128FE" w:rsidRDefault="00356EB0">
      <w:pPr>
        <w:rPr>
          <w:rFonts w:ascii="Arial" w:hAnsi="Arial" w:cs="Arial"/>
          <w:lang w:val="en-US"/>
        </w:rPr>
      </w:pPr>
    </w:p>
    <w:p w14:paraId="6639F8C1" w14:textId="77777777" w:rsidR="00356EB0" w:rsidRPr="00E128FE" w:rsidRDefault="00356EB0" w:rsidP="00356EB0">
      <w:pPr>
        <w:ind w:left="708" w:hanging="708"/>
        <w:rPr>
          <w:rFonts w:ascii="Arial" w:hAnsi="Arial" w:cs="Arial"/>
          <w:lang w:val="en-US"/>
        </w:rPr>
      </w:pPr>
      <w:r w:rsidRPr="00E128FE">
        <w:rPr>
          <w:rFonts w:ascii="Arial" w:hAnsi="Arial" w:cs="Arial"/>
          <w:noProof/>
          <w:lang w:val="en-US"/>
        </w:rPr>
        <w:drawing>
          <wp:inline distT="0" distB="0" distL="0" distR="0" wp14:anchorId="541F982B" wp14:editId="5B1D9524">
            <wp:extent cx="5760720" cy="2778125"/>
            <wp:effectExtent l="0" t="0" r="0" b="3175"/>
            <wp:docPr id="5" name="Bildplatzhalter 4" descr="Tables_Figures 20210218 - PowerPoin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Bildplatzhalter 4" descr="Tables_Figures 20210218 - PowerPoint"/>
                    <pic:cNvPicPr>
                      <a:picLocks noGrp="1" noChangeAspect="1"/>
                    </pic:cNvPicPr>
                  </pic:nvPicPr>
                  <pic:blipFill>
                    <a:blip r:embed="rId8">
                      <a:extLst>
                        <a:ext uri="{28A0092B-C50C-407E-A947-70E740481C1C}">
                          <a14:useLocalDpi xmlns:a14="http://schemas.microsoft.com/office/drawing/2010/main" val="0"/>
                        </a:ext>
                      </a:extLst>
                    </a:blip>
                    <a:srcRect/>
                    <a:stretch>
                      <a:fillRect/>
                    </a:stretch>
                  </pic:blipFill>
                  <pic:spPr>
                    <a:xfrm>
                      <a:off x="0" y="0"/>
                      <a:ext cx="5760720" cy="2778125"/>
                    </a:xfrm>
                    <a:prstGeom prst="rect">
                      <a:avLst/>
                    </a:prstGeom>
                  </pic:spPr>
                </pic:pic>
              </a:graphicData>
            </a:graphic>
          </wp:inline>
        </w:drawing>
      </w:r>
    </w:p>
    <w:p w14:paraId="5908FD92" w14:textId="6A6ACCD1" w:rsidR="00356EB0" w:rsidRPr="00E128FE" w:rsidRDefault="00356EB0" w:rsidP="00356EB0">
      <w:pPr>
        <w:rPr>
          <w:rFonts w:ascii="Arial" w:hAnsi="Arial" w:cs="Arial"/>
          <w:lang w:val="en-US"/>
        </w:rPr>
      </w:pPr>
      <w:r w:rsidRPr="00E128FE">
        <w:rPr>
          <w:rFonts w:ascii="Arial" w:hAnsi="Arial" w:cs="Arial"/>
          <w:lang w:val="en-US"/>
        </w:rPr>
        <w:t>Linear regression model with adjustment for age, sex, and E/</w:t>
      </w:r>
      <w:r w:rsidR="00C50ACB" w:rsidRPr="00E128FE">
        <w:rPr>
          <w:rFonts w:ascii="Arial" w:hAnsi="Arial" w:cs="Arial"/>
          <w:lang w:val="en-US"/>
        </w:rPr>
        <w:t>e</w:t>
      </w:r>
      <w:r w:rsidRPr="00E128FE">
        <w:rPr>
          <w:rFonts w:ascii="Arial" w:hAnsi="Arial" w:cs="Arial"/>
          <w:lang w:val="en-US"/>
        </w:rPr>
        <w:t>´ ratio at baseline. Dependent variable: left ventricular E/</w:t>
      </w:r>
      <w:r w:rsidR="00C50ACB" w:rsidRPr="00E128FE">
        <w:rPr>
          <w:rFonts w:ascii="Arial" w:hAnsi="Arial" w:cs="Arial"/>
          <w:lang w:val="en-US"/>
        </w:rPr>
        <w:t>e</w:t>
      </w:r>
      <w:r w:rsidRPr="00E128FE">
        <w:rPr>
          <w:rFonts w:ascii="Arial" w:hAnsi="Arial" w:cs="Arial"/>
          <w:lang w:val="en-US"/>
        </w:rPr>
        <w:t xml:space="preserve">´ ratio after 1 and 12 weeks of intervention, respectively. Predictor: β-estimate with 95% confidence interval (CI) is provided for empagliflozin (10mg/day) versus placebo. </w:t>
      </w:r>
    </w:p>
    <w:p w14:paraId="48F4B4BD" w14:textId="77777777" w:rsidR="00A5572F" w:rsidRPr="00E128FE" w:rsidRDefault="00A5572F" w:rsidP="00356EB0">
      <w:pPr>
        <w:rPr>
          <w:rFonts w:ascii="Arial" w:hAnsi="Arial" w:cs="Arial"/>
          <w:lang w:val="en-US"/>
        </w:rPr>
      </w:pPr>
      <w:r w:rsidRPr="00E128FE">
        <w:rPr>
          <w:rFonts w:ascii="Arial" w:hAnsi="Arial" w:cs="Arial"/>
          <w:lang w:val="en-US"/>
        </w:rPr>
        <w:br w:type="page"/>
      </w:r>
    </w:p>
    <w:p w14:paraId="6EC6834F" w14:textId="19851FF0" w:rsidR="00F72A43" w:rsidRPr="00E128FE" w:rsidRDefault="00F72A43">
      <w:pPr>
        <w:rPr>
          <w:rFonts w:ascii="Arial" w:hAnsi="Arial" w:cs="Arial"/>
          <w:b/>
          <w:lang w:val="en-US"/>
        </w:rPr>
      </w:pPr>
      <w:r w:rsidRPr="00E128FE">
        <w:rPr>
          <w:rFonts w:ascii="Arial" w:hAnsi="Arial" w:cs="Arial"/>
          <w:b/>
          <w:lang w:val="en-US"/>
        </w:rPr>
        <w:t>References</w:t>
      </w:r>
    </w:p>
    <w:p w14:paraId="2326EEF0" w14:textId="77777777" w:rsidR="0001036F" w:rsidRPr="00E128FE" w:rsidRDefault="0001036F">
      <w:pPr>
        <w:rPr>
          <w:rFonts w:ascii="Arial" w:hAnsi="Arial" w:cs="Arial"/>
          <w:b/>
          <w:lang w:val="en-US"/>
        </w:rPr>
      </w:pPr>
    </w:p>
    <w:p w14:paraId="7B1634EA" w14:textId="77777777" w:rsidR="009219DD" w:rsidRPr="00E128FE" w:rsidRDefault="00F72A43" w:rsidP="009219DD">
      <w:pPr>
        <w:pStyle w:val="EndNoteBibliography"/>
        <w:spacing w:after="240"/>
      </w:pPr>
      <w:r w:rsidRPr="00E128FE">
        <w:rPr>
          <w:sz w:val="20"/>
        </w:rPr>
        <w:fldChar w:fldCharType="begin"/>
      </w:r>
      <w:r w:rsidRPr="00E128FE">
        <w:instrText xml:space="preserve"> ADDIN EN.REFLIST </w:instrText>
      </w:r>
      <w:r w:rsidRPr="00E128FE">
        <w:rPr>
          <w:sz w:val="20"/>
        </w:rPr>
        <w:fldChar w:fldCharType="separate"/>
      </w:r>
      <w:r w:rsidR="009219DD" w:rsidRPr="00E128FE">
        <w:t>1.</w:t>
      </w:r>
      <w:r w:rsidR="009219DD" w:rsidRPr="00E128FE">
        <w:tab/>
        <w:t xml:space="preserve">Otgonsuren M, Estep MJ, Hossain N, Younossi E, Frost S, Henry L, Hunt S, Fang Y, Goodman Z and Younossi ZM. Single non-invasive model to diagnose non-alcoholic fatty liver disease (NAFLD) and non-alcoholic steatohepatitis (NASH). </w:t>
      </w:r>
      <w:r w:rsidR="009219DD" w:rsidRPr="00E128FE">
        <w:rPr>
          <w:i/>
        </w:rPr>
        <w:t>J Gastroenterol Hepatol</w:t>
      </w:r>
      <w:r w:rsidR="009219DD" w:rsidRPr="00E128FE">
        <w:t>. 2014;29:2006-13.</w:t>
      </w:r>
    </w:p>
    <w:p w14:paraId="70154AB1" w14:textId="77777777" w:rsidR="009219DD" w:rsidRPr="00E128FE" w:rsidRDefault="009219DD" w:rsidP="009219DD">
      <w:pPr>
        <w:pStyle w:val="EndNoteBibliography"/>
        <w:spacing w:after="240"/>
      </w:pPr>
      <w:r w:rsidRPr="00E128FE">
        <w:t>2.</w:t>
      </w:r>
      <w:r w:rsidRPr="00E128FE">
        <w:tab/>
        <w:t xml:space="preserve">Wild PS, Zeller T, Beutel M, Blettner M, Dugi KA, Lackner KJ, Pfeiffer N, Münzel T and Blankenberg S. [The Gutenberg Health Study]. </w:t>
      </w:r>
      <w:r w:rsidRPr="00E128FE">
        <w:rPr>
          <w:i/>
        </w:rPr>
        <w:t>Bundesgesundheitsblatt Gesundheitsforschung Gesundheitsschutz</w:t>
      </w:r>
      <w:r w:rsidRPr="00E128FE">
        <w:t>. 2012;55:824-9.</w:t>
      </w:r>
    </w:p>
    <w:p w14:paraId="1F3737D1" w14:textId="77777777" w:rsidR="009219DD" w:rsidRPr="00E128FE" w:rsidRDefault="009219DD" w:rsidP="009219DD">
      <w:pPr>
        <w:pStyle w:val="EndNoteBibliography"/>
        <w:spacing w:after="240"/>
      </w:pPr>
      <w:r w:rsidRPr="00E128FE">
        <w:t>3.</w:t>
      </w:r>
      <w:r w:rsidRPr="00E128FE">
        <w:tab/>
        <w:t xml:space="preserve">Yu LM, Chan AW, Hopewell S, Deeks JJ and Altman DG. Reporting on covariate adjustment in randomised controlled trials before and after revision of the 2001 CONSORT statement: a literature review. </w:t>
      </w:r>
      <w:r w:rsidRPr="00E128FE">
        <w:rPr>
          <w:i/>
        </w:rPr>
        <w:t>Trials</w:t>
      </w:r>
      <w:r w:rsidRPr="00E128FE">
        <w:t>. 2010;11:59.</w:t>
      </w:r>
    </w:p>
    <w:p w14:paraId="151A266B" w14:textId="77777777" w:rsidR="009219DD" w:rsidRPr="00E128FE" w:rsidRDefault="009219DD" w:rsidP="009219DD">
      <w:pPr>
        <w:pStyle w:val="EndNoteBibliography"/>
      </w:pPr>
      <w:r w:rsidRPr="00E128FE">
        <w:t>4.</w:t>
      </w:r>
      <w:r w:rsidRPr="00E128FE">
        <w:tab/>
        <w:t xml:space="preserve">Levey AS, Stevens LA, Schmid CH, Zhang YL, Castro AF, 3rd, Feldman HI, Kusek JW, Eggers P, Van Lente F, Greene T and Coresh J. A new equation to estimate glomerular filtration rate. </w:t>
      </w:r>
      <w:r w:rsidRPr="00E128FE">
        <w:rPr>
          <w:i/>
        </w:rPr>
        <w:t>Ann Intern Med</w:t>
      </w:r>
      <w:r w:rsidRPr="00E128FE">
        <w:t>. 2009;150:604-12.</w:t>
      </w:r>
    </w:p>
    <w:p w14:paraId="7600AA27" w14:textId="2E3C2ACC" w:rsidR="00F72A43" w:rsidRPr="00E128FE" w:rsidRDefault="00F72A43" w:rsidP="0001036F">
      <w:pPr>
        <w:spacing w:after="0" w:line="480" w:lineRule="auto"/>
        <w:ind w:left="425" w:hanging="425"/>
        <w:rPr>
          <w:rFonts w:ascii="Arial" w:hAnsi="Arial" w:cs="Arial"/>
          <w:lang w:val="en-US"/>
        </w:rPr>
      </w:pPr>
      <w:r w:rsidRPr="00E128FE">
        <w:rPr>
          <w:rFonts w:ascii="Arial" w:hAnsi="Arial" w:cs="Arial"/>
          <w:lang w:val="en-US"/>
        </w:rPr>
        <w:fldChar w:fldCharType="end"/>
      </w:r>
    </w:p>
    <w:sectPr w:rsidR="00F72A43" w:rsidRPr="00E128FE" w:rsidSect="00470891">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07C4C" w14:textId="77777777" w:rsidR="00FF0A6B" w:rsidRDefault="00FF0A6B" w:rsidP="000C2C1A">
      <w:pPr>
        <w:spacing w:after="0" w:line="240" w:lineRule="auto"/>
      </w:pPr>
      <w:r>
        <w:separator/>
      </w:r>
    </w:p>
  </w:endnote>
  <w:endnote w:type="continuationSeparator" w:id="0">
    <w:p w14:paraId="7D39B59F" w14:textId="77777777" w:rsidR="00FF0A6B" w:rsidRDefault="00FF0A6B" w:rsidP="000C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955478714"/>
      <w:docPartObj>
        <w:docPartGallery w:val="Page Numbers (Bottom of Page)"/>
        <w:docPartUnique/>
      </w:docPartObj>
    </w:sdtPr>
    <w:sdtEndPr/>
    <w:sdtContent>
      <w:p w14:paraId="600D7AF5" w14:textId="01C93517" w:rsidR="000C2C1A" w:rsidRPr="000C2C1A" w:rsidRDefault="000C2C1A" w:rsidP="000C2C1A">
        <w:pPr>
          <w:pStyle w:val="Footer"/>
          <w:jc w:val="right"/>
          <w:rPr>
            <w:rFonts w:ascii="Arial" w:hAnsi="Arial" w:cs="Arial"/>
          </w:rPr>
        </w:pPr>
        <w:r w:rsidRPr="000C2C1A">
          <w:rPr>
            <w:rFonts w:ascii="Arial" w:hAnsi="Arial" w:cs="Arial"/>
          </w:rPr>
          <w:fldChar w:fldCharType="begin"/>
        </w:r>
        <w:r w:rsidRPr="000C2C1A">
          <w:rPr>
            <w:rFonts w:ascii="Arial" w:hAnsi="Arial" w:cs="Arial"/>
          </w:rPr>
          <w:instrText>PAGE   \* MERGEFORMAT</w:instrText>
        </w:r>
        <w:r w:rsidRPr="000C2C1A">
          <w:rPr>
            <w:rFonts w:ascii="Arial" w:hAnsi="Arial" w:cs="Arial"/>
          </w:rPr>
          <w:fldChar w:fldCharType="separate"/>
        </w:r>
        <w:r w:rsidR="00EB04E5">
          <w:rPr>
            <w:rFonts w:ascii="Arial" w:hAnsi="Arial" w:cs="Arial"/>
            <w:noProof/>
          </w:rPr>
          <w:t>4</w:t>
        </w:r>
        <w:r w:rsidRPr="000C2C1A">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112FD" w14:textId="77777777" w:rsidR="00FF0A6B" w:rsidRDefault="00FF0A6B" w:rsidP="000C2C1A">
      <w:pPr>
        <w:spacing w:after="0" w:line="240" w:lineRule="auto"/>
      </w:pPr>
      <w:r>
        <w:separator/>
      </w:r>
    </w:p>
  </w:footnote>
  <w:footnote w:type="continuationSeparator" w:id="0">
    <w:p w14:paraId="55541302" w14:textId="77777777" w:rsidR="00FF0A6B" w:rsidRDefault="00FF0A6B" w:rsidP="000C2C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e9axrapsypfpexe95zuvdx90fzvdx5a0atex&quot;&gt;EmDia&lt;record-ids&gt;&lt;item&gt;39&lt;/item&gt;&lt;item&gt;40&lt;/item&gt;&lt;item&gt;82&lt;/item&gt;&lt;item&gt;83&lt;/item&gt;&lt;/record-ids&gt;&lt;/item&gt;&lt;/Libraries&gt;"/>
  </w:docVars>
  <w:rsids>
    <w:rsidRoot w:val="000965BC"/>
    <w:rsid w:val="0001036F"/>
    <w:rsid w:val="00037442"/>
    <w:rsid w:val="00044BB0"/>
    <w:rsid w:val="00051707"/>
    <w:rsid w:val="000965BC"/>
    <w:rsid w:val="000A3E3B"/>
    <w:rsid w:val="000B6C5E"/>
    <w:rsid w:val="000C2C1A"/>
    <w:rsid w:val="000C39D4"/>
    <w:rsid w:val="000F7600"/>
    <w:rsid w:val="00125DF4"/>
    <w:rsid w:val="00161207"/>
    <w:rsid w:val="00166085"/>
    <w:rsid w:val="001A75F4"/>
    <w:rsid w:val="001C477C"/>
    <w:rsid w:val="002078C4"/>
    <w:rsid w:val="002270E9"/>
    <w:rsid w:val="002525C3"/>
    <w:rsid w:val="00280D95"/>
    <w:rsid w:val="00291ABB"/>
    <w:rsid w:val="00296E3A"/>
    <w:rsid w:val="002C7EB3"/>
    <w:rsid w:val="00314D58"/>
    <w:rsid w:val="00336806"/>
    <w:rsid w:val="003566C5"/>
    <w:rsid w:val="00356EB0"/>
    <w:rsid w:val="00377116"/>
    <w:rsid w:val="003A5C9C"/>
    <w:rsid w:val="003B0319"/>
    <w:rsid w:val="003F5CDF"/>
    <w:rsid w:val="004066EC"/>
    <w:rsid w:val="00470891"/>
    <w:rsid w:val="004B785D"/>
    <w:rsid w:val="004B78FC"/>
    <w:rsid w:val="004B79F7"/>
    <w:rsid w:val="004E48FE"/>
    <w:rsid w:val="004F7B11"/>
    <w:rsid w:val="0050318D"/>
    <w:rsid w:val="00540B23"/>
    <w:rsid w:val="005478BB"/>
    <w:rsid w:val="005574BB"/>
    <w:rsid w:val="005744D1"/>
    <w:rsid w:val="005C54C7"/>
    <w:rsid w:val="005C5FB6"/>
    <w:rsid w:val="00644A41"/>
    <w:rsid w:val="006931A3"/>
    <w:rsid w:val="006C65D5"/>
    <w:rsid w:val="00713042"/>
    <w:rsid w:val="0075770A"/>
    <w:rsid w:val="00762B5A"/>
    <w:rsid w:val="00763A6E"/>
    <w:rsid w:val="00771A1C"/>
    <w:rsid w:val="007A6B73"/>
    <w:rsid w:val="007C7E0E"/>
    <w:rsid w:val="007F2614"/>
    <w:rsid w:val="00833E89"/>
    <w:rsid w:val="008C6990"/>
    <w:rsid w:val="008D2797"/>
    <w:rsid w:val="009219DD"/>
    <w:rsid w:val="009831D7"/>
    <w:rsid w:val="00996E86"/>
    <w:rsid w:val="009B09C9"/>
    <w:rsid w:val="009D2928"/>
    <w:rsid w:val="00A5572F"/>
    <w:rsid w:val="00A925F1"/>
    <w:rsid w:val="00AA4E4F"/>
    <w:rsid w:val="00AA5644"/>
    <w:rsid w:val="00AB17E2"/>
    <w:rsid w:val="00AD6C6F"/>
    <w:rsid w:val="00AD7F9B"/>
    <w:rsid w:val="00AE7F95"/>
    <w:rsid w:val="00AF14FF"/>
    <w:rsid w:val="00B107BE"/>
    <w:rsid w:val="00B5786D"/>
    <w:rsid w:val="00BA00CC"/>
    <w:rsid w:val="00BB26E8"/>
    <w:rsid w:val="00C101F7"/>
    <w:rsid w:val="00C37883"/>
    <w:rsid w:val="00C379BC"/>
    <w:rsid w:val="00C50ACB"/>
    <w:rsid w:val="00C73FAE"/>
    <w:rsid w:val="00CA1EDE"/>
    <w:rsid w:val="00CB12D1"/>
    <w:rsid w:val="00CC0031"/>
    <w:rsid w:val="00D50978"/>
    <w:rsid w:val="00DD3CEC"/>
    <w:rsid w:val="00DD79EE"/>
    <w:rsid w:val="00E128FE"/>
    <w:rsid w:val="00E242AB"/>
    <w:rsid w:val="00E30DE3"/>
    <w:rsid w:val="00E35538"/>
    <w:rsid w:val="00E671FA"/>
    <w:rsid w:val="00E712A3"/>
    <w:rsid w:val="00E76A4F"/>
    <w:rsid w:val="00E84F1C"/>
    <w:rsid w:val="00E871D1"/>
    <w:rsid w:val="00EB04E5"/>
    <w:rsid w:val="00EB362B"/>
    <w:rsid w:val="00EC3AE8"/>
    <w:rsid w:val="00ED12BC"/>
    <w:rsid w:val="00F72A43"/>
    <w:rsid w:val="00FB3B62"/>
    <w:rsid w:val="00FE171C"/>
    <w:rsid w:val="00FF0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2C40"/>
  <w15:chartTrackingRefBased/>
  <w15:docId w15:val="{7E96492B-8FD5-48F8-A7AF-6948F856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70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79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F72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43"/>
    <w:rPr>
      <w:rFonts w:ascii="Segoe UI" w:hAnsi="Segoe UI" w:cs="Segoe UI"/>
      <w:sz w:val="18"/>
      <w:szCs w:val="18"/>
    </w:rPr>
  </w:style>
  <w:style w:type="paragraph" w:customStyle="1" w:styleId="EndNoteBibliographyTitle">
    <w:name w:val="EndNote Bibliography Title"/>
    <w:basedOn w:val="Normal"/>
    <w:link w:val="EndNoteBibliographyTitleZchn"/>
    <w:rsid w:val="00F72A43"/>
    <w:pPr>
      <w:spacing w:after="0"/>
      <w:jc w:val="center"/>
    </w:pPr>
    <w:rPr>
      <w:rFonts w:ascii="Arial" w:hAnsi="Arial" w:cs="Arial"/>
      <w:noProof/>
      <w:lang w:val="en-US"/>
    </w:rPr>
  </w:style>
  <w:style w:type="character" w:customStyle="1" w:styleId="EndNoteBibliographyTitleZchn">
    <w:name w:val="EndNote Bibliography Title Zchn"/>
    <w:basedOn w:val="DefaultParagraphFont"/>
    <w:link w:val="EndNoteBibliographyTitle"/>
    <w:rsid w:val="00F72A43"/>
    <w:rPr>
      <w:rFonts w:ascii="Arial" w:hAnsi="Arial" w:cs="Arial"/>
      <w:noProof/>
      <w:lang w:val="en-US"/>
    </w:rPr>
  </w:style>
  <w:style w:type="paragraph" w:customStyle="1" w:styleId="EndNoteBibliography">
    <w:name w:val="EndNote Bibliography"/>
    <w:basedOn w:val="Normal"/>
    <w:link w:val="EndNoteBibliographyZchn"/>
    <w:rsid w:val="00F72A43"/>
    <w:pPr>
      <w:spacing w:line="240" w:lineRule="auto"/>
    </w:pPr>
    <w:rPr>
      <w:rFonts w:ascii="Arial" w:hAnsi="Arial" w:cs="Arial"/>
      <w:noProof/>
      <w:lang w:val="en-US"/>
    </w:rPr>
  </w:style>
  <w:style w:type="character" w:customStyle="1" w:styleId="EndNoteBibliographyZchn">
    <w:name w:val="EndNote Bibliography Zchn"/>
    <w:basedOn w:val="DefaultParagraphFont"/>
    <w:link w:val="EndNoteBibliography"/>
    <w:rsid w:val="00F72A43"/>
    <w:rPr>
      <w:rFonts w:ascii="Arial" w:hAnsi="Arial" w:cs="Arial"/>
      <w:noProof/>
      <w:lang w:val="en-US"/>
    </w:rPr>
  </w:style>
  <w:style w:type="character" w:styleId="Hyperlink">
    <w:name w:val="Hyperlink"/>
    <w:basedOn w:val="DefaultParagraphFont"/>
    <w:uiPriority w:val="99"/>
    <w:unhideWhenUsed/>
    <w:rsid w:val="000F7600"/>
    <w:rPr>
      <w:color w:val="0563C1" w:themeColor="hyperlink"/>
      <w:u w:val="single"/>
    </w:rPr>
  </w:style>
  <w:style w:type="character" w:styleId="CommentReference">
    <w:name w:val="annotation reference"/>
    <w:basedOn w:val="DefaultParagraphFont"/>
    <w:uiPriority w:val="99"/>
    <w:semiHidden/>
    <w:unhideWhenUsed/>
    <w:rsid w:val="000F7600"/>
    <w:rPr>
      <w:sz w:val="16"/>
      <w:szCs w:val="16"/>
    </w:rPr>
  </w:style>
  <w:style w:type="paragraph" w:styleId="CommentText">
    <w:name w:val="annotation text"/>
    <w:basedOn w:val="Normal"/>
    <w:link w:val="CommentTextChar"/>
    <w:uiPriority w:val="99"/>
    <w:semiHidden/>
    <w:unhideWhenUsed/>
    <w:rsid w:val="000F7600"/>
    <w:pPr>
      <w:spacing w:after="20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0F7600"/>
    <w:rPr>
      <w:rFonts w:ascii="Calibri" w:eastAsia="Calibri" w:hAnsi="Calibri" w:cs="Calibri"/>
      <w:sz w:val="20"/>
      <w:szCs w:val="20"/>
    </w:rPr>
  </w:style>
  <w:style w:type="character" w:customStyle="1" w:styleId="Heading1Char">
    <w:name w:val="Heading 1 Char"/>
    <w:basedOn w:val="DefaultParagraphFont"/>
    <w:link w:val="Heading1"/>
    <w:uiPriority w:val="9"/>
    <w:rsid w:val="002270E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270E9"/>
    <w:pPr>
      <w:outlineLvl w:val="9"/>
    </w:pPr>
    <w:rPr>
      <w:lang w:eastAsia="de-DE"/>
    </w:rPr>
  </w:style>
  <w:style w:type="paragraph" w:styleId="TOC1">
    <w:name w:val="toc 1"/>
    <w:basedOn w:val="Normal"/>
    <w:next w:val="Normal"/>
    <w:autoRedefine/>
    <w:uiPriority w:val="39"/>
    <w:unhideWhenUsed/>
    <w:rsid w:val="002270E9"/>
    <w:pPr>
      <w:spacing w:after="100"/>
    </w:pPr>
  </w:style>
  <w:style w:type="paragraph" w:styleId="CommentSubject">
    <w:name w:val="annotation subject"/>
    <w:basedOn w:val="CommentText"/>
    <w:next w:val="CommentText"/>
    <w:link w:val="CommentSubjectChar"/>
    <w:uiPriority w:val="99"/>
    <w:semiHidden/>
    <w:unhideWhenUsed/>
    <w:rsid w:val="00FE171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E171C"/>
    <w:rPr>
      <w:rFonts w:ascii="Calibri" w:eastAsia="Calibri" w:hAnsi="Calibri" w:cs="Calibri"/>
      <w:b/>
      <w:bCs/>
      <w:sz w:val="20"/>
      <w:szCs w:val="20"/>
    </w:rPr>
  </w:style>
  <w:style w:type="paragraph" w:styleId="Header">
    <w:name w:val="header"/>
    <w:basedOn w:val="Normal"/>
    <w:link w:val="HeaderChar"/>
    <w:uiPriority w:val="99"/>
    <w:unhideWhenUsed/>
    <w:rsid w:val="000C2C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2C1A"/>
  </w:style>
  <w:style w:type="paragraph" w:styleId="Footer">
    <w:name w:val="footer"/>
    <w:basedOn w:val="Normal"/>
    <w:link w:val="FooterChar"/>
    <w:uiPriority w:val="99"/>
    <w:unhideWhenUsed/>
    <w:rsid w:val="000C2C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2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60589">
      <w:bodyDiv w:val="1"/>
      <w:marLeft w:val="0"/>
      <w:marRight w:val="0"/>
      <w:marTop w:val="0"/>
      <w:marBottom w:val="0"/>
      <w:divBdr>
        <w:top w:val="none" w:sz="0" w:space="0" w:color="auto"/>
        <w:left w:val="none" w:sz="0" w:space="0" w:color="auto"/>
        <w:bottom w:val="none" w:sz="0" w:space="0" w:color="auto"/>
        <w:right w:val="none" w:sz="0" w:space="0" w:color="auto"/>
      </w:divBdr>
    </w:div>
    <w:div w:id="996878590">
      <w:bodyDiv w:val="1"/>
      <w:marLeft w:val="0"/>
      <w:marRight w:val="0"/>
      <w:marTop w:val="0"/>
      <w:marBottom w:val="0"/>
      <w:divBdr>
        <w:top w:val="none" w:sz="0" w:space="0" w:color="auto"/>
        <w:left w:val="none" w:sz="0" w:space="0" w:color="auto"/>
        <w:bottom w:val="none" w:sz="0" w:space="0" w:color="auto"/>
        <w:right w:val="none" w:sz="0" w:space="0" w:color="auto"/>
      </w:divBdr>
    </w:div>
    <w:div w:id="160722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7B9F-756E-4A38-B7CE-864AE1F0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2370</Words>
  <Characters>13514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GHS</Company>
  <LinksUpToDate>false</LinksUpToDate>
  <CharactersWithSpaces>15853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Prochaska</dc:creator>
  <cp:keywords/>
  <dc:description/>
  <cp:lastModifiedBy>Paul Alexander D.</cp:lastModifiedBy>
  <cp:revision>20</cp:revision>
  <dcterms:created xsi:type="dcterms:W3CDTF">2021-03-19T17:26:00Z</dcterms:created>
  <dcterms:modified xsi:type="dcterms:W3CDTF">2023-02-04T05:47:00Z</dcterms:modified>
</cp:coreProperties>
</file>