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A61CF" w14:textId="77777777" w:rsidR="00B53D6D" w:rsidRDefault="009A1F24">
      <w:pPr>
        <w:ind w:left="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Data</w:t>
      </w:r>
    </w:p>
    <w:p w14:paraId="5E871EF5" w14:textId="77777777" w:rsidR="00B53D6D" w:rsidRDefault="00B53D6D">
      <w:pPr>
        <w:ind w:left="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BB9844" w14:textId="77777777" w:rsidR="00B53D6D" w:rsidRDefault="009A1F24">
      <w:pPr>
        <w:ind w:left="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8B0B9E" wp14:editId="12497861">
            <wp:simplePos x="0" y="0"/>
            <wp:positionH relativeFrom="column">
              <wp:posOffset>-635</wp:posOffset>
            </wp:positionH>
            <wp:positionV relativeFrom="paragraph">
              <wp:posOffset>104775</wp:posOffset>
            </wp:positionV>
            <wp:extent cx="4444365" cy="3016250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D1476" w14:textId="77777777" w:rsidR="00B53D6D" w:rsidRDefault="00B53D6D">
      <w:pPr>
        <w:ind w:left="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96CFB4" w14:textId="77777777" w:rsidR="00B53D6D" w:rsidRDefault="00B53D6D">
      <w:pPr>
        <w:ind w:left="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AB13B8" w14:textId="77777777" w:rsidR="00B53D6D" w:rsidRDefault="00B53D6D">
      <w:pPr>
        <w:ind w:left="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203FD4" w14:textId="77777777" w:rsidR="00B53D6D" w:rsidRDefault="00B53D6D">
      <w:pPr>
        <w:ind w:left="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3D7484" w14:textId="77777777" w:rsidR="00B53D6D" w:rsidRDefault="00B53D6D">
      <w:pPr>
        <w:ind w:left="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ABD740" w14:textId="77777777" w:rsidR="00B53D6D" w:rsidRDefault="00B53D6D">
      <w:pPr>
        <w:ind w:left="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D904A" w14:textId="77777777" w:rsidR="00B53D6D" w:rsidRDefault="00B53D6D">
      <w:pPr>
        <w:ind w:left="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4518C9" w14:textId="77777777" w:rsidR="00B53D6D" w:rsidRDefault="00B53D6D">
      <w:pPr>
        <w:ind w:left="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D4AFD0" w14:textId="77777777" w:rsidR="00B53D6D" w:rsidRDefault="00B53D6D">
      <w:pPr>
        <w:ind w:left="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699268" w14:textId="77777777" w:rsidR="00B53D6D" w:rsidRDefault="00B53D6D">
      <w:pPr>
        <w:ind w:left="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22836F" w14:textId="77777777" w:rsidR="00B53D6D" w:rsidRDefault="00B53D6D">
      <w:pPr>
        <w:ind w:left="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19297E" w14:textId="77777777" w:rsidR="00B53D6D" w:rsidRDefault="00B53D6D">
      <w:pPr>
        <w:ind w:left="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599D63" w14:textId="77777777" w:rsidR="00B53D6D" w:rsidRDefault="00B53D6D">
      <w:pPr>
        <w:ind w:left="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F7DE44" w14:textId="77777777" w:rsidR="00B53D6D" w:rsidRDefault="009A1F24">
      <w:pPr>
        <w:spacing w:line="480" w:lineRule="auto"/>
        <w:ind w:left="0" w:firstLineChars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Figure 1.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Sequence results</w:t>
      </w:r>
    </w:p>
    <w:p w14:paraId="0716C7D9" w14:textId="77777777" w:rsidR="00B53D6D" w:rsidRDefault="009A1F24">
      <w:pPr>
        <w:spacing w:line="480" w:lineRule="auto"/>
        <w:ind w:left="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sequences of both the patient and his mother, a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COQ6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 (NM_0182476.2) (c.782 C&gt;T) [p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Pro261Leu)] mutation was detected. This mutation has previously been reported.</w:t>
      </w:r>
    </w:p>
    <w:p w14:paraId="0FFD8E1A" w14:textId="77777777" w:rsidR="00B53D6D" w:rsidRDefault="00B53D6D">
      <w:pPr>
        <w:spacing w:line="480" w:lineRule="auto"/>
        <w:ind w:left="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412CC0" w14:textId="77777777" w:rsidR="00B53D6D" w:rsidRDefault="009A1F24">
      <w:pPr>
        <w:ind w:left="48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85E8929" w14:textId="77777777" w:rsidR="00B53D6D" w:rsidRDefault="009A1F24">
      <w:pPr>
        <w:spacing w:line="480" w:lineRule="auto"/>
        <w:ind w:left="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279BEA20" wp14:editId="2371A533">
            <wp:extent cx="5400040" cy="807969"/>
            <wp:effectExtent l="0" t="0" r="10160" b="5080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0A157" w14:textId="77777777" w:rsidR="00B53D6D" w:rsidRDefault="009A1F24">
      <w:pPr>
        <w:spacing w:line="480" w:lineRule="auto"/>
        <w:ind w:left="0" w:firstLineChars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Figure 2.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Pair analysis results of the patient using targeted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sequence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data</w:t>
      </w:r>
    </w:p>
    <w:p w14:paraId="61FA7054" w14:textId="77777777" w:rsidR="00B53D6D" w:rsidRDefault="009A1F24">
      <w:pPr>
        <w:spacing w:line="480" w:lineRule="auto"/>
        <w:ind w:left="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Upon calculation with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SureCall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application, calling of exons 1 and 2 in the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COQ6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 was performed. The log ratio of the region was under −1. We thus suspected that, in this region, the patient had one allele.</w:t>
      </w:r>
    </w:p>
    <w:p w14:paraId="5FB42BBE" w14:textId="77777777" w:rsidR="00B53D6D" w:rsidRDefault="00B53D6D">
      <w:pPr>
        <w:spacing w:line="480" w:lineRule="auto"/>
        <w:ind w:left="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FF0113" w14:textId="77777777" w:rsidR="00B53D6D" w:rsidRDefault="009A1F24">
      <w:pPr>
        <w:ind w:left="48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5AD902B4" w14:textId="77777777" w:rsidR="00B53D6D" w:rsidRDefault="009A1F24">
      <w:pPr>
        <w:spacing w:line="480" w:lineRule="auto"/>
        <w:ind w:left="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59DB5DD5" wp14:editId="4FAB9915">
            <wp:extent cx="5400040" cy="3191510"/>
            <wp:effectExtent l="0" t="0" r="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99432" w14:textId="77777777" w:rsidR="00B53D6D" w:rsidRDefault="00B53D6D">
      <w:pPr>
        <w:spacing w:line="480" w:lineRule="auto"/>
        <w:ind w:left="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C73613" w14:textId="77777777" w:rsidR="00B53D6D" w:rsidRDefault="009A1F24">
      <w:pPr>
        <w:spacing w:line="480" w:lineRule="auto"/>
        <w:ind w:left="0" w:firstLineChars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Figure 3.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Semi-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qPCR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results of the patient</w:t>
      </w:r>
    </w:p>
    <w:p w14:paraId="54727707" w14:textId="77777777" w:rsidR="00B53D6D" w:rsidRDefault="009A1F24">
      <w:pPr>
        <w:spacing w:line="480" w:lineRule="auto"/>
        <w:ind w:left="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Semi-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qPCR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showed that the bands of the patient and his father representing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COQ6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exon 1 were weaker than the other bands. The quantitative ratios (relative to the internal control) were 0.49 (the patient) and 0.49 (his father), while for almost all of the other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bands,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quantitative ratio was almost 1.0. Thus, both the patient and his father had a large heterozygous deletion in exon 1 of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COQ6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4D38C2" w14:textId="77777777" w:rsidR="00B53D6D" w:rsidRDefault="00B53D6D">
      <w:pPr>
        <w:spacing w:line="480" w:lineRule="auto"/>
        <w:ind w:left="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8755ED" w14:textId="77777777" w:rsidR="00B53D6D" w:rsidRDefault="00B53D6D">
      <w:pPr>
        <w:spacing w:line="480" w:lineRule="auto"/>
        <w:ind w:left="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F82AB5" w14:textId="77777777" w:rsidR="00B53D6D" w:rsidRDefault="00B53D6D">
      <w:pPr>
        <w:spacing w:line="480" w:lineRule="auto"/>
        <w:ind w:left="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8B31C8" w14:textId="77777777" w:rsidR="00B53D6D" w:rsidRDefault="00B53D6D">
      <w:pPr>
        <w:spacing w:line="480" w:lineRule="auto"/>
        <w:ind w:left="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0178D5" w14:textId="77777777" w:rsidR="00B53D6D" w:rsidRDefault="009A1F24">
      <w:pPr>
        <w:spacing w:line="480" w:lineRule="auto"/>
        <w:ind w:left="0" w:firstLineChars="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lastRenderedPageBreak/>
        <w:drawing>
          <wp:inline distT="0" distB="0" distL="0" distR="0" wp14:anchorId="051C9944" wp14:editId="353088FD">
            <wp:extent cx="4115435" cy="4228900"/>
            <wp:effectExtent l="0" t="0" r="0" b="0"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652" cy="422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55F8A" w14:textId="77777777" w:rsidR="00B53D6D" w:rsidRPr="00DA2467" w:rsidRDefault="009A1F24">
      <w:pPr>
        <w:spacing w:line="480" w:lineRule="auto"/>
        <w:ind w:left="0" w:firstLineChars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proofErr w:type="gramStart"/>
      <w:r w:rsidRPr="00DA24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Figure 4.</w:t>
      </w:r>
      <w:proofErr w:type="gramEnd"/>
      <w:r w:rsidRPr="00DA24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Quantitative PCR results of the patient</w:t>
      </w:r>
    </w:p>
    <w:p w14:paraId="25AF1B02" w14:textId="77777777" w:rsidR="00B53D6D" w:rsidRPr="00DA2467" w:rsidRDefault="009A1F24">
      <w:pPr>
        <w:spacing w:line="480" w:lineRule="auto"/>
        <w:ind w:left="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A2467">
        <w:rPr>
          <w:rFonts w:ascii="Times New Roman" w:hAnsi="Times New Roman" w:cs="Times New Roman"/>
          <w:color w:val="000000" w:themeColor="text1"/>
          <w:sz w:val="24"/>
          <w:szCs w:val="24"/>
        </w:rPr>
        <w:t>qPCR</w:t>
      </w:r>
      <w:proofErr w:type="spellEnd"/>
      <w:proofErr w:type="gramEnd"/>
      <w:r w:rsidRPr="00DA2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showed that the signals in the patient and his father representing </w:t>
      </w:r>
      <w:r w:rsidRPr="00DA24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COQ6</w:t>
      </w:r>
      <w:r w:rsidRPr="00DA2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exon 1 were weaker than those in his mother and the control. The quantitative ratio (relative to the internal control) was almost half</w:t>
      </w:r>
      <w:proofErr w:type="gramStart"/>
      <w:r w:rsidRPr="00DA2467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 w:rsidRPr="00DA2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while for almost all of the other exons, the quantitative ratio was almost 1.0. Thus, both the patient and his father had a large heterozygous deletion in exon 1 of </w:t>
      </w:r>
      <w:r w:rsidRPr="00DA24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COQ6</w:t>
      </w:r>
      <w:r w:rsidRPr="00DA24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0"/>
    <w:p w14:paraId="49ABE874" w14:textId="77777777" w:rsidR="00B53D6D" w:rsidRDefault="00B53D6D">
      <w:pPr>
        <w:ind w:left="199" w:hangingChars="83" w:hanging="19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0183FA" w14:textId="77777777" w:rsidR="00B53D6D" w:rsidRDefault="009A1F24">
      <w:pPr>
        <w:ind w:left="48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4C3105DB" w14:textId="77777777" w:rsidR="00B53D6D" w:rsidRDefault="009A1F24">
      <w:pPr>
        <w:ind w:left="520" w:hanging="5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Supplemental Table S1 Gene list for the targeted sequencing</w:t>
      </w:r>
    </w:p>
    <w:p w14:paraId="0FBA7BF4" w14:textId="77777777" w:rsidR="00B53D6D" w:rsidRDefault="00B53D6D">
      <w:pPr>
        <w:ind w:left="520" w:hanging="5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31E782" w14:textId="77777777" w:rsidR="00B53D6D" w:rsidRDefault="009A1F24">
      <w:pPr>
        <w:ind w:left="48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2043019" wp14:editId="15B5EEED">
            <wp:extent cx="5340350" cy="3137438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742" cy="315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3D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7AAE2" w14:textId="77777777" w:rsidR="00B53D6D" w:rsidRDefault="009A1F24">
      <w:pPr>
        <w:ind w:left="420" w:hanging="420"/>
      </w:pPr>
      <w:r>
        <w:separator/>
      </w:r>
    </w:p>
  </w:endnote>
  <w:endnote w:type="continuationSeparator" w:id="0">
    <w:p w14:paraId="3C2EDAF8" w14:textId="77777777" w:rsidR="00B53D6D" w:rsidRDefault="009A1F24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0000000000000000000"/>
    <w:charset w:val="4E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4E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F57D9" w14:textId="77777777" w:rsidR="00B53D6D" w:rsidRDefault="00B53D6D">
    <w:pPr>
      <w:pStyle w:val="a6"/>
      <w:ind w:left="420" w:hanging="4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D05EA" w14:textId="77777777" w:rsidR="00B53D6D" w:rsidRDefault="00B53D6D">
    <w:pPr>
      <w:pStyle w:val="a6"/>
      <w:ind w:left="420" w:hanging="4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90BFF" w14:textId="77777777" w:rsidR="00B53D6D" w:rsidRDefault="00B53D6D">
    <w:pPr>
      <w:pStyle w:val="a6"/>
      <w:ind w:left="420" w:hanging="4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BA447" w14:textId="77777777" w:rsidR="00B53D6D" w:rsidRDefault="009A1F24">
      <w:pPr>
        <w:ind w:left="420" w:hanging="420"/>
      </w:pPr>
      <w:r>
        <w:separator/>
      </w:r>
    </w:p>
  </w:footnote>
  <w:footnote w:type="continuationSeparator" w:id="0">
    <w:p w14:paraId="6BC711FF" w14:textId="77777777" w:rsidR="00B53D6D" w:rsidRDefault="009A1F24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DD5FD" w14:textId="77777777" w:rsidR="00B53D6D" w:rsidRDefault="00B53D6D">
    <w:pPr>
      <w:pStyle w:val="a4"/>
      <w:ind w:left="420" w:hanging="4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1425" w14:textId="77777777" w:rsidR="00B53D6D" w:rsidRDefault="00B53D6D">
    <w:pPr>
      <w:pStyle w:val="a4"/>
      <w:ind w:left="420" w:hanging="4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30750" w14:textId="77777777" w:rsidR="00B53D6D" w:rsidRDefault="00B53D6D">
    <w:pPr>
      <w:pStyle w:val="a4"/>
      <w:ind w:left="420" w:hanging="4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AD3"/>
    <w:multiLevelType w:val="hybridMultilevel"/>
    <w:tmpl w:val="B0E60928"/>
    <w:lvl w:ilvl="0" w:tplc="195C3D58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F9269A0"/>
    <w:multiLevelType w:val="hybridMultilevel"/>
    <w:tmpl w:val="2DCC71EA"/>
    <w:lvl w:ilvl="0" w:tplc="E6AE290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6B24353"/>
    <w:multiLevelType w:val="hybridMultilevel"/>
    <w:tmpl w:val="C8BC8EA2"/>
    <w:lvl w:ilvl="0" w:tplc="EEBAE996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782327BC"/>
    <w:multiLevelType w:val="hybridMultilevel"/>
    <w:tmpl w:val="1ACED3F2"/>
    <w:lvl w:ilvl="0" w:tplc="70BEC3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B">
    <w15:presenceInfo w15:providerId="None" w15:userId="T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游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d5p0ppaktvavhefwauxzexzse5fd09sdra0&quot;&gt;My EndNote Library&lt;record-ids&gt;&lt;item&gt;3&lt;/item&gt;&lt;item&gt;4&lt;/item&gt;&lt;item&gt;6&lt;/item&gt;&lt;item&gt;152&lt;/item&gt;&lt;item&gt;153&lt;/item&gt;&lt;item&gt;155&lt;/item&gt;&lt;item&gt;156&lt;/item&gt;&lt;item&gt;157&lt;/item&gt;&lt;item&gt;159&lt;/item&gt;&lt;item&gt;160&lt;/item&gt;&lt;item&gt;161&lt;/item&gt;&lt;item&gt;163&lt;/item&gt;&lt;item&gt;167&lt;/item&gt;&lt;item&gt;168&lt;/item&gt;&lt;item&gt;170&lt;/item&gt;&lt;item&gt;171&lt;/item&gt;&lt;item&gt;172&lt;/item&gt;&lt;item&gt;173&lt;/item&gt;&lt;item&gt;174&lt;/item&gt;&lt;/record-ids&gt;&lt;/item&gt;&lt;/Libraries&gt;"/>
  </w:docVars>
  <w:rsids>
    <w:rsidRoot w:val="00B53D6D"/>
    <w:rsid w:val="009A1F24"/>
    <w:rsid w:val="00B53D6D"/>
    <w:rsid w:val="00DA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3241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customStyle="1" w:styleId="EndNoteBibliographyTitle">
    <w:name w:val="EndNote Bibliography Title"/>
    <w:basedOn w:val="a"/>
    <w:link w:val="EndNoteBibliographyTitle0"/>
    <w:pPr>
      <w:jc w:val="center"/>
    </w:pPr>
    <w:rPr>
      <w:rFonts w:ascii="Yu Mincho" w:eastAsia="Yu Mincho" w:hAnsi="Yu Mincho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Pr>
      <w:rFonts w:ascii="Yu Mincho" w:eastAsia="Yu Mincho" w:hAnsi="Yu Mincho"/>
      <w:noProof/>
      <w:sz w:val="20"/>
    </w:rPr>
  </w:style>
  <w:style w:type="paragraph" w:customStyle="1" w:styleId="EndNoteBibliography">
    <w:name w:val="EndNote Bibliography"/>
    <w:basedOn w:val="a"/>
    <w:link w:val="EndNoteBibliography0"/>
    <w:rPr>
      <w:rFonts w:ascii="Yu Mincho" w:eastAsia="Yu Mincho" w:hAnsi="Yu Mincho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Pr>
      <w:rFonts w:ascii="Yu Mincho" w:eastAsia="Yu Mincho" w:hAnsi="Yu Mincho"/>
      <w:noProof/>
      <w:sz w:val="20"/>
    </w:rPr>
  </w:style>
  <w:style w:type="paragraph" w:styleId="a8">
    <w:name w:val="List Paragraph"/>
    <w:basedOn w:val="a"/>
    <w:uiPriority w:val="34"/>
    <w:qFormat/>
    <w:pPr>
      <w:ind w:leftChars="400" w:left="960"/>
    </w:pPr>
  </w:style>
  <w:style w:type="character" w:customStyle="1" w:styleId="st">
    <w:name w:val="st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="ヒラギノ角ゴ ProN W3" w:eastAsia="ヒラギノ角ゴ ProN W3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customStyle="1" w:styleId="EndNoteBibliographyTitle">
    <w:name w:val="EndNote Bibliography Title"/>
    <w:basedOn w:val="a"/>
    <w:link w:val="EndNoteBibliographyTitle0"/>
    <w:pPr>
      <w:jc w:val="center"/>
    </w:pPr>
    <w:rPr>
      <w:rFonts w:ascii="Yu Mincho" w:eastAsia="Yu Mincho" w:hAnsi="Yu Mincho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Pr>
      <w:rFonts w:ascii="Yu Mincho" w:eastAsia="Yu Mincho" w:hAnsi="Yu Mincho"/>
      <w:noProof/>
      <w:sz w:val="20"/>
    </w:rPr>
  </w:style>
  <w:style w:type="paragraph" w:customStyle="1" w:styleId="EndNoteBibliography">
    <w:name w:val="EndNote Bibliography"/>
    <w:basedOn w:val="a"/>
    <w:link w:val="EndNoteBibliography0"/>
    <w:rPr>
      <w:rFonts w:ascii="Yu Mincho" w:eastAsia="Yu Mincho" w:hAnsi="Yu Mincho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Pr>
      <w:rFonts w:ascii="Yu Mincho" w:eastAsia="Yu Mincho" w:hAnsi="Yu Mincho"/>
      <w:noProof/>
      <w:sz w:val="20"/>
    </w:rPr>
  </w:style>
  <w:style w:type="paragraph" w:styleId="a8">
    <w:name w:val="List Paragraph"/>
    <w:basedOn w:val="a"/>
    <w:uiPriority w:val="34"/>
    <w:qFormat/>
    <w:pPr>
      <w:ind w:leftChars="400" w:left="960"/>
    </w:pPr>
  </w:style>
  <w:style w:type="character" w:customStyle="1" w:styleId="st">
    <w:name w:val="st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="ヒラギノ角ゴ ProN W3" w:eastAsia="ヒラギノ角ゴ ProN W3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21" Type="http://schemas.microsoft.com/office/2011/relationships/people" Target="people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</Words>
  <Characters>1313</Characters>
  <Application>Microsoft Macintosh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中西啓太</dc:creator>
  <cp:keywords/>
  <dc:description/>
  <cp:lastModifiedBy>野津 寛大</cp:lastModifiedBy>
  <cp:revision>5</cp:revision>
  <cp:lastPrinted>2018-02-07T08:23:00Z</cp:lastPrinted>
  <dcterms:created xsi:type="dcterms:W3CDTF">2018-11-22T09:08:00Z</dcterms:created>
  <dcterms:modified xsi:type="dcterms:W3CDTF">2018-11-23T22:19:00Z</dcterms:modified>
</cp:coreProperties>
</file>