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AC44" w14:textId="36BE4DB6" w:rsidR="00D43FDD" w:rsidRPr="00C24627" w:rsidRDefault="00D43FDD" w:rsidP="00D43FDD">
      <w:pPr>
        <w:spacing w:before="240" w:after="240" w:line="480" w:lineRule="auto"/>
        <w:rPr>
          <w:rFonts w:ascii="Times" w:hAnsi="Times" w:cstheme="minorHAnsi"/>
          <w:b/>
          <w:lang w:val="en-GB"/>
        </w:rPr>
      </w:pPr>
      <w:r>
        <w:rPr>
          <w:rFonts w:ascii="Times" w:hAnsi="Times" w:cstheme="minorHAnsi"/>
          <w:b/>
          <w:lang w:val="en-GB"/>
        </w:rPr>
        <w:t xml:space="preserve">Supplementary Table 1. </w:t>
      </w:r>
      <w:r w:rsidRPr="00EB146F">
        <w:rPr>
          <w:rFonts w:ascii="Times" w:hAnsi="Times" w:cstheme="minorHAnsi"/>
          <w:color w:val="000000" w:themeColor="text1"/>
          <w:lang w:val="en-GB"/>
        </w:rPr>
        <w:t xml:space="preserve">Definitions of </w:t>
      </w:r>
      <w:r>
        <w:rPr>
          <w:rFonts w:ascii="Times" w:hAnsi="Times" w:cstheme="minorHAnsi"/>
          <w:color w:val="000000" w:themeColor="text1"/>
          <w:lang w:val="en-GB"/>
        </w:rPr>
        <w:t>terms: “</w:t>
      </w:r>
      <w:r w:rsidRPr="00EB146F">
        <w:rPr>
          <w:rFonts w:ascii="Times" w:hAnsi="Times" w:cstheme="minorHAnsi"/>
          <w:color w:val="000000" w:themeColor="text1"/>
          <w:lang w:val="en-GB"/>
        </w:rPr>
        <w:t>premonitory symptoms</w:t>
      </w:r>
      <w:r>
        <w:rPr>
          <w:rFonts w:ascii="Times" w:hAnsi="Times" w:cstheme="minorHAnsi"/>
          <w:color w:val="000000" w:themeColor="text1"/>
          <w:lang w:val="en-GB"/>
        </w:rPr>
        <w:t>”</w:t>
      </w:r>
      <w:r w:rsidRPr="00EB146F">
        <w:rPr>
          <w:rFonts w:ascii="Times" w:hAnsi="Times" w:cstheme="minorHAnsi"/>
          <w:color w:val="000000" w:themeColor="text1"/>
          <w:lang w:val="en-GB"/>
        </w:rPr>
        <w:t xml:space="preserve"> and </w:t>
      </w:r>
      <w:r>
        <w:rPr>
          <w:rFonts w:ascii="Times" w:hAnsi="Times" w:cstheme="minorHAnsi"/>
          <w:color w:val="000000" w:themeColor="text1"/>
          <w:lang w:val="en-GB"/>
        </w:rPr>
        <w:t>“</w:t>
      </w:r>
      <w:r w:rsidRPr="00EB146F">
        <w:rPr>
          <w:rFonts w:ascii="Times" w:hAnsi="Times" w:cstheme="minorHAnsi"/>
          <w:color w:val="000000" w:themeColor="text1"/>
          <w:lang w:val="en-GB"/>
        </w:rPr>
        <w:t>prodrome</w:t>
      </w:r>
      <w:r>
        <w:rPr>
          <w:rFonts w:ascii="Times" w:hAnsi="Times" w:cstheme="minorHAnsi"/>
          <w:color w:val="000000" w:themeColor="text1"/>
          <w:lang w:val="en-GB"/>
        </w:rPr>
        <w:t>”</w:t>
      </w:r>
      <w:r w:rsidR="000F45DE">
        <w:rPr>
          <w:rFonts w:ascii="Times" w:hAnsi="Times" w:cstheme="minorHAnsi"/>
          <w:color w:val="000000" w:themeColor="text1"/>
          <w:lang w:val="en-GB"/>
        </w:rPr>
        <w:t>.</w:t>
      </w:r>
    </w:p>
    <w:tbl>
      <w:tblPr>
        <w:tblStyle w:val="Almindeligtabel3"/>
        <w:tblW w:w="13608" w:type="dxa"/>
        <w:tblLook w:val="04A0" w:firstRow="1" w:lastRow="0" w:firstColumn="1" w:lastColumn="0" w:noHBand="0" w:noVBand="1"/>
      </w:tblPr>
      <w:tblGrid>
        <w:gridCol w:w="1964"/>
        <w:gridCol w:w="5687"/>
        <w:gridCol w:w="5957"/>
      </w:tblGrid>
      <w:tr w:rsidR="00D43FDD" w:rsidRPr="008D23E6" w14:paraId="6DD8121D" w14:textId="77777777" w:rsidTr="009E7F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64" w:type="dxa"/>
          </w:tcPr>
          <w:p w14:paraId="2F1499BA" w14:textId="77777777" w:rsidR="00D43FDD" w:rsidRPr="00A412EE" w:rsidRDefault="00D43FDD" w:rsidP="009E7F38">
            <w:pPr>
              <w:spacing w:before="120" w:after="120"/>
              <w:rPr>
                <w:color w:val="000000" w:themeColor="text1"/>
                <w:sz w:val="22"/>
                <w:szCs w:val="22"/>
                <w:lang w:val="en-GB"/>
              </w:rPr>
            </w:pPr>
            <w:r w:rsidRPr="00A412EE">
              <w:rPr>
                <w:color w:val="000000" w:themeColor="text1"/>
                <w:sz w:val="22"/>
                <w:szCs w:val="22"/>
                <w:lang w:val="en-GB"/>
              </w:rPr>
              <w:t>Source</w:t>
            </w:r>
          </w:p>
        </w:tc>
        <w:tc>
          <w:tcPr>
            <w:tcW w:w="5687" w:type="dxa"/>
          </w:tcPr>
          <w:p w14:paraId="445A3323" w14:textId="77777777" w:rsidR="00D43FDD" w:rsidRPr="00A412EE" w:rsidRDefault="00D43FDD" w:rsidP="009E7F38">
            <w:pPr>
              <w:spacing w:before="120" w:after="120"/>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sidRPr="00A412EE">
              <w:rPr>
                <w:color w:val="000000" w:themeColor="text1"/>
                <w:sz w:val="22"/>
                <w:szCs w:val="22"/>
                <w:lang w:val="en-GB"/>
              </w:rPr>
              <w:t>Definition of premonitory symptoms</w:t>
            </w:r>
          </w:p>
        </w:tc>
        <w:tc>
          <w:tcPr>
            <w:tcW w:w="5957" w:type="dxa"/>
          </w:tcPr>
          <w:p w14:paraId="536892E4" w14:textId="77777777" w:rsidR="00D43FDD" w:rsidRPr="00A412EE" w:rsidRDefault="00D43FDD" w:rsidP="009E7F38">
            <w:pPr>
              <w:spacing w:before="120" w:after="120"/>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GB"/>
              </w:rPr>
            </w:pPr>
            <w:r w:rsidRPr="00A412EE">
              <w:rPr>
                <w:color w:val="000000" w:themeColor="text1"/>
                <w:sz w:val="22"/>
                <w:szCs w:val="22"/>
                <w:lang w:val="en-GB"/>
              </w:rPr>
              <w:t>Definition of prodrome</w:t>
            </w:r>
          </w:p>
        </w:tc>
      </w:tr>
      <w:tr w:rsidR="00D43FDD" w:rsidRPr="008D23E6" w14:paraId="1F65C848"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153BC1D9" w14:textId="77777777" w:rsidR="00D43FDD" w:rsidRPr="00A412EE" w:rsidRDefault="00D43FDD" w:rsidP="009E7F38">
            <w:pPr>
              <w:spacing w:before="60" w:after="60"/>
              <w:rPr>
                <w:color w:val="000000" w:themeColor="text1"/>
                <w:sz w:val="20"/>
                <w:szCs w:val="20"/>
                <w:lang w:val="en-GB"/>
              </w:rPr>
            </w:pPr>
            <w:r w:rsidRPr="00A412EE">
              <w:rPr>
                <w:color w:val="000000" w:themeColor="text1"/>
                <w:sz w:val="20"/>
                <w:szCs w:val="20"/>
                <w:lang w:val="en-GB"/>
              </w:rPr>
              <w:t>ICHD-1 (ref)</w:t>
            </w:r>
          </w:p>
        </w:tc>
        <w:tc>
          <w:tcPr>
            <w:tcW w:w="5687" w:type="dxa"/>
          </w:tcPr>
          <w:p w14:paraId="3088571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A412EE">
              <w:rPr>
                <w:color w:val="000000" w:themeColor="text1"/>
                <w:sz w:val="20"/>
                <w:szCs w:val="20"/>
                <w:lang w:val="en-GB"/>
              </w:rPr>
              <w:t xml:space="preserve">“Sensations preceding a migraine attack by 2 to 48 hours. Among the common premonitory symptoms are: Fatigue, elation, depression, abnormal hunger, craving for special foods. Occur before the aura or before an attack of migraine without aura.” </w:t>
            </w:r>
          </w:p>
        </w:tc>
        <w:tc>
          <w:tcPr>
            <w:tcW w:w="5957" w:type="dxa"/>
          </w:tcPr>
          <w:p w14:paraId="7982864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A412EE">
              <w:rPr>
                <w:color w:val="000000" w:themeColor="text1"/>
                <w:sz w:val="20"/>
                <w:szCs w:val="20"/>
                <w:lang w:val="en-GB"/>
              </w:rPr>
              <w:t>“Has been used with different meanings, most often as synonymous with premonitory symptoms. The term should be avoided in the future.”</w:t>
            </w:r>
          </w:p>
        </w:tc>
      </w:tr>
      <w:tr w:rsidR="00D43FDD" w:rsidRPr="0014407D" w14:paraId="01BCE0F3" w14:textId="77777777" w:rsidTr="009E7F38">
        <w:tc>
          <w:tcPr>
            <w:cnfStyle w:val="001000000000" w:firstRow="0" w:lastRow="0" w:firstColumn="1" w:lastColumn="0" w:oddVBand="0" w:evenVBand="0" w:oddHBand="0" w:evenHBand="0" w:firstRowFirstColumn="0" w:firstRowLastColumn="0" w:lastRowFirstColumn="0" w:lastRowLastColumn="0"/>
            <w:tcW w:w="1964" w:type="dxa"/>
          </w:tcPr>
          <w:p w14:paraId="1EC12316" w14:textId="77777777" w:rsidR="00D43FDD" w:rsidRPr="00A412EE" w:rsidRDefault="00D43FDD" w:rsidP="009E7F38">
            <w:pPr>
              <w:spacing w:before="60" w:after="60"/>
              <w:rPr>
                <w:color w:val="000000" w:themeColor="text1"/>
                <w:sz w:val="20"/>
                <w:szCs w:val="20"/>
                <w:lang w:val="en-GB"/>
              </w:rPr>
            </w:pPr>
            <w:r w:rsidRPr="00A412EE">
              <w:rPr>
                <w:color w:val="000000" w:themeColor="text1"/>
                <w:sz w:val="20"/>
                <w:szCs w:val="20"/>
                <w:lang w:val="en-GB"/>
              </w:rPr>
              <w:t>ICHD-2 (ref)</w:t>
            </w:r>
            <w:r>
              <w:rPr>
                <w:color w:val="000000" w:themeColor="text1"/>
                <w:sz w:val="20"/>
                <w:szCs w:val="20"/>
                <w:lang w:val="en-GB"/>
              </w:rPr>
              <w:br/>
            </w:r>
            <w:r>
              <w:rPr>
                <w:caps w:val="0"/>
                <w:color w:val="000000" w:themeColor="text1"/>
                <w:sz w:val="20"/>
                <w:szCs w:val="20"/>
                <w:lang w:val="en-GB"/>
              </w:rPr>
              <w:t>and</w:t>
            </w:r>
            <w:r>
              <w:rPr>
                <w:caps w:val="0"/>
                <w:color w:val="000000" w:themeColor="text1"/>
                <w:sz w:val="20"/>
                <w:szCs w:val="20"/>
                <w:lang w:val="en-GB"/>
              </w:rPr>
              <w:br/>
            </w:r>
            <w:r w:rsidRPr="002C1A3B">
              <w:rPr>
                <w:color w:val="000000" w:themeColor="text1"/>
                <w:sz w:val="20"/>
                <w:szCs w:val="20"/>
                <w:lang w:val="en-GB"/>
              </w:rPr>
              <w:t>ICHD-3 beta (Ref)</w:t>
            </w:r>
          </w:p>
        </w:tc>
        <w:tc>
          <w:tcPr>
            <w:tcW w:w="5687" w:type="dxa"/>
          </w:tcPr>
          <w:p w14:paraId="726BCDE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A412EE">
              <w:rPr>
                <w:color w:val="000000" w:themeColor="text1"/>
                <w:sz w:val="20"/>
                <w:szCs w:val="20"/>
                <w:lang w:val="en-GB"/>
              </w:rPr>
              <w:t xml:space="preserve">“Symptoms preceding and forewarning of a migraine attack by 2-48 hours, occurring before the aura in migraine with aura and before the onset of pain in migraine without aura. Among the common premonitory symptoms are fatigue, elation, depression, unusual hunger, craving for certain foods.” </w:t>
            </w:r>
          </w:p>
        </w:tc>
        <w:tc>
          <w:tcPr>
            <w:tcW w:w="5957" w:type="dxa"/>
          </w:tcPr>
          <w:p w14:paraId="2CC7A2C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4407D">
              <w:rPr>
                <w:sz w:val="20"/>
                <w:szCs w:val="20"/>
                <w:lang w:val="en-GB"/>
              </w:rPr>
              <w:t xml:space="preserve">“This term has been used with different meanings, most often synonymously with premonitory symptoms. It should be avoided in the future.” </w:t>
            </w:r>
          </w:p>
        </w:tc>
      </w:tr>
      <w:tr w:rsidR="00D43FDD" w:rsidRPr="00791BE9" w14:paraId="4F6399FA"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460E7B48" w14:textId="77777777" w:rsidR="00D43FDD" w:rsidRPr="00A412EE" w:rsidRDefault="00D43FDD" w:rsidP="009E7F38">
            <w:pPr>
              <w:spacing w:before="60" w:after="60"/>
              <w:rPr>
                <w:color w:val="000000" w:themeColor="text1"/>
                <w:sz w:val="20"/>
                <w:szCs w:val="20"/>
                <w:lang w:val="en-GB"/>
              </w:rPr>
            </w:pPr>
            <w:r w:rsidRPr="00A412EE">
              <w:rPr>
                <w:color w:val="000000" w:themeColor="text1"/>
                <w:sz w:val="20"/>
                <w:szCs w:val="20"/>
                <w:lang w:val="en-GB"/>
              </w:rPr>
              <w:t>ICHD-3 (rEF)</w:t>
            </w:r>
          </w:p>
        </w:tc>
        <w:tc>
          <w:tcPr>
            <w:tcW w:w="5687" w:type="dxa"/>
          </w:tcPr>
          <w:p w14:paraId="349C4B0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4407D">
              <w:rPr>
                <w:sz w:val="20"/>
                <w:szCs w:val="20"/>
                <w:lang w:val="en-GB"/>
              </w:rPr>
              <w:t>“This term has been used with different meanings, often synonymously with prodrome (qv) but also, less specifically and somewhat ambiguously, for a range of symptoms believed to forewarn of (but possibly the initial phase of) a migraine attack. The term is better avoided.”</w:t>
            </w:r>
          </w:p>
        </w:tc>
        <w:tc>
          <w:tcPr>
            <w:tcW w:w="5957" w:type="dxa"/>
          </w:tcPr>
          <w:p w14:paraId="6AF83705" w14:textId="77777777" w:rsidR="00D43FDD" w:rsidRPr="0014407D"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sz w:val="20"/>
                <w:szCs w:val="20"/>
                <w:lang w:val="en-GB"/>
              </w:rPr>
            </w:pPr>
            <w:r w:rsidRPr="0014407D">
              <w:rPr>
                <w:sz w:val="20"/>
                <w:szCs w:val="20"/>
                <w:lang w:val="en-GB"/>
              </w:rPr>
              <w:t>“A symptomatic phase, lasting up to 48 hours, occurring before the onset of pain in migraine without aura or before the aura in migraine with aura. Among the common prodromal symptoms are fatigue, elated or depressed mood, unusual hunger and cravings for certain foods.”</w:t>
            </w:r>
          </w:p>
        </w:tc>
      </w:tr>
      <w:tr w:rsidR="00D43FDD" w:rsidRPr="00791BE9" w14:paraId="07A49F89" w14:textId="77777777" w:rsidTr="009E7F38">
        <w:tc>
          <w:tcPr>
            <w:cnfStyle w:val="001000000000" w:firstRow="0" w:lastRow="0" w:firstColumn="1" w:lastColumn="0" w:oddVBand="0" w:evenVBand="0" w:oddHBand="0" w:evenHBand="0" w:firstRowFirstColumn="0" w:firstRowLastColumn="0" w:lastRowFirstColumn="0" w:lastRowLastColumn="0"/>
            <w:tcW w:w="1964" w:type="dxa"/>
          </w:tcPr>
          <w:p w14:paraId="3B16D9AC" w14:textId="77777777" w:rsidR="00D43FDD" w:rsidRPr="00A412EE" w:rsidRDefault="00D43FDD" w:rsidP="009E7F38">
            <w:pPr>
              <w:spacing w:before="60" w:after="60"/>
              <w:rPr>
                <w:color w:val="000000" w:themeColor="text1"/>
                <w:sz w:val="20"/>
                <w:szCs w:val="20"/>
                <w:lang w:val="en-GB"/>
              </w:rPr>
            </w:pPr>
            <w:r w:rsidRPr="00A412EE">
              <w:rPr>
                <w:color w:val="000000" w:themeColor="text1"/>
                <w:sz w:val="20"/>
                <w:szCs w:val="20"/>
                <w:lang w:val="en-GB"/>
              </w:rPr>
              <w:t xml:space="preserve">ICHD-4 alpha </w:t>
            </w:r>
            <w:r>
              <w:rPr>
                <w:color w:val="000000" w:themeColor="text1"/>
                <w:sz w:val="20"/>
                <w:szCs w:val="20"/>
                <w:lang w:val="en-GB"/>
              </w:rPr>
              <w:t>(</w:t>
            </w:r>
            <w:proofErr w:type="gramStart"/>
            <w:r>
              <w:rPr>
                <w:caps w:val="0"/>
                <w:color w:val="000000" w:themeColor="text1"/>
                <w:sz w:val="20"/>
                <w:szCs w:val="20"/>
                <w:lang w:val="en-GB"/>
              </w:rPr>
              <w:t>personal opinion</w:t>
            </w:r>
            <w:proofErr w:type="gramEnd"/>
            <w:r>
              <w:rPr>
                <w:caps w:val="0"/>
                <w:color w:val="000000" w:themeColor="text1"/>
                <w:sz w:val="20"/>
                <w:szCs w:val="20"/>
                <w:lang w:val="en-GB"/>
              </w:rPr>
              <w:t xml:space="preserve">) </w:t>
            </w:r>
            <w:r w:rsidRPr="00A412EE">
              <w:rPr>
                <w:color w:val="000000" w:themeColor="text1"/>
                <w:sz w:val="20"/>
                <w:szCs w:val="20"/>
                <w:lang w:val="en-GB"/>
              </w:rPr>
              <w:t>(REF)</w:t>
            </w:r>
          </w:p>
        </w:tc>
        <w:tc>
          <w:tcPr>
            <w:tcW w:w="5687" w:type="dxa"/>
          </w:tcPr>
          <w:p w14:paraId="76A96AC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4407D">
              <w:rPr>
                <w:sz w:val="20"/>
                <w:szCs w:val="20"/>
                <w:lang w:val="en-GB"/>
              </w:rPr>
              <w:t>“Premonitory symptoms remain the current correct terminology for: The symptomatic phase, lasting up to 48 hours, occurring before the onset of pain in migraine without aura or before the aura in migraine with aura. Among the common premonitory symptoms are fatigue, elated or depressed mood, unusual hunger and cravings for certain foods.”</w:t>
            </w:r>
          </w:p>
        </w:tc>
        <w:tc>
          <w:tcPr>
            <w:tcW w:w="5957" w:type="dxa"/>
          </w:tcPr>
          <w:p w14:paraId="5C71750F"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4407D">
              <w:rPr>
                <w:sz w:val="20"/>
                <w:szCs w:val="20"/>
                <w:lang w:val="en-GB"/>
              </w:rPr>
              <w:t>“</w:t>
            </w:r>
            <w:r>
              <w:rPr>
                <w:sz w:val="20"/>
                <w:szCs w:val="20"/>
                <w:lang w:val="en-GB"/>
              </w:rPr>
              <w:t>…</w:t>
            </w:r>
            <w:r w:rsidRPr="0014407D">
              <w:rPr>
                <w:sz w:val="20"/>
                <w:szCs w:val="20"/>
                <w:lang w:val="en-GB"/>
              </w:rPr>
              <w:t xml:space="preserve"> we note that ICHD-3 (4) reversed the definition text of premonitory and prodrome used in previous ICHDs. Users should regard the text as swapped in error, based on the literature.”</w:t>
            </w:r>
          </w:p>
        </w:tc>
      </w:tr>
    </w:tbl>
    <w:p w14:paraId="51891180" w14:textId="77777777" w:rsidR="00D43FDD" w:rsidRDefault="00D43FDD" w:rsidP="00D43FDD">
      <w:pPr>
        <w:spacing w:before="240" w:after="240" w:line="480" w:lineRule="auto"/>
        <w:rPr>
          <w:rFonts w:ascii="Times" w:hAnsi="Times" w:cstheme="minorHAnsi"/>
          <w:b/>
          <w:lang w:val="en-GB"/>
        </w:rPr>
      </w:pPr>
    </w:p>
    <w:p w14:paraId="12714753" w14:textId="77777777" w:rsidR="00D43FDD" w:rsidRDefault="00D43FDD" w:rsidP="00D43FDD">
      <w:pPr>
        <w:rPr>
          <w:rFonts w:ascii="Times" w:hAnsi="Times" w:cstheme="minorHAnsi"/>
          <w:b/>
          <w:lang w:val="en-GB"/>
        </w:rPr>
      </w:pPr>
      <w:r>
        <w:rPr>
          <w:rFonts w:ascii="Times" w:hAnsi="Times" w:cstheme="minorHAnsi"/>
          <w:b/>
          <w:lang w:val="en-GB"/>
        </w:rPr>
        <w:br w:type="page"/>
      </w:r>
    </w:p>
    <w:p w14:paraId="08DD5861" w14:textId="4D03B0C3" w:rsidR="00D43FDD" w:rsidRPr="00B6670A" w:rsidRDefault="00D43FDD" w:rsidP="00B6670A">
      <w:pPr>
        <w:rPr>
          <w:rFonts w:ascii="Times" w:hAnsi="Times" w:cstheme="minorHAnsi"/>
          <w:b/>
          <w:lang w:val="en-GB"/>
        </w:rPr>
      </w:pPr>
      <w:r>
        <w:rPr>
          <w:rFonts w:ascii="Times" w:hAnsi="Times" w:cstheme="minorHAnsi"/>
          <w:b/>
          <w:lang w:val="en-GB"/>
        </w:rPr>
        <w:lastRenderedPageBreak/>
        <w:t xml:space="preserve">Supplementary Table </w:t>
      </w:r>
      <w:r w:rsidR="00791BE9">
        <w:rPr>
          <w:rFonts w:ascii="Times" w:hAnsi="Times" w:cstheme="minorHAnsi"/>
          <w:b/>
          <w:lang w:val="en-GB"/>
        </w:rPr>
        <w:t>2</w:t>
      </w:r>
      <w:r>
        <w:rPr>
          <w:rFonts w:ascii="Times" w:hAnsi="Times" w:cstheme="minorHAnsi"/>
          <w:b/>
          <w:lang w:val="en-GB"/>
        </w:rPr>
        <w:t xml:space="preserve">. </w:t>
      </w:r>
      <w:r w:rsidRPr="00C24627">
        <w:rPr>
          <w:rFonts w:ascii="Times" w:hAnsi="Times" w:cstheme="minorHAnsi"/>
          <w:bCs/>
          <w:lang w:val="en-GB"/>
        </w:rPr>
        <w:t xml:space="preserve">Quality assessment </w:t>
      </w:r>
      <w:r>
        <w:rPr>
          <w:rFonts w:ascii="Times" w:hAnsi="Times" w:cstheme="minorHAnsi"/>
          <w:bCs/>
          <w:lang w:val="en-GB"/>
        </w:rPr>
        <w:t>of included studies (a</w:t>
      </w:r>
      <w:r w:rsidRPr="00C24627">
        <w:rPr>
          <w:rFonts w:ascii="Times" w:hAnsi="Times" w:cstheme="minorHAnsi"/>
          <w:bCs/>
          <w:lang w:val="en-GB"/>
        </w:rPr>
        <w:t xml:space="preserve">dapted version of the </w:t>
      </w:r>
      <w:r w:rsidRPr="00C24627">
        <w:rPr>
          <w:bCs/>
          <w:lang w:val="en-US"/>
        </w:rPr>
        <w:t xml:space="preserve">Joanna Briggs Institute Critical Appraisal Instrument for Studies Reporting </w:t>
      </w:r>
      <w:r>
        <w:rPr>
          <w:bCs/>
          <w:lang w:val="en-US"/>
        </w:rPr>
        <w:t xml:space="preserve">Relative </w:t>
      </w:r>
      <w:proofErr w:type="gramStart"/>
      <w:r>
        <w:rPr>
          <w:bCs/>
          <w:lang w:val="en-US"/>
        </w:rPr>
        <w:t>frequency</w:t>
      </w:r>
      <w:proofErr w:type="gramEnd"/>
      <w:r>
        <w:rPr>
          <w:bCs/>
          <w:lang w:val="en-US"/>
        </w:rPr>
        <w:t xml:space="preserve"> </w:t>
      </w:r>
      <w:r w:rsidRPr="00C24627">
        <w:rPr>
          <w:bCs/>
          <w:lang w:val="en-US"/>
        </w:rPr>
        <w:t>Data</w:t>
      </w:r>
      <w:r>
        <w:rPr>
          <w:bCs/>
          <w:lang w:val="en-US"/>
        </w:rPr>
        <w:t xml:space="preserve">, </w:t>
      </w:r>
      <w:r w:rsidRPr="00C24627">
        <w:rPr>
          <w:bCs/>
          <w:lang w:val="en-US"/>
        </w:rPr>
        <w:t>updated 2017)</w:t>
      </w:r>
      <w:r w:rsidR="000F45DE">
        <w:rPr>
          <w:rFonts w:ascii="Times" w:hAnsi="Times" w:cstheme="minorHAnsi"/>
          <w:b/>
          <w:lang w:val="en-GB"/>
        </w:rPr>
        <w:t>.</w:t>
      </w:r>
    </w:p>
    <w:tbl>
      <w:tblPr>
        <w:tblStyle w:val="Almindeligtabel3"/>
        <w:tblW w:w="14034" w:type="dxa"/>
        <w:tblLook w:val="04A0" w:firstRow="1" w:lastRow="0" w:firstColumn="1" w:lastColumn="0" w:noHBand="0" w:noVBand="1"/>
      </w:tblPr>
      <w:tblGrid>
        <w:gridCol w:w="3969"/>
        <w:gridCol w:w="5387"/>
        <w:gridCol w:w="4072"/>
        <w:gridCol w:w="606"/>
      </w:tblGrid>
      <w:tr w:rsidR="00D43FDD" w:rsidRPr="001D6EEA" w14:paraId="2D907D92" w14:textId="77777777" w:rsidTr="009E7F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14:paraId="2E9429C7" w14:textId="77777777" w:rsidR="00D43FDD" w:rsidRPr="00A412EE" w:rsidRDefault="00D43FDD" w:rsidP="009E7F38">
            <w:pPr>
              <w:spacing w:before="120" w:after="120"/>
              <w:rPr>
                <w:bCs w:val="0"/>
                <w:color w:val="000000" w:themeColor="text1"/>
                <w:sz w:val="22"/>
                <w:szCs w:val="22"/>
                <w:lang w:val="en-GB"/>
              </w:rPr>
            </w:pPr>
            <w:r w:rsidRPr="00A412EE">
              <w:rPr>
                <w:color w:val="000000" w:themeColor="text1"/>
                <w:sz w:val="22"/>
                <w:szCs w:val="22"/>
                <w:lang w:val="en-GB"/>
              </w:rPr>
              <w:t>Item</w:t>
            </w:r>
          </w:p>
        </w:tc>
        <w:tc>
          <w:tcPr>
            <w:tcW w:w="5387" w:type="dxa"/>
          </w:tcPr>
          <w:p w14:paraId="0513750A" w14:textId="77777777" w:rsidR="00D43FDD" w:rsidRPr="00A412EE" w:rsidRDefault="00D43FDD" w:rsidP="009E7F38">
            <w:pPr>
              <w:spacing w:before="120" w:after="120"/>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lang w:val="en-GB"/>
              </w:rPr>
            </w:pPr>
            <w:r w:rsidRPr="00A412EE">
              <w:rPr>
                <w:color w:val="000000" w:themeColor="text1"/>
                <w:sz w:val="22"/>
                <w:szCs w:val="22"/>
                <w:lang w:val="en-GB"/>
              </w:rPr>
              <w:t>Yes</w:t>
            </w:r>
          </w:p>
        </w:tc>
        <w:tc>
          <w:tcPr>
            <w:tcW w:w="4678" w:type="dxa"/>
            <w:gridSpan w:val="2"/>
          </w:tcPr>
          <w:p w14:paraId="567DA785" w14:textId="77777777" w:rsidR="00D43FDD" w:rsidRPr="00A412EE" w:rsidRDefault="00D43FDD" w:rsidP="009E7F38">
            <w:pPr>
              <w:spacing w:before="120" w:after="120"/>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lang w:val="en-GB"/>
              </w:rPr>
            </w:pPr>
            <w:r w:rsidRPr="00A412EE">
              <w:rPr>
                <w:color w:val="000000" w:themeColor="text1"/>
                <w:sz w:val="22"/>
                <w:szCs w:val="22"/>
                <w:lang w:val="en-GB"/>
              </w:rPr>
              <w:t>No</w:t>
            </w:r>
          </w:p>
        </w:tc>
      </w:tr>
      <w:tr w:rsidR="00D43FDD" w:rsidRPr="00791BE9" w14:paraId="43EC5AA5"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B2E253B" w14:textId="77777777" w:rsidR="00D43FDD" w:rsidRPr="00A412EE" w:rsidRDefault="00D43FDD" w:rsidP="009E7F38">
            <w:pPr>
              <w:spacing w:before="60" w:after="60"/>
              <w:rPr>
                <w:b w:val="0"/>
                <w:color w:val="000000" w:themeColor="text1"/>
                <w:sz w:val="20"/>
                <w:szCs w:val="20"/>
                <w:lang w:val="en-GB"/>
              </w:rPr>
            </w:pPr>
            <w:r w:rsidRPr="00A412EE">
              <w:rPr>
                <w:color w:val="000000" w:themeColor="text1"/>
                <w:sz w:val="20"/>
                <w:szCs w:val="20"/>
              </w:rPr>
              <w:t xml:space="preserve">(1) </w:t>
            </w:r>
            <w:r>
              <w:rPr>
                <w:color w:val="000000" w:themeColor="text1"/>
                <w:sz w:val="20"/>
                <w:szCs w:val="20"/>
              </w:rPr>
              <w:t>W</w:t>
            </w:r>
            <w:r w:rsidRPr="001D6EEA">
              <w:rPr>
                <w:caps w:val="0"/>
                <w:color w:val="000000" w:themeColor="text1"/>
                <w:sz w:val="20"/>
                <w:szCs w:val="20"/>
              </w:rPr>
              <w:t xml:space="preserve">as the sample frame appropriate to address target population? </w:t>
            </w:r>
          </w:p>
        </w:tc>
        <w:tc>
          <w:tcPr>
            <w:tcW w:w="5387" w:type="dxa"/>
          </w:tcPr>
          <w:p w14:paraId="5456FE15"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Population-based study with a sample frame representative of the target population.</w:t>
            </w:r>
          </w:p>
        </w:tc>
        <w:tc>
          <w:tcPr>
            <w:tcW w:w="4678" w:type="dxa"/>
            <w:gridSpan w:val="2"/>
          </w:tcPr>
          <w:p w14:paraId="285E479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Clinic-based study or population-based study of specific subgroups of migraine patients (</w:t>
            </w:r>
            <w:proofErr w:type="gramStart"/>
            <w:r w:rsidRPr="00A412EE">
              <w:rPr>
                <w:color w:val="000000" w:themeColor="text1"/>
                <w:sz w:val="20"/>
                <w:szCs w:val="20"/>
              </w:rPr>
              <w:t>e.g.</w:t>
            </w:r>
            <w:proofErr w:type="gramEnd"/>
            <w:r w:rsidRPr="00A412EE">
              <w:rPr>
                <w:color w:val="000000" w:themeColor="text1"/>
                <w:sz w:val="20"/>
                <w:szCs w:val="20"/>
              </w:rPr>
              <w:t xml:space="preserve"> </w:t>
            </w:r>
            <w:r>
              <w:rPr>
                <w:color w:val="000000" w:themeColor="text1"/>
                <w:sz w:val="20"/>
                <w:szCs w:val="20"/>
              </w:rPr>
              <w:t>o</w:t>
            </w:r>
            <w:r w:rsidRPr="00A412EE">
              <w:rPr>
                <w:color w:val="000000" w:themeColor="text1"/>
                <w:sz w:val="20"/>
                <w:szCs w:val="20"/>
              </w:rPr>
              <w:t>nly including specific migraine phenotype, gender, or age).</w:t>
            </w:r>
          </w:p>
        </w:tc>
      </w:tr>
      <w:tr w:rsidR="00D43FDD" w:rsidRPr="00791BE9" w14:paraId="1265B67B" w14:textId="77777777" w:rsidTr="009E7F38">
        <w:tc>
          <w:tcPr>
            <w:cnfStyle w:val="001000000000" w:firstRow="0" w:lastRow="0" w:firstColumn="1" w:lastColumn="0" w:oddVBand="0" w:evenVBand="0" w:oddHBand="0" w:evenHBand="0" w:firstRowFirstColumn="0" w:firstRowLastColumn="0" w:lastRowFirstColumn="0" w:lastRowLastColumn="0"/>
            <w:tcW w:w="3969" w:type="dxa"/>
          </w:tcPr>
          <w:p w14:paraId="5D5E4508" w14:textId="77777777" w:rsidR="00D43FDD" w:rsidRPr="00A412EE" w:rsidRDefault="00D43FDD" w:rsidP="009E7F38">
            <w:pPr>
              <w:spacing w:before="60" w:after="60"/>
              <w:rPr>
                <w:b w:val="0"/>
                <w:color w:val="000000" w:themeColor="text1"/>
                <w:sz w:val="20"/>
                <w:szCs w:val="20"/>
              </w:rPr>
            </w:pPr>
            <w:r w:rsidRPr="001D6EEA">
              <w:rPr>
                <w:caps w:val="0"/>
                <w:color w:val="000000" w:themeColor="text1"/>
                <w:sz w:val="20"/>
                <w:szCs w:val="20"/>
              </w:rPr>
              <w:t xml:space="preserve">(2) </w:t>
            </w:r>
            <w:r>
              <w:rPr>
                <w:caps w:val="0"/>
                <w:color w:val="000000" w:themeColor="text1"/>
                <w:sz w:val="20"/>
                <w:szCs w:val="20"/>
              </w:rPr>
              <w:t>W</w:t>
            </w:r>
            <w:r w:rsidRPr="001D6EEA">
              <w:rPr>
                <w:caps w:val="0"/>
                <w:color w:val="000000" w:themeColor="text1"/>
                <w:sz w:val="20"/>
                <w:szCs w:val="20"/>
              </w:rPr>
              <w:t xml:space="preserve">ere study participants recruited in an appropriate way? </w:t>
            </w:r>
          </w:p>
        </w:tc>
        <w:tc>
          <w:tcPr>
            <w:tcW w:w="5387" w:type="dxa"/>
          </w:tcPr>
          <w:p w14:paraId="048B1CA0"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The study used simple random sampling, stratified random sampling, systematic random sampling or cluster sampling.</w:t>
            </w:r>
          </w:p>
        </w:tc>
        <w:tc>
          <w:tcPr>
            <w:tcW w:w="4678" w:type="dxa"/>
            <w:gridSpan w:val="2"/>
          </w:tcPr>
          <w:p w14:paraId="67D5DBFF"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A412EE">
              <w:rPr>
                <w:color w:val="000000" w:themeColor="text1"/>
                <w:sz w:val="20"/>
                <w:szCs w:val="20"/>
              </w:rPr>
              <w:t xml:space="preserve">The study used convenience sampling, judgmental sampling or snowball sampling. </w:t>
            </w:r>
          </w:p>
        </w:tc>
      </w:tr>
      <w:tr w:rsidR="00D43FDD" w:rsidRPr="00791BE9" w14:paraId="1797DDA9"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316554A" w14:textId="77777777" w:rsidR="00D43FDD" w:rsidRPr="00A412EE" w:rsidRDefault="00D43FDD" w:rsidP="009E7F38">
            <w:pPr>
              <w:spacing w:before="60" w:after="60"/>
              <w:rPr>
                <w:color w:val="000000" w:themeColor="text1"/>
                <w:sz w:val="20"/>
                <w:szCs w:val="20"/>
              </w:rPr>
            </w:pPr>
            <w:r w:rsidRPr="001D6EEA">
              <w:rPr>
                <w:caps w:val="0"/>
                <w:color w:val="000000" w:themeColor="text1"/>
                <w:sz w:val="20"/>
                <w:szCs w:val="20"/>
              </w:rPr>
              <w:t xml:space="preserve">(3) </w:t>
            </w:r>
            <w:r>
              <w:rPr>
                <w:caps w:val="0"/>
                <w:color w:val="000000" w:themeColor="text1"/>
                <w:sz w:val="20"/>
                <w:szCs w:val="20"/>
              </w:rPr>
              <w:t>W</w:t>
            </w:r>
            <w:r w:rsidRPr="001D6EEA">
              <w:rPr>
                <w:caps w:val="0"/>
                <w:color w:val="000000" w:themeColor="text1"/>
                <w:sz w:val="20"/>
                <w:szCs w:val="20"/>
              </w:rPr>
              <w:t>as the sample size adequate?</w:t>
            </w:r>
          </w:p>
        </w:tc>
        <w:tc>
          <w:tcPr>
            <w:tcW w:w="5387" w:type="dxa"/>
          </w:tcPr>
          <w:p w14:paraId="6AD2D218"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 xml:space="preserve">The study had performed a sample size </w:t>
            </w:r>
            <w:proofErr w:type="gramStart"/>
            <w:r w:rsidRPr="00A412EE">
              <w:rPr>
                <w:color w:val="000000" w:themeColor="text1"/>
                <w:sz w:val="20"/>
                <w:szCs w:val="20"/>
              </w:rPr>
              <w:t>calculation</w:t>
            </w:r>
            <w:proofErr w:type="gramEnd"/>
            <w:r w:rsidRPr="00A412EE">
              <w:rPr>
                <w:color w:val="000000" w:themeColor="text1"/>
                <w:sz w:val="20"/>
                <w:szCs w:val="20"/>
              </w:rPr>
              <w:t xml:space="preserve"> or the study includ</w:t>
            </w:r>
            <w:r>
              <w:rPr>
                <w:color w:val="000000" w:themeColor="text1"/>
                <w:sz w:val="20"/>
                <w:szCs w:val="20"/>
              </w:rPr>
              <w:t>ed</w:t>
            </w:r>
            <w:r w:rsidRPr="00A412EE">
              <w:rPr>
                <w:color w:val="000000" w:themeColor="text1"/>
                <w:sz w:val="20"/>
                <w:szCs w:val="20"/>
              </w:rPr>
              <w:t xml:space="preserve"> 300 or more participants.</w:t>
            </w:r>
          </w:p>
        </w:tc>
        <w:tc>
          <w:tcPr>
            <w:tcW w:w="4678" w:type="dxa"/>
            <w:gridSpan w:val="2"/>
          </w:tcPr>
          <w:p w14:paraId="34D2D73C"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 xml:space="preserve">The study did not perform a sample size </w:t>
            </w:r>
            <w:proofErr w:type="gramStart"/>
            <w:r w:rsidRPr="00A412EE">
              <w:rPr>
                <w:color w:val="000000" w:themeColor="text1"/>
                <w:sz w:val="20"/>
                <w:szCs w:val="20"/>
              </w:rPr>
              <w:t>calculation</w:t>
            </w:r>
            <w:proofErr w:type="gramEnd"/>
            <w:r w:rsidRPr="00A412EE">
              <w:rPr>
                <w:color w:val="000000" w:themeColor="text1"/>
                <w:sz w:val="20"/>
                <w:szCs w:val="20"/>
              </w:rPr>
              <w:t xml:space="preserve"> or the study </w:t>
            </w:r>
            <w:r>
              <w:rPr>
                <w:color w:val="000000" w:themeColor="text1"/>
                <w:sz w:val="20"/>
                <w:szCs w:val="20"/>
              </w:rPr>
              <w:t>did not include</w:t>
            </w:r>
            <w:r w:rsidRPr="00A412EE">
              <w:rPr>
                <w:color w:val="000000" w:themeColor="text1"/>
                <w:sz w:val="20"/>
                <w:szCs w:val="20"/>
              </w:rPr>
              <w:t xml:space="preserve"> 300 or more participants.</w:t>
            </w:r>
          </w:p>
        </w:tc>
      </w:tr>
      <w:tr w:rsidR="00D43FDD" w:rsidRPr="00791BE9" w14:paraId="33F56B74" w14:textId="77777777" w:rsidTr="009E7F38">
        <w:tc>
          <w:tcPr>
            <w:cnfStyle w:val="001000000000" w:firstRow="0" w:lastRow="0" w:firstColumn="1" w:lastColumn="0" w:oddVBand="0" w:evenVBand="0" w:oddHBand="0" w:evenHBand="0" w:firstRowFirstColumn="0" w:firstRowLastColumn="0" w:lastRowFirstColumn="0" w:lastRowLastColumn="0"/>
            <w:tcW w:w="3969" w:type="dxa"/>
          </w:tcPr>
          <w:p w14:paraId="381F4D19" w14:textId="77777777" w:rsidR="00D43FDD" w:rsidRPr="00A412EE" w:rsidRDefault="00D43FDD" w:rsidP="009E7F38">
            <w:pPr>
              <w:spacing w:before="60" w:after="60"/>
              <w:rPr>
                <w:color w:val="000000" w:themeColor="text1"/>
                <w:sz w:val="20"/>
                <w:szCs w:val="20"/>
              </w:rPr>
            </w:pPr>
            <w:r w:rsidRPr="001D6EEA">
              <w:rPr>
                <w:caps w:val="0"/>
                <w:color w:val="000000" w:themeColor="text1"/>
                <w:sz w:val="20"/>
                <w:szCs w:val="20"/>
              </w:rPr>
              <w:t xml:space="preserve">(4) </w:t>
            </w:r>
            <w:r>
              <w:rPr>
                <w:caps w:val="0"/>
                <w:color w:val="000000" w:themeColor="text1"/>
                <w:sz w:val="20"/>
                <w:szCs w:val="20"/>
              </w:rPr>
              <w:t>W</w:t>
            </w:r>
            <w:r w:rsidRPr="001D6EEA">
              <w:rPr>
                <w:caps w:val="0"/>
                <w:color w:val="000000" w:themeColor="text1"/>
                <w:sz w:val="20"/>
                <w:szCs w:val="20"/>
              </w:rPr>
              <w:t>ere the study subjects and setting described in detail?</w:t>
            </w:r>
          </w:p>
        </w:tc>
        <w:tc>
          <w:tcPr>
            <w:tcW w:w="5387" w:type="dxa"/>
          </w:tcPr>
          <w:p w14:paraId="23DD947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GB"/>
              </w:rPr>
            </w:pPr>
            <w:r>
              <w:rPr>
                <w:color w:val="000000" w:themeColor="text1"/>
                <w:sz w:val="20"/>
                <w:szCs w:val="20"/>
              </w:rPr>
              <w:t>T</w:t>
            </w:r>
            <w:r w:rsidRPr="00A412EE">
              <w:rPr>
                <w:color w:val="000000" w:themeColor="text1"/>
                <w:sz w:val="20"/>
                <w:szCs w:val="20"/>
              </w:rPr>
              <w:t>he study reported gender, age, proportion</w:t>
            </w:r>
            <w:r>
              <w:rPr>
                <w:color w:val="000000" w:themeColor="text1"/>
                <w:sz w:val="20"/>
                <w:szCs w:val="20"/>
              </w:rPr>
              <w:t>s</w:t>
            </w:r>
            <w:r w:rsidRPr="00A412EE">
              <w:rPr>
                <w:color w:val="000000" w:themeColor="text1"/>
                <w:sz w:val="20"/>
                <w:szCs w:val="20"/>
              </w:rPr>
              <w:t xml:space="preserve"> of </w:t>
            </w:r>
            <w:r w:rsidRPr="009944E4">
              <w:rPr>
                <w:color w:val="000000" w:themeColor="text1"/>
                <w:sz w:val="20"/>
                <w:szCs w:val="20"/>
              </w:rPr>
              <w:t xml:space="preserve">included </w:t>
            </w:r>
            <w:r w:rsidRPr="00A412EE">
              <w:rPr>
                <w:color w:val="000000" w:themeColor="text1"/>
                <w:sz w:val="20"/>
                <w:szCs w:val="20"/>
              </w:rPr>
              <w:t>subjects with migraine with aura and without aura, monthly headache days, and monthly migraine days.</w:t>
            </w:r>
          </w:p>
        </w:tc>
        <w:tc>
          <w:tcPr>
            <w:tcW w:w="4678" w:type="dxa"/>
            <w:gridSpan w:val="2"/>
          </w:tcPr>
          <w:p w14:paraId="0695980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 xml:space="preserve">The study did not report </w:t>
            </w:r>
            <w:r>
              <w:rPr>
                <w:color w:val="000000" w:themeColor="text1"/>
                <w:sz w:val="20"/>
                <w:szCs w:val="20"/>
              </w:rPr>
              <w:t>one or more</w:t>
            </w:r>
            <w:r w:rsidRPr="00A412EE">
              <w:rPr>
                <w:color w:val="000000" w:themeColor="text1"/>
                <w:sz w:val="20"/>
                <w:szCs w:val="20"/>
              </w:rPr>
              <w:t xml:space="preserve"> of the</w:t>
            </w:r>
            <w:r>
              <w:rPr>
                <w:color w:val="000000" w:themeColor="text1"/>
                <w:sz w:val="20"/>
                <w:szCs w:val="20"/>
              </w:rPr>
              <w:t>se</w:t>
            </w:r>
            <w:r w:rsidRPr="00A412EE">
              <w:rPr>
                <w:color w:val="000000" w:themeColor="text1"/>
                <w:sz w:val="20"/>
                <w:szCs w:val="20"/>
              </w:rPr>
              <w:t xml:space="preserve"> variables.</w:t>
            </w:r>
          </w:p>
        </w:tc>
      </w:tr>
      <w:tr w:rsidR="00D43FDD" w:rsidRPr="00791BE9" w14:paraId="6B638D8B"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9281C1A" w14:textId="77777777" w:rsidR="00D43FDD" w:rsidRPr="00A412EE" w:rsidRDefault="00D43FDD" w:rsidP="009E7F38">
            <w:pPr>
              <w:spacing w:before="60" w:after="60"/>
              <w:rPr>
                <w:color w:val="000000" w:themeColor="text1"/>
                <w:sz w:val="20"/>
                <w:szCs w:val="20"/>
              </w:rPr>
            </w:pPr>
            <w:r w:rsidRPr="00A412EE">
              <w:rPr>
                <w:color w:val="000000" w:themeColor="text1"/>
                <w:sz w:val="20"/>
                <w:szCs w:val="20"/>
              </w:rPr>
              <w:t xml:space="preserve">(5) </w:t>
            </w:r>
            <w:r>
              <w:rPr>
                <w:caps w:val="0"/>
                <w:color w:val="000000" w:themeColor="text1"/>
                <w:sz w:val="20"/>
                <w:szCs w:val="20"/>
              </w:rPr>
              <w:t>W</w:t>
            </w:r>
            <w:r w:rsidRPr="001D6EEA">
              <w:rPr>
                <w:caps w:val="0"/>
                <w:color w:val="000000" w:themeColor="text1"/>
                <w:sz w:val="20"/>
                <w:szCs w:val="20"/>
              </w:rPr>
              <w:t>as data analysis conducted with sufficient coverage of the identified sample?</w:t>
            </w:r>
          </w:p>
        </w:tc>
        <w:tc>
          <w:tcPr>
            <w:tcW w:w="5387" w:type="dxa"/>
          </w:tcPr>
          <w:p w14:paraId="42CAFEE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 xml:space="preserve">Inclusion or exclusion criteria provided sufficient coverage of </w:t>
            </w:r>
            <w:r>
              <w:rPr>
                <w:color w:val="000000" w:themeColor="text1"/>
                <w:sz w:val="20"/>
                <w:szCs w:val="20"/>
              </w:rPr>
              <w:t>people with migraine</w:t>
            </w:r>
            <w:r w:rsidRPr="00A412EE">
              <w:rPr>
                <w:color w:val="000000" w:themeColor="text1"/>
                <w:sz w:val="20"/>
                <w:szCs w:val="20"/>
              </w:rPr>
              <w:t>.</w:t>
            </w:r>
          </w:p>
        </w:tc>
        <w:tc>
          <w:tcPr>
            <w:tcW w:w="4678" w:type="dxa"/>
            <w:gridSpan w:val="2"/>
          </w:tcPr>
          <w:p w14:paraId="00A23F50"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 xml:space="preserve">Inclusion or exclusion criteria </w:t>
            </w:r>
            <w:r>
              <w:rPr>
                <w:color w:val="000000" w:themeColor="text1"/>
                <w:sz w:val="20"/>
                <w:szCs w:val="20"/>
              </w:rPr>
              <w:t>resulted in</w:t>
            </w:r>
            <w:r w:rsidRPr="00A412EE">
              <w:rPr>
                <w:color w:val="000000" w:themeColor="text1"/>
                <w:sz w:val="20"/>
                <w:szCs w:val="20"/>
              </w:rPr>
              <w:t xml:space="preserve"> exclu</w:t>
            </w:r>
            <w:r>
              <w:rPr>
                <w:color w:val="000000" w:themeColor="text1"/>
                <w:sz w:val="20"/>
                <w:szCs w:val="20"/>
              </w:rPr>
              <w:t>sion of</w:t>
            </w:r>
            <w:r w:rsidRPr="00A412EE">
              <w:rPr>
                <w:color w:val="000000" w:themeColor="text1"/>
                <w:sz w:val="20"/>
                <w:szCs w:val="20"/>
              </w:rPr>
              <w:t xml:space="preserve"> subgroups of people with migraine. </w:t>
            </w:r>
          </w:p>
        </w:tc>
      </w:tr>
      <w:tr w:rsidR="00D43FDD" w:rsidRPr="00791BE9" w14:paraId="4754AE27" w14:textId="77777777" w:rsidTr="009E7F38">
        <w:tc>
          <w:tcPr>
            <w:cnfStyle w:val="001000000000" w:firstRow="0" w:lastRow="0" w:firstColumn="1" w:lastColumn="0" w:oddVBand="0" w:evenVBand="0" w:oddHBand="0" w:evenHBand="0" w:firstRowFirstColumn="0" w:firstRowLastColumn="0" w:lastRowFirstColumn="0" w:lastRowLastColumn="0"/>
            <w:tcW w:w="3969" w:type="dxa"/>
          </w:tcPr>
          <w:p w14:paraId="6539F126" w14:textId="77777777" w:rsidR="00D43FDD" w:rsidRPr="00A412EE" w:rsidRDefault="00D43FDD" w:rsidP="009E7F38">
            <w:pPr>
              <w:spacing w:before="60" w:after="60"/>
              <w:rPr>
                <w:color w:val="000000" w:themeColor="text1"/>
                <w:sz w:val="20"/>
                <w:szCs w:val="20"/>
              </w:rPr>
            </w:pPr>
            <w:r w:rsidRPr="001D6EEA">
              <w:rPr>
                <w:caps w:val="0"/>
                <w:color w:val="000000" w:themeColor="text1"/>
                <w:sz w:val="20"/>
                <w:szCs w:val="20"/>
              </w:rPr>
              <w:t xml:space="preserve">(6) </w:t>
            </w:r>
            <w:r>
              <w:rPr>
                <w:caps w:val="0"/>
                <w:color w:val="000000" w:themeColor="text1"/>
                <w:sz w:val="20"/>
                <w:szCs w:val="20"/>
              </w:rPr>
              <w:t>W</w:t>
            </w:r>
            <w:r w:rsidRPr="001D6EEA">
              <w:rPr>
                <w:caps w:val="0"/>
                <w:color w:val="000000" w:themeColor="text1"/>
                <w:sz w:val="20"/>
                <w:szCs w:val="20"/>
              </w:rPr>
              <w:t xml:space="preserve">ere valid methods used for the identification of the condition? </w:t>
            </w:r>
          </w:p>
        </w:tc>
        <w:tc>
          <w:tcPr>
            <w:tcW w:w="5387" w:type="dxa"/>
          </w:tcPr>
          <w:p w14:paraId="7AE53A8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The study used an ICHD definition of premonitory symptoms and a validated instrument to record premonitory symptoms.</w:t>
            </w:r>
          </w:p>
        </w:tc>
        <w:tc>
          <w:tcPr>
            <w:tcW w:w="4678" w:type="dxa"/>
            <w:gridSpan w:val="2"/>
          </w:tcPr>
          <w:p w14:paraId="4702892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The study did not use an ICHD definition of premonitory symptoms and/or a validated instrument to record premonitory symptoms.</w:t>
            </w:r>
          </w:p>
        </w:tc>
      </w:tr>
      <w:tr w:rsidR="00D43FDD" w:rsidRPr="00791BE9" w14:paraId="77D674E9"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6A9FA38" w14:textId="77777777" w:rsidR="00D43FDD" w:rsidRPr="00A412EE" w:rsidRDefault="00D43FDD" w:rsidP="009E7F38">
            <w:pPr>
              <w:spacing w:before="60" w:after="60"/>
              <w:rPr>
                <w:b w:val="0"/>
                <w:color w:val="000000" w:themeColor="text1"/>
                <w:sz w:val="20"/>
                <w:szCs w:val="20"/>
                <w:lang w:val="en-GB"/>
              </w:rPr>
            </w:pPr>
            <w:r w:rsidRPr="00A412EE">
              <w:rPr>
                <w:color w:val="000000" w:themeColor="text1"/>
                <w:sz w:val="20"/>
                <w:szCs w:val="20"/>
              </w:rPr>
              <w:t xml:space="preserve">(7) </w:t>
            </w:r>
            <w:r>
              <w:rPr>
                <w:caps w:val="0"/>
                <w:color w:val="000000" w:themeColor="text1"/>
                <w:sz w:val="20"/>
                <w:szCs w:val="20"/>
              </w:rPr>
              <w:t>W</w:t>
            </w:r>
            <w:r w:rsidRPr="001D6EEA">
              <w:rPr>
                <w:caps w:val="0"/>
                <w:color w:val="000000" w:themeColor="text1"/>
                <w:sz w:val="20"/>
                <w:szCs w:val="20"/>
              </w:rPr>
              <w:t xml:space="preserve">as the condition measured in a standard, reliable way for all participants? </w:t>
            </w:r>
          </w:p>
        </w:tc>
        <w:tc>
          <w:tcPr>
            <w:tcW w:w="5387" w:type="dxa"/>
          </w:tcPr>
          <w:p w14:paraId="11F0E6F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The condition was measured in the same way for all participants.</w:t>
            </w:r>
          </w:p>
        </w:tc>
        <w:tc>
          <w:tcPr>
            <w:tcW w:w="4678" w:type="dxa"/>
            <w:gridSpan w:val="2"/>
          </w:tcPr>
          <w:p w14:paraId="61D9B3E0"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GB"/>
              </w:rPr>
            </w:pPr>
            <w:r w:rsidRPr="00A412EE">
              <w:rPr>
                <w:color w:val="000000" w:themeColor="text1"/>
                <w:sz w:val="20"/>
                <w:szCs w:val="20"/>
              </w:rPr>
              <w:t>The condition was not measured in the same way for all participants.</w:t>
            </w:r>
          </w:p>
        </w:tc>
      </w:tr>
      <w:tr w:rsidR="00D43FDD" w:rsidRPr="00791BE9" w14:paraId="13E9AB8A" w14:textId="77777777" w:rsidTr="009E7F38">
        <w:tc>
          <w:tcPr>
            <w:cnfStyle w:val="001000000000" w:firstRow="0" w:lastRow="0" w:firstColumn="1" w:lastColumn="0" w:oddVBand="0" w:evenVBand="0" w:oddHBand="0" w:evenHBand="0" w:firstRowFirstColumn="0" w:firstRowLastColumn="0" w:lastRowFirstColumn="0" w:lastRowLastColumn="0"/>
            <w:tcW w:w="3969" w:type="dxa"/>
          </w:tcPr>
          <w:p w14:paraId="794FF4FE" w14:textId="77777777" w:rsidR="00D43FDD" w:rsidRPr="00A412EE" w:rsidRDefault="00D43FDD" w:rsidP="009E7F38">
            <w:pPr>
              <w:spacing w:before="60" w:after="60"/>
              <w:rPr>
                <w:b w:val="0"/>
                <w:color w:val="000000" w:themeColor="text1"/>
                <w:sz w:val="20"/>
                <w:szCs w:val="20"/>
                <w:lang w:val="en-GB"/>
              </w:rPr>
            </w:pPr>
            <w:r w:rsidRPr="001D6EEA">
              <w:rPr>
                <w:caps w:val="0"/>
                <w:color w:val="000000" w:themeColor="text1"/>
                <w:sz w:val="20"/>
                <w:szCs w:val="20"/>
              </w:rPr>
              <w:t xml:space="preserve">(8) </w:t>
            </w:r>
            <w:r>
              <w:rPr>
                <w:caps w:val="0"/>
                <w:color w:val="000000" w:themeColor="text1"/>
                <w:sz w:val="20"/>
                <w:szCs w:val="20"/>
              </w:rPr>
              <w:t>W</w:t>
            </w:r>
            <w:r w:rsidRPr="001D6EEA">
              <w:rPr>
                <w:caps w:val="0"/>
                <w:color w:val="000000" w:themeColor="text1"/>
                <w:sz w:val="20"/>
                <w:szCs w:val="20"/>
              </w:rPr>
              <w:t xml:space="preserve">as there appropriate statistical analysis?  </w:t>
            </w:r>
          </w:p>
        </w:tc>
        <w:tc>
          <w:tcPr>
            <w:tcW w:w="5387" w:type="dxa"/>
          </w:tcPr>
          <w:p w14:paraId="0B76B946"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412EE">
              <w:rPr>
                <w:color w:val="000000" w:themeColor="text1"/>
                <w:sz w:val="20"/>
                <w:szCs w:val="20"/>
              </w:rPr>
              <w:t>The study clearly reported numerator and denominator.</w:t>
            </w:r>
          </w:p>
        </w:tc>
        <w:tc>
          <w:tcPr>
            <w:tcW w:w="4678" w:type="dxa"/>
            <w:gridSpan w:val="2"/>
          </w:tcPr>
          <w:p w14:paraId="64AE75C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412EE">
              <w:rPr>
                <w:color w:val="000000" w:themeColor="text1"/>
                <w:sz w:val="20"/>
                <w:szCs w:val="20"/>
              </w:rPr>
              <w:t>The study did not clearly report numerator and denominator.</w:t>
            </w:r>
          </w:p>
        </w:tc>
      </w:tr>
      <w:tr w:rsidR="00D43FDD" w:rsidRPr="00791BE9" w14:paraId="460614F4" w14:textId="77777777" w:rsidTr="009E7F38">
        <w:trPr>
          <w:gridAfter w:val="1"/>
          <w:cnfStyle w:val="000000100000" w:firstRow="0" w:lastRow="0" w:firstColumn="0" w:lastColumn="0" w:oddVBand="0" w:evenVBand="0" w:oddHBand="1" w:evenHBand="0" w:firstRowFirstColumn="0" w:firstRowLastColumn="0" w:lastRowFirstColumn="0" w:lastRowLastColumn="0"/>
          <w:wAfter w:w="606" w:type="dxa"/>
        </w:trPr>
        <w:tc>
          <w:tcPr>
            <w:cnfStyle w:val="001000000000" w:firstRow="0" w:lastRow="0" w:firstColumn="1" w:lastColumn="0" w:oddVBand="0" w:evenVBand="0" w:oddHBand="0" w:evenHBand="0" w:firstRowFirstColumn="0" w:firstRowLastColumn="0" w:lastRowFirstColumn="0" w:lastRowLastColumn="0"/>
            <w:tcW w:w="3969" w:type="dxa"/>
          </w:tcPr>
          <w:p w14:paraId="066688DB" w14:textId="77777777" w:rsidR="00D43FDD" w:rsidRPr="00A412EE" w:rsidRDefault="00D43FDD" w:rsidP="009E7F38">
            <w:pPr>
              <w:spacing w:before="60" w:after="60"/>
              <w:rPr>
                <w:b w:val="0"/>
                <w:color w:val="000000" w:themeColor="text1"/>
                <w:sz w:val="20"/>
                <w:szCs w:val="20"/>
                <w:lang w:val="en-GB"/>
              </w:rPr>
            </w:pPr>
            <w:r w:rsidRPr="00A412EE">
              <w:rPr>
                <w:color w:val="000000" w:themeColor="text1"/>
                <w:sz w:val="20"/>
                <w:szCs w:val="20"/>
              </w:rPr>
              <w:t xml:space="preserve">(9) </w:t>
            </w:r>
            <w:r>
              <w:rPr>
                <w:caps w:val="0"/>
                <w:color w:val="000000" w:themeColor="text1"/>
                <w:sz w:val="20"/>
                <w:szCs w:val="20"/>
              </w:rPr>
              <w:t>W</w:t>
            </w:r>
            <w:r w:rsidRPr="001D6EEA">
              <w:rPr>
                <w:caps w:val="0"/>
                <w:color w:val="000000" w:themeColor="text1"/>
                <w:sz w:val="20"/>
                <w:szCs w:val="20"/>
              </w:rPr>
              <w:t xml:space="preserve">as the response rate adequate, and if not, was the low response rate managed appropriately? </w:t>
            </w:r>
          </w:p>
        </w:tc>
        <w:tc>
          <w:tcPr>
            <w:tcW w:w="5387" w:type="dxa"/>
          </w:tcPr>
          <w:p w14:paraId="269CE41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lang w:val="en-GB"/>
              </w:rPr>
              <w:t>Longitudinal studies</w:t>
            </w:r>
            <w:r w:rsidRPr="00A412EE">
              <w:rPr>
                <w:color w:val="000000" w:themeColor="text1"/>
                <w:sz w:val="20"/>
                <w:szCs w:val="20"/>
              </w:rPr>
              <w:t xml:space="preserve"> reported a dropout </w:t>
            </w:r>
            <w:r>
              <w:rPr>
                <w:color w:val="000000" w:themeColor="text1"/>
                <w:sz w:val="20"/>
                <w:szCs w:val="20"/>
              </w:rPr>
              <w:t>proportion</w:t>
            </w:r>
            <w:r w:rsidRPr="00A412EE">
              <w:rPr>
                <w:color w:val="000000" w:themeColor="text1"/>
                <w:sz w:val="20"/>
                <w:szCs w:val="20"/>
              </w:rPr>
              <w:t xml:space="preserve"> of &lt;15% or performed a statistical analysis show</w:t>
            </w:r>
            <w:r>
              <w:rPr>
                <w:color w:val="000000" w:themeColor="text1"/>
                <w:sz w:val="20"/>
                <w:szCs w:val="20"/>
              </w:rPr>
              <w:t>ing</w:t>
            </w:r>
            <w:r w:rsidRPr="00A412EE">
              <w:rPr>
                <w:color w:val="000000" w:themeColor="text1"/>
                <w:sz w:val="20"/>
                <w:szCs w:val="20"/>
              </w:rPr>
              <w:t xml:space="preserve"> no difference</w:t>
            </w:r>
            <w:r>
              <w:rPr>
                <w:color w:val="000000" w:themeColor="text1"/>
                <w:sz w:val="20"/>
                <w:szCs w:val="20"/>
              </w:rPr>
              <w:t>s</w:t>
            </w:r>
            <w:r w:rsidRPr="00A412EE">
              <w:rPr>
                <w:color w:val="000000" w:themeColor="text1"/>
                <w:sz w:val="20"/>
                <w:szCs w:val="20"/>
              </w:rPr>
              <w:t xml:space="preserve"> between dropouts and non-dropouts. </w:t>
            </w:r>
            <w:r>
              <w:rPr>
                <w:color w:val="000000" w:themeColor="text1"/>
                <w:sz w:val="20"/>
                <w:szCs w:val="20"/>
              </w:rPr>
              <w:t>Cross-sectional studies</w:t>
            </w:r>
            <w:r w:rsidRPr="00A412EE">
              <w:rPr>
                <w:color w:val="000000" w:themeColor="text1"/>
                <w:sz w:val="20"/>
                <w:szCs w:val="20"/>
              </w:rPr>
              <w:t xml:space="preserve"> reported a </w:t>
            </w:r>
            <w:r>
              <w:rPr>
                <w:color w:val="000000" w:themeColor="text1"/>
                <w:sz w:val="20"/>
                <w:szCs w:val="20"/>
              </w:rPr>
              <w:t>participation proportion</w:t>
            </w:r>
            <w:r w:rsidRPr="00A412EE">
              <w:rPr>
                <w:color w:val="000000" w:themeColor="text1"/>
                <w:sz w:val="20"/>
                <w:szCs w:val="20"/>
              </w:rPr>
              <w:t xml:space="preserve"> of &gt;5</w:t>
            </w:r>
            <w:r>
              <w:rPr>
                <w:color w:val="000000" w:themeColor="text1"/>
                <w:sz w:val="20"/>
                <w:szCs w:val="20"/>
              </w:rPr>
              <w:t>0</w:t>
            </w:r>
            <w:r w:rsidRPr="00A412EE">
              <w:rPr>
                <w:color w:val="000000" w:themeColor="text1"/>
                <w:sz w:val="20"/>
                <w:szCs w:val="20"/>
              </w:rPr>
              <w:t>%.</w:t>
            </w:r>
          </w:p>
        </w:tc>
        <w:tc>
          <w:tcPr>
            <w:tcW w:w="4072" w:type="dxa"/>
          </w:tcPr>
          <w:p w14:paraId="6BE8335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lang w:val="en-GB"/>
              </w:rPr>
              <w:t>Longitudinal studies</w:t>
            </w:r>
            <w:r w:rsidRPr="00A412EE">
              <w:rPr>
                <w:color w:val="000000" w:themeColor="text1"/>
                <w:sz w:val="20"/>
                <w:szCs w:val="20"/>
              </w:rPr>
              <w:t xml:space="preserve"> reported a dropout </w:t>
            </w:r>
            <w:r>
              <w:rPr>
                <w:color w:val="000000" w:themeColor="text1"/>
                <w:sz w:val="20"/>
                <w:szCs w:val="20"/>
              </w:rPr>
              <w:t>proportion</w:t>
            </w:r>
            <w:r w:rsidRPr="00A412EE">
              <w:rPr>
                <w:color w:val="000000" w:themeColor="text1"/>
                <w:sz w:val="20"/>
                <w:szCs w:val="20"/>
              </w:rPr>
              <w:t xml:space="preserve"> of </w:t>
            </w:r>
            <w:r>
              <w:rPr>
                <w:color w:val="000000" w:themeColor="text1"/>
                <w:sz w:val="20"/>
                <w:szCs w:val="20"/>
              </w:rPr>
              <w:t>&gt;</w:t>
            </w:r>
            <w:r w:rsidRPr="00A412EE">
              <w:rPr>
                <w:color w:val="000000" w:themeColor="text1"/>
                <w:sz w:val="20"/>
                <w:szCs w:val="20"/>
              </w:rPr>
              <w:t>15</w:t>
            </w:r>
            <w:proofErr w:type="gramStart"/>
            <w:r w:rsidRPr="00A412EE">
              <w:rPr>
                <w:color w:val="000000" w:themeColor="text1"/>
                <w:sz w:val="20"/>
                <w:szCs w:val="20"/>
              </w:rPr>
              <w:t>%</w:t>
            </w:r>
            <w:r>
              <w:rPr>
                <w:color w:val="000000" w:themeColor="text1"/>
                <w:sz w:val="20"/>
                <w:szCs w:val="20"/>
              </w:rPr>
              <w:t>, or</w:t>
            </w:r>
            <w:proofErr w:type="gramEnd"/>
            <w:r>
              <w:rPr>
                <w:color w:val="000000" w:themeColor="text1"/>
                <w:sz w:val="20"/>
                <w:szCs w:val="20"/>
              </w:rPr>
              <w:t xml:space="preserve"> did not report dropout proportion. Cross-sectional studies</w:t>
            </w:r>
            <w:r w:rsidRPr="00A412EE">
              <w:rPr>
                <w:color w:val="000000" w:themeColor="text1"/>
                <w:sz w:val="20"/>
                <w:szCs w:val="20"/>
              </w:rPr>
              <w:t xml:space="preserve"> reported a </w:t>
            </w:r>
            <w:r>
              <w:rPr>
                <w:color w:val="000000" w:themeColor="text1"/>
                <w:sz w:val="20"/>
                <w:szCs w:val="20"/>
              </w:rPr>
              <w:t>participation proportion</w:t>
            </w:r>
            <w:r w:rsidRPr="00A412EE">
              <w:rPr>
                <w:color w:val="000000" w:themeColor="text1"/>
                <w:sz w:val="20"/>
                <w:szCs w:val="20"/>
              </w:rPr>
              <w:t xml:space="preserve"> of </w:t>
            </w:r>
            <w:r>
              <w:rPr>
                <w:color w:val="000000" w:themeColor="text1"/>
                <w:sz w:val="20"/>
                <w:szCs w:val="20"/>
              </w:rPr>
              <w:t>&lt;</w:t>
            </w:r>
            <w:r w:rsidRPr="00A412EE">
              <w:rPr>
                <w:color w:val="000000" w:themeColor="text1"/>
                <w:sz w:val="20"/>
                <w:szCs w:val="20"/>
              </w:rPr>
              <w:t>5</w:t>
            </w:r>
            <w:r>
              <w:rPr>
                <w:color w:val="000000" w:themeColor="text1"/>
                <w:sz w:val="20"/>
                <w:szCs w:val="20"/>
              </w:rPr>
              <w:t>0</w:t>
            </w:r>
            <w:proofErr w:type="gramStart"/>
            <w:r w:rsidRPr="00A412EE">
              <w:rPr>
                <w:color w:val="000000" w:themeColor="text1"/>
                <w:sz w:val="20"/>
                <w:szCs w:val="20"/>
              </w:rPr>
              <w:t>%</w:t>
            </w:r>
            <w:r>
              <w:rPr>
                <w:color w:val="000000" w:themeColor="text1"/>
                <w:sz w:val="20"/>
                <w:szCs w:val="20"/>
              </w:rPr>
              <w:t>, o</w:t>
            </w:r>
            <w:r w:rsidRPr="00A412EE">
              <w:rPr>
                <w:color w:val="000000" w:themeColor="text1"/>
                <w:sz w:val="20"/>
                <w:szCs w:val="20"/>
              </w:rPr>
              <w:t>r</w:t>
            </w:r>
            <w:proofErr w:type="gramEnd"/>
            <w:r w:rsidRPr="00A412EE">
              <w:rPr>
                <w:color w:val="000000" w:themeColor="text1"/>
                <w:sz w:val="20"/>
                <w:szCs w:val="20"/>
              </w:rPr>
              <w:t xml:space="preserve"> did not report </w:t>
            </w:r>
            <w:r>
              <w:rPr>
                <w:color w:val="000000" w:themeColor="text1"/>
                <w:sz w:val="20"/>
                <w:szCs w:val="20"/>
              </w:rPr>
              <w:t>participation proportion.</w:t>
            </w:r>
          </w:p>
        </w:tc>
      </w:tr>
    </w:tbl>
    <w:p w14:paraId="725E9CCB" w14:textId="77777777" w:rsidR="00D43FDD" w:rsidRDefault="00D43FDD" w:rsidP="00D43FDD">
      <w:pPr>
        <w:rPr>
          <w:rFonts w:ascii="Times" w:hAnsi="Times" w:cstheme="minorHAnsi"/>
          <w:b/>
          <w:lang w:val="en-GB"/>
        </w:rPr>
      </w:pPr>
      <w:r>
        <w:rPr>
          <w:rFonts w:ascii="Times" w:hAnsi="Times" w:cstheme="minorHAnsi"/>
          <w:b/>
          <w:lang w:val="en-GB"/>
        </w:rPr>
        <w:br w:type="page"/>
      </w:r>
    </w:p>
    <w:p w14:paraId="32B214E1" w14:textId="37FC49E0" w:rsidR="00D43FDD" w:rsidRDefault="00D43FDD" w:rsidP="00D43FDD">
      <w:pPr>
        <w:spacing w:before="240" w:after="240" w:line="480" w:lineRule="auto"/>
        <w:rPr>
          <w:rFonts w:ascii="Times" w:hAnsi="Times" w:cstheme="minorHAnsi"/>
          <w:b/>
          <w:lang w:val="en-GB"/>
        </w:rPr>
      </w:pPr>
      <w:r>
        <w:rPr>
          <w:rFonts w:ascii="Times" w:hAnsi="Times" w:cstheme="minorHAnsi"/>
          <w:b/>
          <w:lang w:val="en-GB"/>
        </w:rPr>
        <w:lastRenderedPageBreak/>
        <w:t xml:space="preserve">Supplementary Table </w:t>
      </w:r>
      <w:r w:rsidR="00791BE9">
        <w:rPr>
          <w:rFonts w:ascii="Times" w:hAnsi="Times" w:cstheme="minorHAnsi"/>
          <w:b/>
          <w:lang w:val="en-GB"/>
        </w:rPr>
        <w:t>3</w:t>
      </w:r>
      <w:r w:rsidRPr="00EB146F">
        <w:rPr>
          <w:rFonts w:ascii="Times" w:hAnsi="Times" w:cstheme="minorHAnsi"/>
          <w:b/>
          <w:lang w:val="en-GB"/>
        </w:rPr>
        <w:t xml:space="preserve">. </w:t>
      </w:r>
      <w:r w:rsidRPr="00C24627">
        <w:rPr>
          <w:rFonts w:ascii="Times" w:hAnsi="Times" w:cstheme="minorHAnsi"/>
          <w:bCs/>
          <w:lang w:val="en-GB"/>
        </w:rPr>
        <w:t>Quality assessment</w:t>
      </w:r>
      <w:r>
        <w:rPr>
          <w:rFonts w:ascii="Times" w:hAnsi="Times" w:cstheme="minorHAnsi"/>
          <w:bCs/>
          <w:lang w:val="en-GB"/>
        </w:rPr>
        <w:t xml:space="preserve"> of included studies (adapted version of</w:t>
      </w:r>
      <w:r w:rsidRPr="00C24627">
        <w:rPr>
          <w:rFonts w:ascii="Times" w:hAnsi="Times" w:cstheme="minorHAnsi"/>
          <w:bCs/>
          <w:lang w:val="en-GB"/>
        </w:rPr>
        <w:t xml:space="preserve"> </w:t>
      </w:r>
      <w:r w:rsidRPr="00C24627">
        <w:rPr>
          <w:bCs/>
          <w:lang w:val="en-US"/>
        </w:rPr>
        <w:t xml:space="preserve">Joanna Briggs Institute Critical Appraisal Instrument for Studies Reporting </w:t>
      </w:r>
      <w:r>
        <w:rPr>
          <w:bCs/>
          <w:lang w:val="en-US"/>
        </w:rPr>
        <w:t xml:space="preserve">Relative </w:t>
      </w:r>
      <w:proofErr w:type="gramStart"/>
      <w:r>
        <w:rPr>
          <w:bCs/>
          <w:lang w:val="en-US"/>
        </w:rPr>
        <w:t>frequency</w:t>
      </w:r>
      <w:proofErr w:type="gramEnd"/>
      <w:r>
        <w:rPr>
          <w:bCs/>
          <w:lang w:val="en-US"/>
        </w:rPr>
        <w:t xml:space="preserve"> </w:t>
      </w:r>
      <w:r w:rsidRPr="00C24627">
        <w:rPr>
          <w:bCs/>
          <w:lang w:val="en-US"/>
        </w:rPr>
        <w:t>Data</w:t>
      </w:r>
      <w:r>
        <w:rPr>
          <w:bCs/>
          <w:lang w:val="en-US"/>
        </w:rPr>
        <w:t xml:space="preserve">, </w:t>
      </w:r>
      <w:r w:rsidRPr="00C24627">
        <w:rPr>
          <w:bCs/>
          <w:lang w:val="en-US"/>
        </w:rPr>
        <w:t>updated 2017)</w:t>
      </w:r>
      <w:r w:rsidR="000F45DE">
        <w:rPr>
          <w:bCs/>
          <w:lang w:val="en-US"/>
        </w:rPr>
        <w:t>.</w:t>
      </w:r>
      <w:r w:rsidR="000F45DE">
        <w:rPr>
          <w:rFonts w:ascii="Times" w:hAnsi="Times" w:cstheme="minorHAnsi"/>
          <w:b/>
          <w:lang w:val="en-GB"/>
        </w:rPr>
        <w:t xml:space="preserve"> </w:t>
      </w:r>
    </w:p>
    <w:tbl>
      <w:tblPr>
        <w:tblStyle w:val="Almindeligtabel1"/>
        <w:tblW w:w="13750" w:type="dxa"/>
        <w:tblInd w:w="-147" w:type="dxa"/>
        <w:tblLayout w:type="fixed"/>
        <w:tblLook w:val="04A0" w:firstRow="1" w:lastRow="0" w:firstColumn="1" w:lastColumn="0" w:noHBand="0" w:noVBand="1"/>
      </w:tblPr>
      <w:tblGrid>
        <w:gridCol w:w="1985"/>
        <w:gridCol w:w="992"/>
        <w:gridCol w:w="993"/>
        <w:gridCol w:w="992"/>
        <w:gridCol w:w="992"/>
        <w:gridCol w:w="992"/>
        <w:gridCol w:w="993"/>
        <w:gridCol w:w="992"/>
        <w:gridCol w:w="992"/>
        <w:gridCol w:w="1005"/>
        <w:gridCol w:w="1079"/>
        <w:gridCol w:w="1743"/>
      </w:tblGrid>
      <w:tr w:rsidR="00D43FDD" w:rsidRPr="00D900E9" w14:paraId="616A6079" w14:textId="77777777" w:rsidTr="009E7F3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tcPr>
          <w:p w14:paraId="74D7BC66" w14:textId="77777777" w:rsidR="00D43FDD" w:rsidRPr="00A412EE" w:rsidRDefault="00D43FDD" w:rsidP="009E7F38">
            <w:pPr>
              <w:spacing w:before="120" w:after="120"/>
              <w:rPr>
                <w:b w:val="0"/>
                <w:bCs w:val="0"/>
                <w:color w:val="000000" w:themeColor="text1"/>
                <w:sz w:val="22"/>
                <w:szCs w:val="22"/>
                <w:lang w:val="en-GB"/>
              </w:rPr>
            </w:pPr>
          </w:p>
        </w:tc>
        <w:tc>
          <w:tcPr>
            <w:tcW w:w="8943" w:type="dxa"/>
            <w:gridSpan w:val="9"/>
          </w:tcPr>
          <w:p w14:paraId="13638BE5" w14:textId="77777777" w:rsidR="00D43FDD" w:rsidRPr="00A412EE" w:rsidRDefault="00D43FDD" w:rsidP="009E7F38">
            <w:pPr>
              <w:spacing w:before="120" w:after="120"/>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lang w:val="en-GB"/>
              </w:rPr>
            </w:pPr>
            <w:r w:rsidRPr="00A412EE">
              <w:rPr>
                <w:color w:val="000000" w:themeColor="text1"/>
                <w:sz w:val="22"/>
                <w:szCs w:val="22"/>
                <w:lang w:val="en-GB"/>
              </w:rPr>
              <w:t xml:space="preserve">Item number in Joanna Briggs Institute Critical Appraisal Instrument </w:t>
            </w:r>
          </w:p>
        </w:tc>
        <w:tc>
          <w:tcPr>
            <w:tcW w:w="1079" w:type="dxa"/>
          </w:tcPr>
          <w:p w14:paraId="6CFA86F6" w14:textId="77777777" w:rsidR="00D43FDD" w:rsidRPr="00A412EE" w:rsidRDefault="00D43FDD" w:rsidP="009E7F38">
            <w:pPr>
              <w:spacing w:before="120" w:after="120"/>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en-GB"/>
              </w:rPr>
            </w:pPr>
          </w:p>
        </w:tc>
        <w:tc>
          <w:tcPr>
            <w:tcW w:w="1743" w:type="dxa"/>
          </w:tcPr>
          <w:p w14:paraId="6218831A" w14:textId="77777777" w:rsidR="00D43FDD" w:rsidRPr="00A412EE" w:rsidRDefault="00D43FDD" w:rsidP="009E7F38">
            <w:pPr>
              <w:spacing w:before="120" w:after="120"/>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en-GB"/>
              </w:rPr>
            </w:pPr>
          </w:p>
        </w:tc>
      </w:tr>
      <w:tr w:rsidR="00D43FDD" w:rsidRPr="00791BE9" w14:paraId="7677B9F3" w14:textId="77777777" w:rsidTr="009E7F3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hideMark/>
          </w:tcPr>
          <w:p w14:paraId="4903EE9A" w14:textId="77777777" w:rsidR="00D43FDD" w:rsidRPr="00A412EE" w:rsidRDefault="00D43FDD" w:rsidP="009E7F38">
            <w:pPr>
              <w:spacing w:before="120" w:after="120"/>
              <w:rPr>
                <w:bCs w:val="0"/>
                <w:color w:val="000000" w:themeColor="text1"/>
                <w:sz w:val="20"/>
                <w:szCs w:val="20"/>
              </w:rPr>
            </w:pPr>
            <w:r w:rsidRPr="00A412EE">
              <w:rPr>
                <w:color w:val="000000" w:themeColor="text1"/>
                <w:sz w:val="20"/>
                <w:szCs w:val="20"/>
                <w:lang w:val="en-GB"/>
              </w:rPr>
              <w:t>First author, publication year</w:t>
            </w:r>
          </w:p>
        </w:tc>
        <w:tc>
          <w:tcPr>
            <w:tcW w:w="992" w:type="dxa"/>
            <w:hideMark/>
          </w:tcPr>
          <w:p w14:paraId="36E57252"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i/>
                <w:iCs/>
                <w:color w:val="000000" w:themeColor="text1"/>
                <w:sz w:val="20"/>
                <w:szCs w:val="20"/>
              </w:rPr>
            </w:pPr>
            <w:r w:rsidRPr="00A412EE">
              <w:rPr>
                <w:b/>
                <w:bCs/>
                <w:color w:val="000000" w:themeColor="text1"/>
                <w:sz w:val="20"/>
                <w:szCs w:val="20"/>
              </w:rPr>
              <w:t xml:space="preserve">(1) </w:t>
            </w:r>
          </w:p>
        </w:tc>
        <w:tc>
          <w:tcPr>
            <w:tcW w:w="993" w:type="dxa"/>
            <w:hideMark/>
          </w:tcPr>
          <w:p w14:paraId="1B5F8E9B"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i/>
                <w:iCs/>
                <w:color w:val="000000" w:themeColor="text1"/>
                <w:sz w:val="20"/>
                <w:szCs w:val="20"/>
              </w:rPr>
            </w:pPr>
            <w:r w:rsidRPr="00A412EE">
              <w:rPr>
                <w:b/>
                <w:bCs/>
                <w:color w:val="000000" w:themeColor="text1"/>
                <w:sz w:val="20"/>
                <w:szCs w:val="20"/>
              </w:rPr>
              <w:t>(2)</w:t>
            </w:r>
          </w:p>
        </w:tc>
        <w:tc>
          <w:tcPr>
            <w:tcW w:w="992" w:type="dxa"/>
            <w:hideMark/>
          </w:tcPr>
          <w:p w14:paraId="3BEE897B"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i/>
                <w:iCs/>
                <w:color w:val="000000" w:themeColor="text1"/>
                <w:sz w:val="20"/>
                <w:szCs w:val="20"/>
              </w:rPr>
            </w:pPr>
            <w:r w:rsidRPr="00A412EE">
              <w:rPr>
                <w:b/>
                <w:color w:val="000000" w:themeColor="text1"/>
                <w:sz w:val="20"/>
                <w:szCs w:val="20"/>
              </w:rPr>
              <w:t>(3)</w:t>
            </w:r>
          </w:p>
        </w:tc>
        <w:tc>
          <w:tcPr>
            <w:tcW w:w="992" w:type="dxa"/>
            <w:hideMark/>
          </w:tcPr>
          <w:p w14:paraId="491CFDDD"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sz w:val="20"/>
                <w:szCs w:val="20"/>
                <w:u w:val="single"/>
              </w:rPr>
            </w:pPr>
            <w:r w:rsidRPr="00A412EE">
              <w:rPr>
                <w:b/>
                <w:bCs/>
                <w:color w:val="000000" w:themeColor="text1"/>
                <w:sz w:val="20"/>
                <w:szCs w:val="20"/>
                <w:u w:val="single"/>
                <w:lang w:val="en-GB"/>
              </w:rPr>
              <w:t>(4)</w:t>
            </w:r>
          </w:p>
        </w:tc>
        <w:tc>
          <w:tcPr>
            <w:tcW w:w="992" w:type="dxa"/>
            <w:hideMark/>
          </w:tcPr>
          <w:p w14:paraId="7843DA61"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A412EE">
              <w:rPr>
                <w:b/>
                <w:bCs/>
                <w:color w:val="000000" w:themeColor="text1"/>
                <w:sz w:val="20"/>
                <w:szCs w:val="20"/>
                <w:lang w:val="en-GB"/>
              </w:rPr>
              <w:t>(5)</w:t>
            </w:r>
          </w:p>
        </w:tc>
        <w:tc>
          <w:tcPr>
            <w:tcW w:w="993" w:type="dxa"/>
            <w:hideMark/>
          </w:tcPr>
          <w:p w14:paraId="5E1DA5EF"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A412EE">
              <w:rPr>
                <w:b/>
                <w:bCs/>
                <w:color w:val="000000" w:themeColor="text1"/>
                <w:sz w:val="20"/>
                <w:szCs w:val="20"/>
                <w:lang w:val="en-GB"/>
              </w:rPr>
              <w:t>(6)</w:t>
            </w:r>
          </w:p>
        </w:tc>
        <w:tc>
          <w:tcPr>
            <w:tcW w:w="992" w:type="dxa"/>
            <w:hideMark/>
          </w:tcPr>
          <w:p w14:paraId="3273B4D7"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A412EE">
              <w:rPr>
                <w:b/>
                <w:bCs/>
                <w:color w:val="000000" w:themeColor="text1"/>
                <w:sz w:val="20"/>
                <w:szCs w:val="20"/>
                <w:lang w:val="en-GB"/>
              </w:rPr>
              <w:t>(7)</w:t>
            </w:r>
          </w:p>
        </w:tc>
        <w:tc>
          <w:tcPr>
            <w:tcW w:w="992" w:type="dxa"/>
            <w:hideMark/>
          </w:tcPr>
          <w:p w14:paraId="1BED6EFB"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A412EE">
              <w:rPr>
                <w:b/>
                <w:bCs/>
                <w:color w:val="000000" w:themeColor="text1"/>
                <w:sz w:val="20"/>
                <w:szCs w:val="20"/>
                <w:lang w:val="en-GB"/>
              </w:rPr>
              <w:t>(8)</w:t>
            </w:r>
          </w:p>
        </w:tc>
        <w:tc>
          <w:tcPr>
            <w:tcW w:w="1005" w:type="dxa"/>
            <w:hideMark/>
          </w:tcPr>
          <w:p w14:paraId="7EC7429C"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A412EE">
              <w:rPr>
                <w:b/>
                <w:bCs/>
                <w:color w:val="000000" w:themeColor="text1"/>
                <w:sz w:val="20"/>
                <w:szCs w:val="20"/>
                <w:lang w:val="en-GB"/>
              </w:rPr>
              <w:t>(9)</w:t>
            </w:r>
          </w:p>
        </w:tc>
        <w:tc>
          <w:tcPr>
            <w:tcW w:w="1079" w:type="dxa"/>
          </w:tcPr>
          <w:p w14:paraId="3D535A0D"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sz w:val="20"/>
                <w:szCs w:val="20"/>
                <w:lang w:val="en-GB"/>
              </w:rPr>
            </w:pPr>
            <w:r>
              <w:rPr>
                <w:b/>
                <w:bCs/>
                <w:color w:val="000000" w:themeColor="text1"/>
                <w:sz w:val="20"/>
                <w:szCs w:val="20"/>
                <w:lang w:val="en-GB"/>
              </w:rPr>
              <w:t>Positive</w:t>
            </w:r>
            <w:r w:rsidRPr="00A412EE">
              <w:rPr>
                <w:b/>
                <w:bCs/>
                <w:color w:val="000000" w:themeColor="text1"/>
                <w:sz w:val="20"/>
                <w:szCs w:val="20"/>
                <w:lang w:val="en-GB"/>
              </w:rPr>
              <w:t xml:space="preserve"> answers</w:t>
            </w:r>
          </w:p>
        </w:tc>
        <w:tc>
          <w:tcPr>
            <w:tcW w:w="1743" w:type="dxa"/>
          </w:tcPr>
          <w:p w14:paraId="41B27678" w14:textId="77777777" w:rsidR="00D43FDD" w:rsidRPr="00A412EE" w:rsidRDefault="00D43FDD" w:rsidP="009E7F38">
            <w:pPr>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sz w:val="20"/>
                <w:szCs w:val="20"/>
                <w:lang w:val="en-GB"/>
              </w:rPr>
            </w:pPr>
            <w:r>
              <w:rPr>
                <w:b/>
                <w:bCs/>
                <w:color w:val="000000" w:themeColor="text1"/>
                <w:sz w:val="20"/>
                <w:szCs w:val="20"/>
                <w:lang w:val="en-GB"/>
              </w:rPr>
              <w:t>Risk of bias:</w:t>
            </w:r>
            <w:r>
              <w:rPr>
                <w:b/>
                <w:bCs/>
                <w:color w:val="000000" w:themeColor="text1"/>
                <w:sz w:val="20"/>
                <w:szCs w:val="20"/>
                <w:lang w:val="en-GB"/>
              </w:rPr>
              <w:br/>
              <w:t>h</w:t>
            </w:r>
            <w:r w:rsidRPr="00A412EE">
              <w:rPr>
                <w:b/>
                <w:bCs/>
                <w:color w:val="000000" w:themeColor="text1"/>
                <w:sz w:val="20"/>
                <w:szCs w:val="20"/>
                <w:lang w:val="en-GB"/>
              </w:rPr>
              <w:t>igh</w:t>
            </w:r>
            <w:r>
              <w:rPr>
                <w:b/>
                <w:bCs/>
                <w:color w:val="000000" w:themeColor="text1"/>
                <w:sz w:val="20"/>
                <w:szCs w:val="20"/>
                <w:lang w:val="en-GB"/>
              </w:rPr>
              <w:t xml:space="preserve"> (</w:t>
            </w:r>
            <w:r w:rsidRPr="00A412EE">
              <w:rPr>
                <w:b/>
                <w:bCs/>
                <w:color w:val="000000" w:themeColor="text1"/>
                <w:sz w:val="20"/>
                <w:szCs w:val="20"/>
                <w:lang w:val="en-GB"/>
              </w:rPr>
              <w:t>≤49%</w:t>
            </w:r>
            <w:r>
              <w:rPr>
                <w:b/>
                <w:bCs/>
                <w:color w:val="000000" w:themeColor="text1"/>
                <w:sz w:val="20"/>
                <w:szCs w:val="20"/>
                <w:lang w:val="en-GB"/>
              </w:rPr>
              <w:t xml:space="preserve">); </w:t>
            </w:r>
            <w:r w:rsidRPr="00A412EE">
              <w:rPr>
                <w:b/>
                <w:bCs/>
                <w:color w:val="000000" w:themeColor="text1"/>
                <w:sz w:val="20"/>
                <w:szCs w:val="20"/>
                <w:lang w:val="en-GB"/>
              </w:rPr>
              <w:t>moderate (50%-69%)</w:t>
            </w:r>
            <w:r>
              <w:rPr>
                <w:b/>
                <w:bCs/>
                <w:color w:val="000000" w:themeColor="text1"/>
                <w:sz w:val="20"/>
                <w:szCs w:val="20"/>
                <w:lang w:val="en-GB"/>
              </w:rPr>
              <w:t xml:space="preserve">; </w:t>
            </w:r>
            <w:r w:rsidRPr="00A412EE">
              <w:rPr>
                <w:b/>
                <w:bCs/>
                <w:color w:val="000000" w:themeColor="text1"/>
                <w:sz w:val="20"/>
                <w:szCs w:val="20"/>
                <w:lang w:val="en-GB"/>
              </w:rPr>
              <w:t>low (≥70%</w:t>
            </w:r>
            <w:r>
              <w:rPr>
                <w:b/>
                <w:bCs/>
                <w:color w:val="000000" w:themeColor="text1"/>
                <w:sz w:val="20"/>
                <w:szCs w:val="20"/>
                <w:lang w:val="en-GB"/>
              </w:rPr>
              <w:t>)</w:t>
            </w:r>
          </w:p>
        </w:tc>
      </w:tr>
      <w:tr w:rsidR="00D43FDD" w:rsidRPr="007D6B25" w14:paraId="66C5D5FD" w14:textId="77777777" w:rsidTr="009E7F38">
        <w:trPr>
          <w:trHeight w:val="419"/>
        </w:trPr>
        <w:tc>
          <w:tcPr>
            <w:cnfStyle w:val="001000000000" w:firstRow="0" w:lastRow="0" w:firstColumn="1" w:lastColumn="0" w:oddVBand="0" w:evenVBand="0" w:oddHBand="0" w:evenHBand="0" w:firstRowFirstColumn="0" w:firstRowLastColumn="0" w:lastRowFirstColumn="0" w:lastRowLastColumn="0"/>
            <w:tcW w:w="1985" w:type="dxa"/>
            <w:hideMark/>
          </w:tcPr>
          <w:p w14:paraId="6A258FBE" w14:textId="162BBE55"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Baykan, 201</w:t>
            </w:r>
            <w:proofErr w:type="spellEnd"/>
            <w:r w:rsidRPr="00A412EE">
              <w:rPr>
                <w:color w:val="000000"/>
                <w:sz w:val="20"/>
                <w:szCs w:val="20"/>
                <w:lang w:val="en-GB"/>
              </w:rPr>
              <w:t>5</w:t>
            </w:r>
          </w:p>
        </w:tc>
        <w:tc>
          <w:tcPr>
            <w:tcW w:w="992" w:type="dxa"/>
            <w:vAlign w:val="center"/>
            <w:hideMark/>
          </w:tcPr>
          <w:p w14:paraId="3E085E9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6221964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3D8F1050"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de-DE"/>
              </w:rPr>
            </w:pPr>
            <w:r>
              <w:rPr>
                <w:color w:val="000000"/>
                <w:sz w:val="20"/>
                <w:szCs w:val="20"/>
              </w:rPr>
              <w:t>Y</w:t>
            </w:r>
          </w:p>
        </w:tc>
        <w:tc>
          <w:tcPr>
            <w:tcW w:w="992" w:type="dxa"/>
            <w:vAlign w:val="center"/>
            <w:hideMark/>
          </w:tcPr>
          <w:p w14:paraId="3471A3D5"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N</w:t>
            </w:r>
          </w:p>
        </w:tc>
        <w:tc>
          <w:tcPr>
            <w:tcW w:w="992" w:type="dxa"/>
            <w:vAlign w:val="center"/>
            <w:hideMark/>
          </w:tcPr>
          <w:p w14:paraId="06A6E2E5"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Y</w:t>
            </w:r>
          </w:p>
        </w:tc>
        <w:tc>
          <w:tcPr>
            <w:tcW w:w="993" w:type="dxa"/>
            <w:vAlign w:val="center"/>
            <w:hideMark/>
          </w:tcPr>
          <w:p w14:paraId="4B5B2DB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N</w:t>
            </w:r>
          </w:p>
        </w:tc>
        <w:tc>
          <w:tcPr>
            <w:tcW w:w="992" w:type="dxa"/>
            <w:vAlign w:val="center"/>
            <w:hideMark/>
          </w:tcPr>
          <w:p w14:paraId="03F61DCD"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13E20429"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60C665B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79" w:type="dxa"/>
          </w:tcPr>
          <w:p w14:paraId="36383E79"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7 (78%)</w:t>
            </w:r>
          </w:p>
        </w:tc>
        <w:tc>
          <w:tcPr>
            <w:tcW w:w="1743" w:type="dxa"/>
          </w:tcPr>
          <w:p w14:paraId="26C1758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Low risk</w:t>
            </w:r>
          </w:p>
        </w:tc>
      </w:tr>
      <w:tr w:rsidR="00D43FDD" w:rsidRPr="001D6EEA" w14:paraId="765BFF3E" w14:textId="77777777" w:rsidTr="009E7F3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985" w:type="dxa"/>
            <w:hideMark/>
          </w:tcPr>
          <w:p w14:paraId="4EAF3BFA" w14:textId="2FDB7B3D"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Cuvellier</w:t>
            </w:r>
            <w:proofErr w:type="spellEnd"/>
            <w:r w:rsidRPr="00A412EE">
              <w:rPr>
                <w:color w:val="000000"/>
                <w:sz w:val="20"/>
                <w:szCs w:val="20"/>
                <w:lang w:val="en-GB"/>
              </w:rPr>
              <w:t>, 2009</w:t>
            </w:r>
          </w:p>
        </w:tc>
        <w:tc>
          <w:tcPr>
            <w:tcW w:w="992" w:type="dxa"/>
            <w:vAlign w:val="center"/>
            <w:hideMark/>
          </w:tcPr>
          <w:p w14:paraId="339CC355"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1FFE61B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7CF8123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53DF5BD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3AD2FFD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4BAD2EB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4DE74135"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3BBD76B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6E7FB92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79" w:type="dxa"/>
          </w:tcPr>
          <w:p w14:paraId="34EFA86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Pr>
                <w:color w:val="000000"/>
                <w:sz w:val="20"/>
                <w:szCs w:val="20"/>
                <w:lang w:val="en-GB"/>
              </w:rPr>
              <w:t>3</w:t>
            </w:r>
            <w:r w:rsidRPr="00A412EE">
              <w:rPr>
                <w:color w:val="000000"/>
                <w:sz w:val="20"/>
                <w:szCs w:val="20"/>
                <w:lang w:val="en-GB"/>
              </w:rPr>
              <w:t xml:space="preserve"> (</w:t>
            </w:r>
            <w:r>
              <w:rPr>
                <w:color w:val="000000"/>
                <w:sz w:val="20"/>
                <w:szCs w:val="20"/>
                <w:lang w:val="en-GB"/>
              </w:rPr>
              <w:t>33</w:t>
            </w:r>
            <w:r w:rsidRPr="00A412EE">
              <w:rPr>
                <w:color w:val="000000"/>
                <w:sz w:val="20"/>
                <w:szCs w:val="20"/>
                <w:lang w:val="en-GB"/>
              </w:rPr>
              <w:t>%)</w:t>
            </w:r>
          </w:p>
        </w:tc>
        <w:tc>
          <w:tcPr>
            <w:tcW w:w="1743" w:type="dxa"/>
          </w:tcPr>
          <w:p w14:paraId="691C1B9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7D6B25" w14:paraId="0E6FBD5E" w14:textId="77777777" w:rsidTr="009E7F38">
        <w:trPr>
          <w:trHeight w:val="391"/>
        </w:trPr>
        <w:tc>
          <w:tcPr>
            <w:cnfStyle w:val="001000000000" w:firstRow="0" w:lastRow="0" w:firstColumn="1" w:lastColumn="0" w:oddVBand="0" w:evenVBand="0" w:oddHBand="0" w:evenHBand="0" w:firstRowFirstColumn="0" w:firstRowLastColumn="0" w:lastRowFirstColumn="0" w:lastRowLastColumn="0"/>
            <w:tcW w:w="1985" w:type="dxa"/>
          </w:tcPr>
          <w:p w14:paraId="425BE9FB" w14:textId="3AA10E58" w:rsidR="00D43FDD" w:rsidRPr="00A412EE" w:rsidRDefault="00D43FDD" w:rsidP="009E7F38">
            <w:pPr>
              <w:spacing w:before="60" w:after="60"/>
              <w:rPr>
                <w:b w:val="0"/>
                <w:bCs w:val="0"/>
                <w:color w:val="000000"/>
                <w:sz w:val="20"/>
                <w:szCs w:val="20"/>
                <w:lang w:val="en-GB"/>
              </w:rPr>
            </w:pPr>
            <w:r w:rsidRPr="00A412EE">
              <w:rPr>
                <w:color w:val="000000"/>
                <w:sz w:val="20"/>
                <w:szCs w:val="20"/>
                <w:lang w:val="en-GB"/>
              </w:rPr>
              <w:t>Fonseca, 2020</w:t>
            </w:r>
          </w:p>
        </w:tc>
        <w:tc>
          <w:tcPr>
            <w:tcW w:w="992" w:type="dxa"/>
            <w:vAlign w:val="center"/>
          </w:tcPr>
          <w:p w14:paraId="5B2C10C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rPr>
              <w:t>N</w:t>
            </w:r>
          </w:p>
        </w:tc>
        <w:tc>
          <w:tcPr>
            <w:tcW w:w="993" w:type="dxa"/>
            <w:vAlign w:val="center"/>
          </w:tcPr>
          <w:p w14:paraId="448CB740"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rPr>
              <w:t>N</w:t>
            </w:r>
          </w:p>
        </w:tc>
        <w:tc>
          <w:tcPr>
            <w:tcW w:w="992" w:type="dxa"/>
            <w:vAlign w:val="center"/>
          </w:tcPr>
          <w:p w14:paraId="655EEFF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rPr>
              <w:t>N</w:t>
            </w:r>
          </w:p>
        </w:tc>
        <w:tc>
          <w:tcPr>
            <w:tcW w:w="992" w:type="dxa"/>
            <w:vAlign w:val="center"/>
          </w:tcPr>
          <w:p w14:paraId="0629794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001F6840"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rPr>
              <w:t>Y</w:t>
            </w:r>
          </w:p>
        </w:tc>
        <w:tc>
          <w:tcPr>
            <w:tcW w:w="993" w:type="dxa"/>
            <w:vAlign w:val="center"/>
          </w:tcPr>
          <w:p w14:paraId="4FEF1A9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rPr>
              <w:t>N</w:t>
            </w:r>
          </w:p>
        </w:tc>
        <w:tc>
          <w:tcPr>
            <w:tcW w:w="992" w:type="dxa"/>
            <w:vAlign w:val="center"/>
          </w:tcPr>
          <w:p w14:paraId="22DC0DA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rPr>
              <w:t>N</w:t>
            </w:r>
          </w:p>
        </w:tc>
        <w:tc>
          <w:tcPr>
            <w:tcW w:w="992" w:type="dxa"/>
            <w:vAlign w:val="center"/>
          </w:tcPr>
          <w:p w14:paraId="6F050FD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rPr>
              <w:t>Y</w:t>
            </w:r>
          </w:p>
        </w:tc>
        <w:tc>
          <w:tcPr>
            <w:tcW w:w="1005" w:type="dxa"/>
            <w:vAlign w:val="center"/>
          </w:tcPr>
          <w:p w14:paraId="303CB5B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rPr>
              <w:t>N</w:t>
            </w:r>
          </w:p>
        </w:tc>
        <w:tc>
          <w:tcPr>
            <w:tcW w:w="1079" w:type="dxa"/>
          </w:tcPr>
          <w:p w14:paraId="24132F6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2 (22%)</w:t>
            </w:r>
          </w:p>
        </w:tc>
        <w:tc>
          <w:tcPr>
            <w:tcW w:w="1743" w:type="dxa"/>
          </w:tcPr>
          <w:p w14:paraId="0F0D5B2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1D6EEA" w14:paraId="3F9457C4" w14:textId="77777777" w:rsidTr="009E7F3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85" w:type="dxa"/>
            <w:hideMark/>
          </w:tcPr>
          <w:p w14:paraId="6FC087D4" w14:textId="2B21615E" w:rsidR="00D43FDD" w:rsidRPr="00A412EE" w:rsidRDefault="00D43FDD" w:rsidP="009E7F38">
            <w:pPr>
              <w:spacing w:before="60" w:after="60"/>
              <w:rPr>
                <w:b w:val="0"/>
                <w:color w:val="000000"/>
                <w:sz w:val="20"/>
                <w:szCs w:val="20"/>
              </w:rPr>
            </w:pPr>
            <w:r w:rsidRPr="00A412EE">
              <w:rPr>
                <w:color w:val="000000"/>
                <w:sz w:val="20"/>
                <w:szCs w:val="20"/>
                <w:lang w:val="en-GB"/>
              </w:rPr>
              <w:t>Gago-</w:t>
            </w:r>
            <w:proofErr w:type="spellStart"/>
            <w:r w:rsidRPr="00A412EE">
              <w:rPr>
                <w:color w:val="000000"/>
                <w:sz w:val="20"/>
                <w:szCs w:val="20"/>
                <w:lang w:val="en-GB"/>
              </w:rPr>
              <w:t>Veiga</w:t>
            </w:r>
            <w:proofErr w:type="spellEnd"/>
            <w:r w:rsidRPr="00A412EE">
              <w:rPr>
                <w:color w:val="000000"/>
                <w:sz w:val="20"/>
                <w:szCs w:val="20"/>
                <w:lang w:val="en-GB"/>
              </w:rPr>
              <w:t>, 2018</w:t>
            </w:r>
          </w:p>
        </w:tc>
        <w:tc>
          <w:tcPr>
            <w:tcW w:w="992" w:type="dxa"/>
            <w:vAlign w:val="center"/>
            <w:hideMark/>
          </w:tcPr>
          <w:p w14:paraId="4827B13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35C5BBA2"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7DBC01F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30A4C2A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3BCBD9E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16745CD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0919CA92"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3D7CF43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7DB0DBA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1079" w:type="dxa"/>
          </w:tcPr>
          <w:p w14:paraId="04E6BBE8"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3 (33%)</w:t>
            </w:r>
          </w:p>
        </w:tc>
        <w:tc>
          <w:tcPr>
            <w:tcW w:w="1743" w:type="dxa"/>
          </w:tcPr>
          <w:p w14:paraId="22C3760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7D6B25" w14:paraId="17BB05D3" w14:textId="77777777" w:rsidTr="009E7F38">
        <w:trPr>
          <w:trHeight w:val="357"/>
        </w:trPr>
        <w:tc>
          <w:tcPr>
            <w:cnfStyle w:val="001000000000" w:firstRow="0" w:lastRow="0" w:firstColumn="1" w:lastColumn="0" w:oddVBand="0" w:evenVBand="0" w:oddHBand="0" w:evenHBand="0" w:firstRowFirstColumn="0" w:firstRowLastColumn="0" w:lastRowFirstColumn="0" w:lastRowLastColumn="0"/>
            <w:tcW w:w="1985" w:type="dxa"/>
            <w:hideMark/>
          </w:tcPr>
          <w:p w14:paraId="38F7D6E4" w14:textId="793A3C3D"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Giffin</w:t>
            </w:r>
            <w:proofErr w:type="spellEnd"/>
            <w:r w:rsidRPr="00A412EE">
              <w:rPr>
                <w:color w:val="000000"/>
                <w:sz w:val="20"/>
                <w:szCs w:val="20"/>
                <w:lang w:val="en-GB"/>
              </w:rPr>
              <w:t>, 2003</w:t>
            </w:r>
          </w:p>
        </w:tc>
        <w:tc>
          <w:tcPr>
            <w:tcW w:w="992" w:type="dxa"/>
            <w:vAlign w:val="center"/>
            <w:hideMark/>
          </w:tcPr>
          <w:p w14:paraId="16FBB6C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519EE05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5711DF85"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63B8D0B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442B45A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4B1B3330"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6D87A26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076D83A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0F60C03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1079" w:type="dxa"/>
          </w:tcPr>
          <w:p w14:paraId="0DB9CA75"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3 (33%)</w:t>
            </w:r>
          </w:p>
        </w:tc>
        <w:tc>
          <w:tcPr>
            <w:tcW w:w="1743" w:type="dxa"/>
          </w:tcPr>
          <w:p w14:paraId="2B9895E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1D6EEA" w14:paraId="084FD66E" w14:textId="77777777" w:rsidTr="009E7F3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985" w:type="dxa"/>
            <w:hideMark/>
          </w:tcPr>
          <w:p w14:paraId="7CDB39C1" w14:textId="66B83A35"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Güven</w:t>
            </w:r>
            <w:proofErr w:type="spellEnd"/>
            <w:r w:rsidRPr="00A412EE">
              <w:rPr>
                <w:color w:val="000000"/>
                <w:sz w:val="20"/>
                <w:szCs w:val="20"/>
                <w:lang w:val="en-GB"/>
              </w:rPr>
              <w:t>, 2017</w:t>
            </w:r>
          </w:p>
        </w:tc>
        <w:tc>
          <w:tcPr>
            <w:tcW w:w="992" w:type="dxa"/>
            <w:vAlign w:val="center"/>
            <w:hideMark/>
          </w:tcPr>
          <w:p w14:paraId="0143939C"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188269C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5E20507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18BC6095"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0DD1E07D"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479DE34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0F2488F7"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07A7165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3011D530"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1079" w:type="dxa"/>
          </w:tcPr>
          <w:p w14:paraId="372C5F6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de-DE"/>
              </w:rPr>
            </w:pPr>
            <w:r w:rsidRPr="00A412EE">
              <w:rPr>
                <w:color w:val="000000"/>
                <w:sz w:val="20"/>
                <w:szCs w:val="20"/>
                <w:lang w:val="en-GB"/>
              </w:rPr>
              <w:t>4 (44%)</w:t>
            </w:r>
          </w:p>
        </w:tc>
        <w:tc>
          <w:tcPr>
            <w:tcW w:w="1743" w:type="dxa"/>
          </w:tcPr>
          <w:p w14:paraId="3C5447B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BC5907" w:rsidRPr="007D6B25" w14:paraId="61E755ED" w14:textId="77777777" w:rsidTr="009E7F38">
        <w:trPr>
          <w:trHeight w:val="277"/>
        </w:trPr>
        <w:tc>
          <w:tcPr>
            <w:cnfStyle w:val="001000000000" w:firstRow="0" w:lastRow="0" w:firstColumn="1" w:lastColumn="0" w:oddVBand="0" w:evenVBand="0" w:oddHBand="0" w:evenHBand="0" w:firstRowFirstColumn="0" w:firstRowLastColumn="0" w:lastRowFirstColumn="0" w:lastRowLastColumn="0"/>
            <w:tcW w:w="1985" w:type="dxa"/>
          </w:tcPr>
          <w:p w14:paraId="3F55B67F" w14:textId="5EEBD96F" w:rsidR="00BC5907" w:rsidRPr="00A412EE" w:rsidRDefault="00BC5907" w:rsidP="009E7F38">
            <w:pPr>
              <w:spacing w:before="60" w:after="60"/>
              <w:rPr>
                <w:color w:val="000000"/>
                <w:sz w:val="20"/>
                <w:szCs w:val="20"/>
                <w:lang w:val="en-GB"/>
              </w:rPr>
            </w:pPr>
            <w:proofErr w:type="spellStart"/>
            <w:r>
              <w:rPr>
                <w:color w:val="000000"/>
                <w:sz w:val="20"/>
                <w:szCs w:val="20"/>
                <w:lang w:val="en-GB"/>
              </w:rPr>
              <w:t>Haytoglu</w:t>
            </w:r>
            <w:proofErr w:type="spellEnd"/>
            <w:r>
              <w:rPr>
                <w:color w:val="000000"/>
                <w:sz w:val="20"/>
                <w:szCs w:val="20"/>
                <w:lang w:val="en-GB"/>
              </w:rPr>
              <w:t>, 2019</w:t>
            </w:r>
          </w:p>
        </w:tc>
        <w:tc>
          <w:tcPr>
            <w:tcW w:w="992" w:type="dxa"/>
            <w:vAlign w:val="center"/>
          </w:tcPr>
          <w:p w14:paraId="56470598" w14:textId="2E2C245D" w:rsidR="00BC5907" w:rsidRDefault="00BC5907"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7DAE81CA" w14:textId="6E7BBCE1" w:rsidR="00BC5907" w:rsidRDefault="00BC5907"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2AB61FF7" w14:textId="61DD784E" w:rsidR="00BC5907" w:rsidRDefault="00BC5907" w:rsidP="00BC5907">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27F50AB1" w14:textId="4B5663F6" w:rsidR="00BC5907" w:rsidRDefault="00BC5907"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7EA7F878" w14:textId="27F3F163" w:rsidR="00BC5907" w:rsidRDefault="0017164C"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0CF42170" w14:textId="7822E7F2" w:rsidR="00BC5907" w:rsidRDefault="00BC5907"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0CB37353" w14:textId="6E293974" w:rsidR="00BC5907" w:rsidRDefault="00BC5907"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5B5BDC04" w14:textId="3E8E11CC" w:rsidR="00BC5907" w:rsidRDefault="00BC5907"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6E146D60" w14:textId="6B4DA649" w:rsidR="00BC5907" w:rsidRDefault="00BC5907"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1079" w:type="dxa"/>
          </w:tcPr>
          <w:p w14:paraId="20B4F99B" w14:textId="6D23B637" w:rsidR="00BC5907" w:rsidRDefault="0017164C"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lang w:val="en-GB"/>
              </w:rPr>
              <w:t>2</w:t>
            </w:r>
            <w:r w:rsidR="00BC5907">
              <w:rPr>
                <w:color w:val="000000"/>
                <w:sz w:val="20"/>
                <w:szCs w:val="20"/>
                <w:lang w:val="en-GB"/>
              </w:rPr>
              <w:t xml:space="preserve"> (</w:t>
            </w:r>
            <w:r>
              <w:rPr>
                <w:color w:val="000000"/>
                <w:sz w:val="20"/>
                <w:szCs w:val="20"/>
                <w:lang w:val="en-GB"/>
              </w:rPr>
              <w:t>22</w:t>
            </w:r>
            <w:r w:rsidR="00BC5907">
              <w:rPr>
                <w:color w:val="000000"/>
                <w:sz w:val="20"/>
                <w:szCs w:val="20"/>
                <w:lang w:val="en-GB"/>
              </w:rPr>
              <w:t>%)</w:t>
            </w:r>
          </w:p>
        </w:tc>
        <w:tc>
          <w:tcPr>
            <w:tcW w:w="1743" w:type="dxa"/>
          </w:tcPr>
          <w:p w14:paraId="59D8815B" w14:textId="368381A9" w:rsidR="00BC5907" w:rsidRPr="00A412EE" w:rsidRDefault="00BC5907"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lang w:val="en-GB"/>
              </w:rPr>
              <w:t>High risk</w:t>
            </w:r>
          </w:p>
        </w:tc>
      </w:tr>
      <w:tr w:rsidR="00D43FDD" w:rsidRPr="007D6B25" w14:paraId="1DC9D2B0" w14:textId="77777777" w:rsidTr="009E7F3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5" w:type="dxa"/>
            <w:hideMark/>
          </w:tcPr>
          <w:p w14:paraId="79E1EE1C" w14:textId="0BF8B2B1" w:rsidR="00D43FDD" w:rsidRPr="00A412EE" w:rsidRDefault="00D43FDD" w:rsidP="009E7F38">
            <w:pPr>
              <w:spacing w:before="60" w:after="60"/>
              <w:rPr>
                <w:b w:val="0"/>
                <w:color w:val="000000"/>
                <w:sz w:val="20"/>
                <w:szCs w:val="20"/>
              </w:rPr>
            </w:pPr>
            <w:r w:rsidRPr="00A412EE">
              <w:rPr>
                <w:color w:val="000000"/>
                <w:sz w:val="20"/>
                <w:szCs w:val="20"/>
                <w:lang w:val="en-GB"/>
              </w:rPr>
              <w:t>Ho, 2003</w:t>
            </w:r>
          </w:p>
        </w:tc>
        <w:tc>
          <w:tcPr>
            <w:tcW w:w="992" w:type="dxa"/>
            <w:vAlign w:val="center"/>
            <w:hideMark/>
          </w:tcPr>
          <w:p w14:paraId="6B78923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0B8D62E8"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4A18108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18401338"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6D2E19F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1CA6212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2C52662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7026AF1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171861B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79" w:type="dxa"/>
          </w:tcPr>
          <w:p w14:paraId="1D69B1A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Pr>
                <w:color w:val="000000"/>
                <w:sz w:val="20"/>
                <w:szCs w:val="20"/>
                <w:lang w:val="en-GB"/>
              </w:rPr>
              <w:t xml:space="preserve">6 </w:t>
            </w:r>
            <w:r w:rsidRPr="00A412EE">
              <w:rPr>
                <w:color w:val="000000"/>
                <w:sz w:val="20"/>
                <w:szCs w:val="20"/>
                <w:lang w:val="en-GB"/>
              </w:rPr>
              <w:t>(6</w:t>
            </w:r>
            <w:r>
              <w:rPr>
                <w:color w:val="000000"/>
                <w:sz w:val="20"/>
                <w:szCs w:val="20"/>
                <w:lang w:val="en-GB"/>
              </w:rPr>
              <w:t>7</w:t>
            </w:r>
            <w:r w:rsidRPr="00A412EE">
              <w:rPr>
                <w:color w:val="000000"/>
                <w:sz w:val="20"/>
                <w:szCs w:val="20"/>
                <w:lang w:val="en-GB"/>
              </w:rPr>
              <w:t>%)</w:t>
            </w:r>
          </w:p>
        </w:tc>
        <w:tc>
          <w:tcPr>
            <w:tcW w:w="1743" w:type="dxa"/>
          </w:tcPr>
          <w:p w14:paraId="7AD0228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Moderate risk</w:t>
            </w:r>
          </w:p>
        </w:tc>
      </w:tr>
      <w:tr w:rsidR="00D43FDD" w:rsidRPr="001D6EEA" w14:paraId="6C1F8146" w14:textId="77777777" w:rsidTr="009E7F38">
        <w:trPr>
          <w:trHeight w:val="339"/>
        </w:trPr>
        <w:tc>
          <w:tcPr>
            <w:cnfStyle w:val="001000000000" w:firstRow="0" w:lastRow="0" w:firstColumn="1" w:lastColumn="0" w:oddVBand="0" w:evenVBand="0" w:oddHBand="0" w:evenHBand="0" w:firstRowFirstColumn="0" w:firstRowLastColumn="0" w:lastRowFirstColumn="0" w:lastRowLastColumn="0"/>
            <w:tcW w:w="1985" w:type="dxa"/>
            <w:hideMark/>
          </w:tcPr>
          <w:p w14:paraId="62A47996" w14:textId="0FAE042B" w:rsidR="00D43FDD" w:rsidRPr="00A412EE" w:rsidRDefault="00D43FDD" w:rsidP="009E7F38">
            <w:pPr>
              <w:spacing w:before="60" w:after="60"/>
              <w:rPr>
                <w:b w:val="0"/>
                <w:color w:val="000000"/>
                <w:sz w:val="20"/>
                <w:szCs w:val="20"/>
              </w:rPr>
            </w:pPr>
            <w:r w:rsidRPr="00A412EE">
              <w:rPr>
                <w:color w:val="000000"/>
                <w:sz w:val="20"/>
                <w:szCs w:val="20"/>
                <w:lang w:val="en-GB"/>
              </w:rPr>
              <w:t>Jacobs, 2019</w:t>
            </w:r>
          </w:p>
        </w:tc>
        <w:tc>
          <w:tcPr>
            <w:tcW w:w="992" w:type="dxa"/>
            <w:vAlign w:val="center"/>
            <w:hideMark/>
          </w:tcPr>
          <w:p w14:paraId="5AD94C8D"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5D5AADFD"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7AD1AAE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58968AF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225E8D09"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2055618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068BF215"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41D2C846"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4E5A0B8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1079" w:type="dxa"/>
          </w:tcPr>
          <w:p w14:paraId="6F7A368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2 (22%)</w:t>
            </w:r>
          </w:p>
        </w:tc>
        <w:tc>
          <w:tcPr>
            <w:tcW w:w="1743" w:type="dxa"/>
          </w:tcPr>
          <w:p w14:paraId="3E8AC11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7D6B25" w14:paraId="01B3448E" w14:textId="77777777" w:rsidTr="009E7F3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85" w:type="dxa"/>
            <w:hideMark/>
          </w:tcPr>
          <w:p w14:paraId="0FAF516B" w14:textId="1833A0D7"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Kallela</w:t>
            </w:r>
            <w:proofErr w:type="spellEnd"/>
            <w:r w:rsidRPr="00A412EE">
              <w:rPr>
                <w:color w:val="000000"/>
                <w:sz w:val="20"/>
                <w:szCs w:val="20"/>
                <w:lang w:val="en-GB"/>
              </w:rPr>
              <w:t>, 2001</w:t>
            </w:r>
          </w:p>
        </w:tc>
        <w:tc>
          <w:tcPr>
            <w:tcW w:w="992" w:type="dxa"/>
            <w:vAlign w:val="center"/>
            <w:hideMark/>
          </w:tcPr>
          <w:p w14:paraId="53D33A6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69756F8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594407D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21ED0092"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1C3BAF7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38C82F12"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72C28527"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2B7B0B2D"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2A68874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1079" w:type="dxa"/>
          </w:tcPr>
          <w:p w14:paraId="071B7988"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4 (44%)</w:t>
            </w:r>
          </w:p>
        </w:tc>
        <w:tc>
          <w:tcPr>
            <w:tcW w:w="1743" w:type="dxa"/>
          </w:tcPr>
          <w:p w14:paraId="441200B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1D6EEA" w14:paraId="0915C2B8" w14:textId="77777777" w:rsidTr="009E7F38">
        <w:trPr>
          <w:trHeight w:val="321"/>
        </w:trPr>
        <w:tc>
          <w:tcPr>
            <w:cnfStyle w:val="001000000000" w:firstRow="0" w:lastRow="0" w:firstColumn="1" w:lastColumn="0" w:oddVBand="0" w:evenVBand="0" w:oddHBand="0" w:evenHBand="0" w:firstRowFirstColumn="0" w:firstRowLastColumn="0" w:lastRowFirstColumn="0" w:lastRowLastColumn="0"/>
            <w:tcW w:w="1985" w:type="dxa"/>
            <w:hideMark/>
          </w:tcPr>
          <w:p w14:paraId="5559B2A8" w14:textId="1C1A2924" w:rsidR="00D43FDD" w:rsidRPr="00A412EE" w:rsidRDefault="00D43FDD" w:rsidP="009E7F38">
            <w:pPr>
              <w:spacing w:before="60" w:after="60"/>
              <w:rPr>
                <w:b w:val="0"/>
                <w:color w:val="000000"/>
                <w:sz w:val="20"/>
                <w:szCs w:val="20"/>
              </w:rPr>
            </w:pPr>
            <w:r w:rsidRPr="00A412EE">
              <w:rPr>
                <w:color w:val="000000"/>
                <w:sz w:val="20"/>
                <w:szCs w:val="20"/>
                <w:lang w:val="en-GB"/>
              </w:rPr>
              <w:t>Karli, 2005</w:t>
            </w:r>
          </w:p>
        </w:tc>
        <w:tc>
          <w:tcPr>
            <w:tcW w:w="992" w:type="dxa"/>
            <w:vAlign w:val="center"/>
            <w:hideMark/>
          </w:tcPr>
          <w:p w14:paraId="6D27C44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29A1C23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3DA3A8F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4A9508E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5283809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19E86E8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04E4224F"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3F04E33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398D05B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1079" w:type="dxa"/>
          </w:tcPr>
          <w:p w14:paraId="72208CA0"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Pr>
                <w:color w:val="000000"/>
                <w:sz w:val="20"/>
                <w:szCs w:val="20"/>
                <w:lang w:val="en-GB"/>
              </w:rPr>
              <w:t>3</w:t>
            </w:r>
            <w:r w:rsidRPr="00A412EE">
              <w:rPr>
                <w:color w:val="000000"/>
                <w:sz w:val="20"/>
                <w:szCs w:val="20"/>
                <w:lang w:val="en-GB"/>
              </w:rPr>
              <w:t xml:space="preserve"> (</w:t>
            </w:r>
            <w:r>
              <w:rPr>
                <w:color w:val="000000"/>
                <w:sz w:val="20"/>
                <w:szCs w:val="20"/>
                <w:lang w:val="en-GB"/>
              </w:rPr>
              <w:t>33</w:t>
            </w:r>
            <w:r w:rsidRPr="00A412EE">
              <w:rPr>
                <w:color w:val="000000"/>
                <w:sz w:val="20"/>
                <w:szCs w:val="20"/>
                <w:lang w:val="en-GB"/>
              </w:rPr>
              <w:t>%)</w:t>
            </w:r>
          </w:p>
        </w:tc>
        <w:tc>
          <w:tcPr>
            <w:tcW w:w="1743" w:type="dxa"/>
          </w:tcPr>
          <w:p w14:paraId="65BFC5D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7D6B25" w14:paraId="51A894C4" w14:textId="77777777" w:rsidTr="009E7F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hideMark/>
          </w:tcPr>
          <w:p w14:paraId="22DBB8C1" w14:textId="27505A56"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Karsan</w:t>
            </w:r>
            <w:proofErr w:type="spellEnd"/>
            <w:r w:rsidRPr="00A412EE">
              <w:rPr>
                <w:color w:val="000000"/>
                <w:sz w:val="20"/>
                <w:szCs w:val="20"/>
                <w:lang w:val="en-GB"/>
              </w:rPr>
              <w:t>, 2016</w:t>
            </w:r>
          </w:p>
        </w:tc>
        <w:tc>
          <w:tcPr>
            <w:tcW w:w="992" w:type="dxa"/>
            <w:vAlign w:val="center"/>
            <w:hideMark/>
          </w:tcPr>
          <w:p w14:paraId="624B8885"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06C1504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413268B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45E85760"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7D6CD35D"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52F5A0A7"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342108E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N </w:t>
            </w:r>
          </w:p>
        </w:tc>
        <w:tc>
          <w:tcPr>
            <w:tcW w:w="992" w:type="dxa"/>
            <w:vAlign w:val="center"/>
            <w:hideMark/>
          </w:tcPr>
          <w:p w14:paraId="725F3E6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4AEA40B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1079" w:type="dxa"/>
          </w:tcPr>
          <w:p w14:paraId="17C0E4ED"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2 (22%)</w:t>
            </w:r>
          </w:p>
        </w:tc>
        <w:tc>
          <w:tcPr>
            <w:tcW w:w="1743" w:type="dxa"/>
          </w:tcPr>
          <w:p w14:paraId="5E1B2007"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1D6EEA" w14:paraId="5B59B91D" w14:textId="77777777" w:rsidTr="009E7F38">
        <w:trPr>
          <w:trHeight w:val="275"/>
        </w:trPr>
        <w:tc>
          <w:tcPr>
            <w:cnfStyle w:val="001000000000" w:firstRow="0" w:lastRow="0" w:firstColumn="1" w:lastColumn="0" w:oddVBand="0" w:evenVBand="0" w:oddHBand="0" w:evenHBand="0" w:firstRowFirstColumn="0" w:firstRowLastColumn="0" w:lastRowFirstColumn="0" w:lastRowLastColumn="0"/>
            <w:tcW w:w="1985" w:type="dxa"/>
            <w:hideMark/>
          </w:tcPr>
          <w:p w14:paraId="4B601671" w14:textId="5CAF8484"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Kececi</w:t>
            </w:r>
            <w:proofErr w:type="spellEnd"/>
            <w:r w:rsidRPr="00A412EE">
              <w:rPr>
                <w:color w:val="000000"/>
                <w:sz w:val="20"/>
                <w:szCs w:val="20"/>
                <w:lang w:val="en-GB"/>
              </w:rPr>
              <w:t>, 2002</w:t>
            </w:r>
          </w:p>
        </w:tc>
        <w:tc>
          <w:tcPr>
            <w:tcW w:w="992" w:type="dxa"/>
            <w:vAlign w:val="center"/>
            <w:hideMark/>
          </w:tcPr>
          <w:p w14:paraId="4049D4D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6B76927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3EDCF98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3E5E83D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4AF4C55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2B438C9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5974A17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6A62552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596A731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1079" w:type="dxa"/>
          </w:tcPr>
          <w:p w14:paraId="63CF2295"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4 (44%)</w:t>
            </w:r>
          </w:p>
        </w:tc>
        <w:tc>
          <w:tcPr>
            <w:tcW w:w="1743" w:type="dxa"/>
          </w:tcPr>
          <w:p w14:paraId="1C6EA26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7D6B25" w14:paraId="36504D34" w14:textId="77777777" w:rsidTr="009E7F3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985" w:type="dxa"/>
            <w:hideMark/>
          </w:tcPr>
          <w:p w14:paraId="1C1F6A00" w14:textId="720E1E07"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Kelman</w:t>
            </w:r>
            <w:proofErr w:type="spellEnd"/>
            <w:r w:rsidRPr="00A412EE">
              <w:rPr>
                <w:color w:val="000000"/>
                <w:sz w:val="20"/>
                <w:szCs w:val="20"/>
                <w:lang w:val="en-GB"/>
              </w:rPr>
              <w:t>, 2004</w:t>
            </w:r>
          </w:p>
        </w:tc>
        <w:tc>
          <w:tcPr>
            <w:tcW w:w="992" w:type="dxa"/>
            <w:vAlign w:val="center"/>
            <w:hideMark/>
          </w:tcPr>
          <w:p w14:paraId="7C323B0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2E0F116C"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131C379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3C8CC5FD"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7F944E9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7798660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2C8EEC97"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021732CD"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4F04A30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1079" w:type="dxa"/>
          </w:tcPr>
          <w:p w14:paraId="7FF0665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4 (44%)</w:t>
            </w:r>
          </w:p>
        </w:tc>
        <w:tc>
          <w:tcPr>
            <w:tcW w:w="1743" w:type="dxa"/>
          </w:tcPr>
          <w:p w14:paraId="4492298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1D6EEA" w14:paraId="391B2207" w14:textId="77777777" w:rsidTr="009E7F38">
        <w:tc>
          <w:tcPr>
            <w:cnfStyle w:val="001000000000" w:firstRow="0" w:lastRow="0" w:firstColumn="1" w:lastColumn="0" w:oddVBand="0" w:evenVBand="0" w:oddHBand="0" w:evenHBand="0" w:firstRowFirstColumn="0" w:firstRowLastColumn="0" w:lastRowFirstColumn="0" w:lastRowLastColumn="0"/>
            <w:tcW w:w="1985" w:type="dxa"/>
            <w:hideMark/>
          </w:tcPr>
          <w:p w14:paraId="41AE94F7" w14:textId="562533C6"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Kelman</w:t>
            </w:r>
            <w:proofErr w:type="spellEnd"/>
            <w:r w:rsidRPr="00A412EE">
              <w:rPr>
                <w:color w:val="000000"/>
                <w:sz w:val="20"/>
                <w:szCs w:val="20"/>
                <w:lang w:val="en-GB"/>
              </w:rPr>
              <w:t>, 2006</w:t>
            </w:r>
          </w:p>
        </w:tc>
        <w:tc>
          <w:tcPr>
            <w:tcW w:w="992" w:type="dxa"/>
            <w:vAlign w:val="center"/>
            <w:hideMark/>
          </w:tcPr>
          <w:p w14:paraId="61958FB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41B80E7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4D10C08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16B6E33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0136BB1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2BB38D70"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2245CABF"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6A7FC42F"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4296298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1079" w:type="dxa"/>
          </w:tcPr>
          <w:p w14:paraId="15C34E1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4 (44%)</w:t>
            </w:r>
          </w:p>
        </w:tc>
        <w:tc>
          <w:tcPr>
            <w:tcW w:w="1743" w:type="dxa"/>
          </w:tcPr>
          <w:p w14:paraId="0096ED5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7D6B25" w14:paraId="62EEEEB6"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60F54C12" w14:textId="2164310C"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lastRenderedPageBreak/>
              <w:t>Lampl</w:t>
            </w:r>
            <w:proofErr w:type="spellEnd"/>
            <w:r w:rsidRPr="00A412EE">
              <w:rPr>
                <w:color w:val="000000"/>
                <w:sz w:val="20"/>
                <w:szCs w:val="20"/>
                <w:lang w:val="en-GB"/>
              </w:rPr>
              <w:t>, 2015</w:t>
            </w:r>
          </w:p>
        </w:tc>
        <w:tc>
          <w:tcPr>
            <w:tcW w:w="992" w:type="dxa"/>
            <w:vAlign w:val="center"/>
            <w:hideMark/>
          </w:tcPr>
          <w:p w14:paraId="3D743890"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2EAAC6F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68A0366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6554794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74BE0497"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38C3069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2CE0EB3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4BAD137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49D1B98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1079" w:type="dxa"/>
          </w:tcPr>
          <w:p w14:paraId="0DC7CB2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4 (44%)</w:t>
            </w:r>
          </w:p>
        </w:tc>
        <w:tc>
          <w:tcPr>
            <w:tcW w:w="1743" w:type="dxa"/>
          </w:tcPr>
          <w:p w14:paraId="44C8B5B0"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1D6EEA" w14:paraId="53ACD3E6" w14:textId="77777777" w:rsidTr="009E7F38">
        <w:tc>
          <w:tcPr>
            <w:cnfStyle w:val="001000000000" w:firstRow="0" w:lastRow="0" w:firstColumn="1" w:lastColumn="0" w:oddVBand="0" w:evenVBand="0" w:oddHBand="0" w:evenHBand="0" w:firstRowFirstColumn="0" w:firstRowLastColumn="0" w:lastRowFirstColumn="0" w:lastRowLastColumn="0"/>
            <w:tcW w:w="1985" w:type="dxa"/>
            <w:hideMark/>
          </w:tcPr>
          <w:p w14:paraId="0348AACA" w14:textId="12E09E7B"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Lampl</w:t>
            </w:r>
            <w:proofErr w:type="spellEnd"/>
            <w:r w:rsidRPr="00A412EE">
              <w:rPr>
                <w:color w:val="000000"/>
                <w:sz w:val="20"/>
                <w:szCs w:val="20"/>
                <w:lang w:val="en-GB"/>
              </w:rPr>
              <w:t>, 2019</w:t>
            </w:r>
          </w:p>
        </w:tc>
        <w:tc>
          <w:tcPr>
            <w:tcW w:w="992" w:type="dxa"/>
            <w:vAlign w:val="center"/>
            <w:hideMark/>
          </w:tcPr>
          <w:p w14:paraId="15CCC5B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6BCA28D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458DC0C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6A28A7A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34B5391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275D004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35DF749D"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58896AF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2AD8C3C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79" w:type="dxa"/>
          </w:tcPr>
          <w:p w14:paraId="58DC229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5 (56%)</w:t>
            </w:r>
          </w:p>
        </w:tc>
        <w:tc>
          <w:tcPr>
            <w:tcW w:w="1743" w:type="dxa"/>
          </w:tcPr>
          <w:p w14:paraId="10276DD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Moderate risk</w:t>
            </w:r>
          </w:p>
        </w:tc>
      </w:tr>
      <w:tr w:rsidR="00D43FDD" w:rsidRPr="007D6B25" w14:paraId="31761622"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284A0AC1" w14:textId="47BB72F4"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Laurell</w:t>
            </w:r>
            <w:proofErr w:type="spellEnd"/>
            <w:r w:rsidRPr="00A412EE">
              <w:rPr>
                <w:color w:val="000000"/>
                <w:sz w:val="20"/>
                <w:szCs w:val="20"/>
                <w:lang w:val="en-GB"/>
              </w:rPr>
              <w:t>, 2015</w:t>
            </w:r>
          </w:p>
        </w:tc>
        <w:tc>
          <w:tcPr>
            <w:tcW w:w="992" w:type="dxa"/>
            <w:vAlign w:val="center"/>
          </w:tcPr>
          <w:p w14:paraId="3B8B4CA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6A097C6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08F5BF4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56B6D98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3FC51E9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08333FF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312936D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152A206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0C2A467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79" w:type="dxa"/>
          </w:tcPr>
          <w:p w14:paraId="4CDE39C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5 (56%)</w:t>
            </w:r>
          </w:p>
        </w:tc>
        <w:tc>
          <w:tcPr>
            <w:tcW w:w="1743" w:type="dxa"/>
          </w:tcPr>
          <w:p w14:paraId="045AFBA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Moderate risk</w:t>
            </w:r>
          </w:p>
        </w:tc>
      </w:tr>
      <w:tr w:rsidR="00D43FDD" w:rsidRPr="001D6EEA" w14:paraId="4B794B95" w14:textId="77777777" w:rsidTr="009E7F38">
        <w:tc>
          <w:tcPr>
            <w:cnfStyle w:val="001000000000" w:firstRow="0" w:lastRow="0" w:firstColumn="1" w:lastColumn="0" w:oddVBand="0" w:evenVBand="0" w:oddHBand="0" w:evenHBand="0" w:firstRowFirstColumn="0" w:firstRowLastColumn="0" w:lastRowFirstColumn="0" w:lastRowLastColumn="0"/>
            <w:tcW w:w="1985" w:type="dxa"/>
            <w:hideMark/>
          </w:tcPr>
          <w:p w14:paraId="1A3BDA9D" w14:textId="21FE36BF" w:rsidR="00D43FDD" w:rsidRPr="00A412EE" w:rsidRDefault="00D43FDD" w:rsidP="009E7F38">
            <w:pPr>
              <w:spacing w:before="60" w:after="60"/>
              <w:rPr>
                <w:b w:val="0"/>
                <w:color w:val="000000"/>
                <w:sz w:val="20"/>
                <w:szCs w:val="20"/>
              </w:rPr>
            </w:pPr>
            <w:r w:rsidRPr="00A412EE">
              <w:rPr>
                <w:color w:val="000000"/>
                <w:sz w:val="20"/>
                <w:szCs w:val="20"/>
                <w:lang w:val="en-GB"/>
              </w:rPr>
              <w:t>Pradhan, 2018</w:t>
            </w:r>
          </w:p>
        </w:tc>
        <w:tc>
          <w:tcPr>
            <w:tcW w:w="992" w:type="dxa"/>
            <w:vAlign w:val="center"/>
          </w:tcPr>
          <w:p w14:paraId="053E7EB9"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49902FD6"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3B87FA29"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6A94D36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6A800950"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4CF2208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7FD7769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07ECA57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1C94ABC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1079" w:type="dxa"/>
          </w:tcPr>
          <w:p w14:paraId="0E8E100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4 (44%)</w:t>
            </w:r>
          </w:p>
        </w:tc>
        <w:tc>
          <w:tcPr>
            <w:tcW w:w="1743" w:type="dxa"/>
          </w:tcPr>
          <w:p w14:paraId="7B0A0BF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7D6B25" w14:paraId="3A51829A"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075578F6" w14:textId="2670E53F"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Quintela</w:t>
            </w:r>
            <w:proofErr w:type="spellEnd"/>
            <w:r w:rsidRPr="00A412EE">
              <w:rPr>
                <w:color w:val="000000"/>
                <w:sz w:val="20"/>
                <w:szCs w:val="20"/>
                <w:lang w:val="en-GB"/>
              </w:rPr>
              <w:t>, 2006</w:t>
            </w:r>
          </w:p>
        </w:tc>
        <w:tc>
          <w:tcPr>
            <w:tcW w:w="992" w:type="dxa"/>
            <w:vAlign w:val="center"/>
          </w:tcPr>
          <w:p w14:paraId="750E2312"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3A64621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38143CF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7B73881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1A38318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78D0957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750270A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79A9D8FD"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03F6660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1079" w:type="dxa"/>
          </w:tcPr>
          <w:p w14:paraId="1EB43D8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3 (33%)</w:t>
            </w:r>
          </w:p>
        </w:tc>
        <w:tc>
          <w:tcPr>
            <w:tcW w:w="1743" w:type="dxa"/>
          </w:tcPr>
          <w:p w14:paraId="03AA60D5"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1D6EEA" w14:paraId="3EC2CA20" w14:textId="77777777" w:rsidTr="009E7F38">
        <w:tc>
          <w:tcPr>
            <w:cnfStyle w:val="001000000000" w:firstRow="0" w:lastRow="0" w:firstColumn="1" w:lastColumn="0" w:oddVBand="0" w:evenVBand="0" w:oddHBand="0" w:evenHBand="0" w:firstRowFirstColumn="0" w:firstRowLastColumn="0" w:lastRowFirstColumn="0" w:lastRowLastColumn="0"/>
            <w:tcW w:w="1985" w:type="dxa"/>
            <w:hideMark/>
          </w:tcPr>
          <w:p w14:paraId="640C22C3" w14:textId="5034D198" w:rsidR="00D43FDD" w:rsidRPr="00A412EE" w:rsidRDefault="00D43FDD" w:rsidP="009E7F38">
            <w:pPr>
              <w:spacing w:before="60" w:after="60"/>
              <w:rPr>
                <w:b w:val="0"/>
                <w:color w:val="000000"/>
                <w:sz w:val="20"/>
                <w:szCs w:val="20"/>
              </w:rPr>
            </w:pPr>
            <w:r w:rsidRPr="00A412EE">
              <w:rPr>
                <w:color w:val="000000"/>
                <w:sz w:val="20"/>
                <w:szCs w:val="20"/>
                <w:lang w:val="en-GB"/>
              </w:rPr>
              <w:t>Rasmussen, 1992</w:t>
            </w:r>
          </w:p>
        </w:tc>
        <w:tc>
          <w:tcPr>
            <w:tcW w:w="992" w:type="dxa"/>
            <w:vAlign w:val="center"/>
          </w:tcPr>
          <w:p w14:paraId="409E845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1C487805"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23310CF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2BCA4B1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0AAEE35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7254F086"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3F9C360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66D23D7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2A8C75D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79" w:type="dxa"/>
          </w:tcPr>
          <w:p w14:paraId="699185C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6 (67%)</w:t>
            </w:r>
          </w:p>
        </w:tc>
        <w:tc>
          <w:tcPr>
            <w:tcW w:w="1743" w:type="dxa"/>
          </w:tcPr>
          <w:p w14:paraId="0EC5365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Moderate risk</w:t>
            </w:r>
          </w:p>
        </w:tc>
      </w:tr>
      <w:tr w:rsidR="00D43FDD" w:rsidRPr="007D6B25" w14:paraId="14283C8E"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51D106A4" w14:textId="2F3BBF7C" w:rsidR="00D43FDD" w:rsidRPr="00A412EE" w:rsidRDefault="00D43FDD" w:rsidP="009E7F38">
            <w:pPr>
              <w:spacing w:before="60" w:after="60"/>
              <w:rPr>
                <w:b w:val="0"/>
                <w:color w:val="000000"/>
                <w:sz w:val="20"/>
                <w:szCs w:val="20"/>
              </w:rPr>
            </w:pPr>
            <w:r w:rsidRPr="00A412EE">
              <w:rPr>
                <w:color w:val="000000"/>
                <w:sz w:val="20"/>
                <w:szCs w:val="20"/>
                <w:lang w:val="en-GB"/>
              </w:rPr>
              <w:t>Russel, 1996</w:t>
            </w:r>
          </w:p>
        </w:tc>
        <w:tc>
          <w:tcPr>
            <w:tcW w:w="992" w:type="dxa"/>
            <w:vAlign w:val="center"/>
          </w:tcPr>
          <w:p w14:paraId="5AF8935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0D38B78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53E4E6B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0F7306C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4AD8623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6A3C312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2237150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362DFE7D"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1D88D88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79" w:type="dxa"/>
          </w:tcPr>
          <w:p w14:paraId="25E87C9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5 (56%)</w:t>
            </w:r>
          </w:p>
        </w:tc>
        <w:tc>
          <w:tcPr>
            <w:tcW w:w="1743" w:type="dxa"/>
          </w:tcPr>
          <w:p w14:paraId="63000E0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Moderate risk</w:t>
            </w:r>
          </w:p>
        </w:tc>
      </w:tr>
      <w:tr w:rsidR="00D43FDD" w:rsidRPr="001D6EEA" w14:paraId="089D1953" w14:textId="77777777" w:rsidTr="009E7F38">
        <w:tc>
          <w:tcPr>
            <w:cnfStyle w:val="001000000000" w:firstRow="0" w:lastRow="0" w:firstColumn="1" w:lastColumn="0" w:oddVBand="0" w:evenVBand="0" w:oddHBand="0" w:evenHBand="0" w:firstRowFirstColumn="0" w:firstRowLastColumn="0" w:lastRowFirstColumn="0" w:lastRowLastColumn="0"/>
            <w:tcW w:w="1985" w:type="dxa"/>
            <w:hideMark/>
          </w:tcPr>
          <w:p w14:paraId="66A7C4A9" w14:textId="01476DAA" w:rsidR="00D43FDD" w:rsidRPr="00A412EE" w:rsidRDefault="00D43FDD" w:rsidP="009E7F38">
            <w:pPr>
              <w:spacing w:before="60" w:after="60"/>
              <w:rPr>
                <w:b w:val="0"/>
                <w:color w:val="000000"/>
                <w:sz w:val="20"/>
                <w:szCs w:val="20"/>
              </w:rPr>
            </w:pPr>
            <w:r w:rsidRPr="00A412EE">
              <w:rPr>
                <w:color w:val="000000"/>
                <w:sz w:val="20"/>
                <w:szCs w:val="20"/>
                <w:lang w:val="en-GB"/>
              </w:rPr>
              <w:t>Santoro, 1990</w:t>
            </w:r>
          </w:p>
        </w:tc>
        <w:tc>
          <w:tcPr>
            <w:tcW w:w="992" w:type="dxa"/>
            <w:vAlign w:val="center"/>
          </w:tcPr>
          <w:p w14:paraId="4D30869F"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59A96BEF"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539E986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064A56F5"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6CF6A1CF"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4CAA73DD"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422BD44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267A9BD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48B8E22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1079" w:type="dxa"/>
          </w:tcPr>
          <w:p w14:paraId="77C9506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3 (33%)</w:t>
            </w:r>
          </w:p>
        </w:tc>
        <w:tc>
          <w:tcPr>
            <w:tcW w:w="1743" w:type="dxa"/>
          </w:tcPr>
          <w:p w14:paraId="011E75E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7D6B25" w14:paraId="50F1C40A"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0DE13DCD" w14:textId="39EFDD1F" w:rsidR="00D43FDD" w:rsidRPr="00A412EE" w:rsidRDefault="00D43FDD" w:rsidP="009E7F38">
            <w:pPr>
              <w:spacing w:before="60" w:after="60"/>
              <w:rPr>
                <w:b w:val="0"/>
                <w:color w:val="000000"/>
                <w:sz w:val="20"/>
                <w:szCs w:val="20"/>
              </w:rPr>
            </w:pPr>
            <w:proofErr w:type="spellStart"/>
            <w:r w:rsidRPr="00A412EE">
              <w:rPr>
                <w:color w:val="000000"/>
                <w:sz w:val="20"/>
                <w:szCs w:val="20"/>
                <w:lang w:val="en-GB"/>
              </w:rPr>
              <w:t>Schoonman</w:t>
            </w:r>
            <w:proofErr w:type="spellEnd"/>
            <w:r w:rsidRPr="00A412EE">
              <w:rPr>
                <w:color w:val="000000"/>
                <w:sz w:val="20"/>
                <w:szCs w:val="20"/>
                <w:lang w:val="en-GB"/>
              </w:rPr>
              <w:t>, 2006</w:t>
            </w:r>
          </w:p>
        </w:tc>
        <w:tc>
          <w:tcPr>
            <w:tcW w:w="992" w:type="dxa"/>
            <w:vAlign w:val="center"/>
          </w:tcPr>
          <w:p w14:paraId="150CACBE"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224BA6E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4B4E3AF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133874B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77E2C9B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5260D8D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686B2025"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70BD113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20497844"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79" w:type="dxa"/>
          </w:tcPr>
          <w:p w14:paraId="3D979F1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5 (56%)</w:t>
            </w:r>
          </w:p>
        </w:tc>
        <w:tc>
          <w:tcPr>
            <w:tcW w:w="1743" w:type="dxa"/>
          </w:tcPr>
          <w:p w14:paraId="7CBF461D"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Moderate risk</w:t>
            </w:r>
          </w:p>
        </w:tc>
      </w:tr>
      <w:tr w:rsidR="00D43FDD" w:rsidRPr="001D6EEA" w14:paraId="257E8255" w14:textId="77777777" w:rsidTr="009E7F38">
        <w:tc>
          <w:tcPr>
            <w:cnfStyle w:val="001000000000" w:firstRow="0" w:lastRow="0" w:firstColumn="1" w:lastColumn="0" w:oddVBand="0" w:evenVBand="0" w:oddHBand="0" w:evenHBand="0" w:firstRowFirstColumn="0" w:firstRowLastColumn="0" w:lastRowFirstColumn="0" w:lastRowLastColumn="0"/>
            <w:tcW w:w="1985" w:type="dxa"/>
            <w:hideMark/>
          </w:tcPr>
          <w:p w14:paraId="65FA9710" w14:textId="3F0F41B7" w:rsidR="00D43FDD" w:rsidRPr="00A412EE" w:rsidRDefault="00D43FDD" w:rsidP="009E7F38">
            <w:pPr>
              <w:spacing w:before="60" w:after="60"/>
              <w:rPr>
                <w:b w:val="0"/>
                <w:color w:val="000000"/>
                <w:sz w:val="20"/>
                <w:szCs w:val="20"/>
              </w:rPr>
            </w:pPr>
            <w:r w:rsidRPr="00A412EE">
              <w:rPr>
                <w:color w:val="000000"/>
                <w:sz w:val="20"/>
                <w:szCs w:val="20"/>
                <w:lang w:val="en-GB"/>
              </w:rPr>
              <w:t>Schulte, 2015</w:t>
            </w:r>
          </w:p>
        </w:tc>
        <w:tc>
          <w:tcPr>
            <w:tcW w:w="992" w:type="dxa"/>
            <w:vAlign w:val="center"/>
          </w:tcPr>
          <w:p w14:paraId="59821C13"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6F7BE7E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7F7BA0E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44D92CB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5A953E1F"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2A7D1CB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1CC2FF6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7FCC0BD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51EF54F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1079" w:type="dxa"/>
          </w:tcPr>
          <w:p w14:paraId="659BF03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4 (44%)</w:t>
            </w:r>
          </w:p>
        </w:tc>
        <w:tc>
          <w:tcPr>
            <w:tcW w:w="1743" w:type="dxa"/>
          </w:tcPr>
          <w:p w14:paraId="2A5BF97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7D6B25" w14:paraId="2DA687F8"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015AB586" w14:textId="56BC816A" w:rsidR="00D43FDD" w:rsidRPr="00A412EE" w:rsidRDefault="00D43FDD" w:rsidP="009E7F38">
            <w:pPr>
              <w:spacing w:before="60" w:after="60"/>
              <w:rPr>
                <w:b w:val="0"/>
                <w:color w:val="000000"/>
                <w:sz w:val="20"/>
                <w:szCs w:val="20"/>
              </w:rPr>
            </w:pPr>
            <w:r w:rsidRPr="00A412EE">
              <w:rPr>
                <w:color w:val="000000"/>
                <w:sz w:val="20"/>
                <w:szCs w:val="20"/>
                <w:lang w:val="en-GB"/>
              </w:rPr>
              <w:t>Schwedt, 2018</w:t>
            </w:r>
          </w:p>
        </w:tc>
        <w:tc>
          <w:tcPr>
            <w:tcW w:w="992" w:type="dxa"/>
            <w:vAlign w:val="center"/>
          </w:tcPr>
          <w:p w14:paraId="0FF28377"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65AA1F08"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4A756117"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141A962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tcPr>
          <w:p w14:paraId="5AFF5E76"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11D7BE38"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1CA92CA8"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2122F95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55C4E71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1079" w:type="dxa"/>
          </w:tcPr>
          <w:p w14:paraId="7DE2E8D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3 (33%)</w:t>
            </w:r>
          </w:p>
        </w:tc>
        <w:tc>
          <w:tcPr>
            <w:tcW w:w="1743" w:type="dxa"/>
          </w:tcPr>
          <w:p w14:paraId="050BB835"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1D6EEA" w14:paraId="2E71D4C3" w14:textId="77777777" w:rsidTr="009E7F38">
        <w:tc>
          <w:tcPr>
            <w:cnfStyle w:val="001000000000" w:firstRow="0" w:lastRow="0" w:firstColumn="1" w:lastColumn="0" w:oddVBand="0" w:evenVBand="0" w:oddHBand="0" w:evenHBand="0" w:firstRowFirstColumn="0" w:firstRowLastColumn="0" w:lastRowFirstColumn="0" w:lastRowLastColumn="0"/>
            <w:tcW w:w="1985" w:type="dxa"/>
            <w:hideMark/>
          </w:tcPr>
          <w:p w14:paraId="68BB1034" w14:textId="77162A66" w:rsidR="00D43FDD" w:rsidRPr="00A412EE" w:rsidRDefault="00D43FDD" w:rsidP="009E7F38">
            <w:pPr>
              <w:spacing w:before="60" w:after="60"/>
              <w:rPr>
                <w:b w:val="0"/>
                <w:color w:val="000000"/>
                <w:sz w:val="20"/>
                <w:szCs w:val="20"/>
              </w:rPr>
            </w:pPr>
            <w:r w:rsidRPr="00A412EE">
              <w:rPr>
                <w:color w:val="000000"/>
                <w:sz w:val="20"/>
                <w:szCs w:val="20"/>
                <w:lang w:val="en-GB"/>
              </w:rPr>
              <w:t>Takeshima, 2004</w:t>
            </w:r>
          </w:p>
        </w:tc>
        <w:tc>
          <w:tcPr>
            <w:tcW w:w="992" w:type="dxa"/>
            <w:vAlign w:val="center"/>
          </w:tcPr>
          <w:p w14:paraId="6B69964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4CB7C1A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408D91D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1221B5D6"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8080"/>
                <w:sz w:val="20"/>
                <w:szCs w:val="20"/>
                <w:u w:val="single"/>
              </w:rPr>
            </w:pPr>
            <w:r>
              <w:rPr>
                <w:color w:val="000000"/>
                <w:sz w:val="20"/>
                <w:szCs w:val="20"/>
              </w:rPr>
              <w:t>Y</w:t>
            </w:r>
          </w:p>
        </w:tc>
        <w:tc>
          <w:tcPr>
            <w:tcW w:w="992" w:type="dxa"/>
            <w:vAlign w:val="center"/>
            <w:hideMark/>
          </w:tcPr>
          <w:p w14:paraId="32499175"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4B5E109E"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72B05270"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7157991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48999BE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79" w:type="dxa"/>
          </w:tcPr>
          <w:p w14:paraId="47FF4AA1"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8 (89%)</w:t>
            </w:r>
          </w:p>
        </w:tc>
        <w:tc>
          <w:tcPr>
            <w:tcW w:w="1743" w:type="dxa"/>
          </w:tcPr>
          <w:p w14:paraId="27DEEE89"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Low risk</w:t>
            </w:r>
          </w:p>
        </w:tc>
      </w:tr>
      <w:tr w:rsidR="00D43FDD" w:rsidRPr="007D6B25" w14:paraId="4E0D3E8D" w14:textId="77777777" w:rsidTr="009E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5FFC1242" w14:textId="0C0EEB0F" w:rsidR="00D43FDD" w:rsidRPr="00A412EE" w:rsidRDefault="00D43FDD" w:rsidP="009E7F38">
            <w:pPr>
              <w:spacing w:before="60" w:after="60"/>
              <w:rPr>
                <w:b w:val="0"/>
                <w:color w:val="000000"/>
                <w:sz w:val="20"/>
                <w:szCs w:val="20"/>
              </w:rPr>
            </w:pPr>
            <w:r w:rsidRPr="00A412EE">
              <w:rPr>
                <w:color w:val="000000"/>
                <w:sz w:val="20"/>
                <w:szCs w:val="20"/>
                <w:lang w:val="en-GB"/>
              </w:rPr>
              <w:t>Viana, 2015</w:t>
            </w:r>
          </w:p>
        </w:tc>
        <w:tc>
          <w:tcPr>
            <w:tcW w:w="992" w:type="dxa"/>
            <w:vAlign w:val="center"/>
            <w:hideMark/>
          </w:tcPr>
          <w:p w14:paraId="64554A83"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3" w:type="dxa"/>
            <w:vAlign w:val="center"/>
            <w:hideMark/>
          </w:tcPr>
          <w:p w14:paraId="371869F1"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3EA5210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5FF131F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8080"/>
                <w:sz w:val="20"/>
                <w:szCs w:val="20"/>
                <w:u w:val="single"/>
              </w:rPr>
            </w:pPr>
            <w:r>
              <w:rPr>
                <w:color w:val="000000"/>
                <w:sz w:val="20"/>
                <w:szCs w:val="20"/>
              </w:rPr>
              <w:t>N</w:t>
            </w:r>
          </w:p>
        </w:tc>
        <w:tc>
          <w:tcPr>
            <w:tcW w:w="992" w:type="dxa"/>
            <w:vAlign w:val="center"/>
            <w:hideMark/>
          </w:tcPr>
          <w:p w14:paraId="4317509C"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3" w:type="dxa"/>
            <w:vAlign w:val="center"/>
            <w:hideMark/>
          </w:tcPr>
          <w:p w14:paraId="707C561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992" w:type="dxa"/>
            <w:vAlign w:val="center"/>
            <w:hideMark/>
          </w:tcPr>
          <w:p w14:paraId="6D00E137"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992" w:type="dxa"/>
            <w:vAlign w:val="center"/>
            <w:hideMark/>
          </w:tcPr>
          <w:p w14:paraId="55CCE1DB"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tc>
        <w:tc>
          <w:tcPr>
            <w:tcW w:w="1005" w:type="dxa"/>
            <w:vAlign w:val="center"/>
            <w:hideMark/>
          </w:tcPr>
          <w:p w14:paraId="30017789"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1079" w:type="dxa"/>
          </w:tcPr>
          <w:p w14:paraId="4353889A"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3 (33%)</w:t>
            </w:r>
          </w:p>
        </w:tc>
        <w:tc>
          <w:tcPr>
            <w:tcW w:w="1743" w:type="dxa"/>
          </w:tcPr>
          <w:p w14:paraId="76AC60DF" w14:textId="77777777" w:rsidR="00D43FDD" w:rsidRPr="00A412EE" w:rsidRDefault="00D43FDD" w:rsidP="009E7F38">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A412EE">
              <w:rPr>
                <w:color w:val="000000"/>
                <w:sz w:val="20"/>
                <w:szCs w:val="20"/>
                <w:lang w:val="en-GB"/>
              </w:rPr>
              <w:t>High risk</w:t>
            </w:r>
          </w:p>
        </w:tc>
      </w:tr>
      <w:tr w:rsidR="00D43FDD" w:rsidRPr="001D6EEA" w14:paraId="38950897" w14:textId="77777777" w:rsidTr="009E7F38">
        <w:tc>
          <w:tcPr>
            <w:cnfStyle w:val="001000000000" w:firstRow="0" w:lastRow="0" w:firstColumn="1" w:lastColumn="0" w:oddVBand="0" w:evenVBand="0" w:oddHBand="0" w:evenHBand="0" w:firstRowFirstColumn="0" w:firstRowLastColumn="0" w:lastRowFirstColumn="0" w:lastRowLastColumn="0"/>
            <w:tcW w:w="1985" w:type="dxa"/>
          </w:tcPr>
          <w:p w14:paraId="6D2584A8" w14:textId="6869F814" w:rsidR="00D43FDD" w:rsidRPr="00A412EE" w:rsidRDefault="00D43FDD" w:rsidP="009E7F38">
            <w:pPr>
              <w:spacing w:before="60" w:after="60"/>
              <w:rPr>
                <w:b w:val="0"/>
                <w:bCs w:val="0"/>
                <w:color w:val="000000"/>
                <w:sz w:val="20"/>
                <w:szCs w:val="20"/>
                <w:lang w:val="en-GB"/>
              </w:rPr>
            </w:pPr>
            <w:r w:rsidRPr="00A412EE">
              <w:rPr>
                <w:color w:val="000000"/>
                <w:sz w:val="20"/>
                <w:szCs w:val="20"/>
                <w:lang w:val="en-GB"/>
              </w:rPr>
              <w:t>Wang,</w:t>
            </w:r>
            <w:r>
              <w:rPr>
                <w:b w:val="0"/>
                <w:bCs w:val="0"/>
                <w:color w:val="000000"/>
                <w:sz w:val="20"/>
                <w:szCs w:val="20"/>
                <w:lang w:val="en-GB"/>
              </w:rPr>
              <w:t xml:space="preserve"> </w:t>
            </w:r>
            <w:r w:rsidRPr="00A412EE">
              <w:rPr>
                <w:color w:val="000000"/>
                <w:sz w:val="20"/>
                <w:szCs w:val="20"/>
                <w:lang w:val="en-GB"/>
              </w:rPr>
              <w:t>2021</w:t>
            </w:r>
          </w:p>
        </w:tc>
        <w:tc>
          <w:tcPr>
            <w:tcW w:w="992" w:type="dxa"/>
            <w:vAlign w:val="center"/>
          </w:tcPr>
          <w:p w14:paraId="535F0E47"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3" w:type="dxa"/>
            <w:vAlign w:val="center"/>
          </w:tcPr>
          <w:p w14:paraId="00B38D58"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03420A64"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17955242"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5681683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3" w:type="dxa"/>
            <w:vAlign w:val="center"/>
          </w:tcPr>
          <w:p w14:paraId="3D887E1B"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992" w:type="dxa"/>
            <w:vAlign w:val="center"/>
          </w:tcPr>
          <w:p w14:paraId="385AABB9"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992" w:type="dxa"/>
            <w:vAlign w:val="center"/>
          </w:tcPr>
          <w:p w14:paraId="097AB0D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05" w:type="dxa"/>
            <w:vAlign w:val="center"/>
          </w:tcPr>
          <w:p w14:paraId="42DF4A1A"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tc>
        <w:tc>
          <w:tcPr>
            <w:tcW w:w="1079" w:type="dxa"/>
          </w:tcPr>
          <w:p w14:paraId="0B2A960C"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5 (56%)</w:t>
            </w:r>
          </w:p>
        </w:tc>
        <w:tc>
          <w:tcPr>
            <w:tcW w:w="1743" w:type="dxa"/>
          </w:tcPr>
          <w:p w14:paraId="7BCB1296" w14:textId="77777777" w:rsidR="00D43FDD" w:rsidRPr="00A412EE" w:rsidRDefault="00D43FDD" w:rsidP="009E7F38">
            <w:pPr>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A412EE">
              <w:rPr>
                <w:color w:val="000000"/>
                <w:sz w:val="20"/>
                <w:szCs w:val="20"/>
                <w:lang w:val="en-GB"/>
              </w:rPr>
              <w:t>Moderate risk</w:t>
            </w:r>
          </w:p>
        </w:tc>
      </w:tr>
    </w:tbl>
    <w:p w14:paraId="48776BB0" w14:textId="77777777" w:rsidR="00D43FDD" w:rsidRDefault="00D43FDD" w:rsidP="00D43FDD">
      <w:pPr>
        <w:spacing w:before="240" w:after="240" w:line="480" w:lineRule="auto"/>
        <w:rPr>
          <w:rFonts w:ascii="Times" w:hAnsi="Times" w:cstheme="minorHAnsi"/>
          <w:b/>
          <w:lang w:val="en-GB"/>
        </w:rPr>
      </w:pPr>
    </w:p>
    <w:p w14:paraId="152E566C" w14:textId="77777777" w:rsidR="006C282E" w:rsidRDefault="006C282E"/>
    <w:sectPr w:rsidR="006C282E" w:rsidSect="0014407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21"/>
    <w:rsid w:val="00031321"/>
    <w:rsid w:val="000630F8"/>
    <w:rsid w:val="000800DD"/>
    <w:rsid w:val="000F45DE"/>
    <w:rsid w:val="001668A7"/>
    <w:rsid w:val="0017164C"/>
    <w:rsid w:val="001A1A6C"/>
    <w:rsid w:val="002161B5"/>
    <w:rsid w:val="002A1264"/>
    <w:rsid w:val="00313C7F"/>
    <w:rsid w:val="00397A20"/>
    <w:rsid w:val="003A4656"/>
    <w:rsid w:val="003D381C"/>
    <w:rsid w:val="00405F8C"/>
    <w:rsid w:val="004B5A19"/>
    <w:rsid w:val="0053464C"/>
    <w:rsid w:val="005371DF"/>
    <w:rsid w:val="00565F6E"/>
    <w:rsid w:val="00576E05"/>
    <w:rsid w:val="005D655A"/>
    <w:rsid w:val="00605FB6"/>
    <w:rsid w:val="006C282E"/>
    <w:rsid w:val="00737FD3"/>
    <w:rsid w:val="007467E2"/>
    <w:rsid w:val="00791BE9"/>
    <w:rsid w:val="00810D33"/>
    <w:rsid w:val="00831385"/>
    <w:rsid w:val="009A3243"/>
    <w:rsid w:val="00AB4EC3"/>
    <w:rsid w:val="00B61BD0"/>
    <w:rsid w:val="00B6670A"/>
    <w:rsid w:val="00BC5907"/>
    <w:rsid w:val="00D128F4"/>
    <w:rsid w:val="00D43FDD"/>
    <w:rsid w:val="00DF2C2E"/>
    <w:rsid w:val="00E54260"/>
    <w:rsid w:val="00E85D04"/>
    <w:rsid w:val="00EC3D2A"/>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4DBE0E"/>
  <w15:chartTrackingRefBased/>
  <w15:docId w15:val="{E9BDD204-976B-CF41-9E28-EEE355BF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DD"/>
    <w:rPr>
      <w:rFonts w:ascii="Times New Roman" w:eastAsia="Times New Roman" w:hAnsi="Times New Roman" w:cs="Times New Roman"/>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Gittertabel4-farve3">
    <w:name w:val="Grid Table 4 Accent 3"/>
    <w:basedOn w:val="Tabel-Normal"/>
    <w:uiPriority w:val="49"/>
    <w:rsid w:val="00D43FDD"/>
    <w:rPr>
      <w:rFonts w:eastAsiaTheme="minorHAnsi"/>
      <w:lang w:val="en-US"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lmindeligtabel1">
    <w:name w:val="Plain Table 1"/>
    <w:basedOn w:val="Tabel-Normal"/>
    <w:uiPriority w:val="41"/>
    <w:rsid w:val="00D43FDD"/>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D43FDD"/>
    <w:rPr>
      <w:rFonts w:eastAsiaTheme="minorHAnsi"/>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963</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Kristina Eigenbrodt</dc:creator>
  <cp:keywords/>
  <dc:description/>
  <cp:lastModifiedBy>Anna Kristina Eigenbrodt</cp:lastModifiedBy>
  <cp:revision>7</cp:revision>
  <dcterms:created xsi:type="dcterms:W3CDTF">2022-06-28T19:29:00Z</dcterms:created>
  <dcterms:modified xsi:type="dcterms:W3CDTF">2022-10-14T15:30:00Z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id="k8oEjSzE"/&gt;&lt;style id="http://www.zotero.org/styles/nature" hasBibliography="1" bibliographyStyleHasBeenSet="0"/&gt;&lt;prefs&gt;&lt;pref name="fieldType" value="Field"/&gt;&lt;pref name="automaticJournalAbbrevia</vt:lpwstr>
  </property>
  <property fmtid="{D5CDD505-2E9C-101B-9397-08002B2CF9AE}" pid="3" name="ZOTERO_PREF_2">
    <vt:lpwstr>tions" value="true"/&gt;&lt;/prefs&gt;&lt;/data&gt;</vt:lpwstr>
  </property>
</Properties>
</file>