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C4" w:rsidRDefault="00CD2758" w:rsidP="00CD2758">
      <w:pPr>
        <w:pStyle w:val="Title"/>
      </w:pPr>
      <w:bookmarkStart w:id="0" w:name="_GoBack"/>
      <w:bookmarkEnd w:id="0"/>
      <w:r>
        <w:t xml:space="preserve">Appendix to </w:t>
      </w:r>
    </w:p>
    <w:p w:rsidR="001E0C2D" w:rsidRDefault="00CD2758" w:rsidP="00CD2758">
      <w:pPr>
        <w:pStyle w:val="Title"/>
      </w:pPr>
      <w:r>
        <w:t>“How much does the treatment of each major disease cost? A decomposition of Swiss National Health Accounts”</w:t>
      </w:r>
    </w:p>
    <w:sdt>
      <w:sdtPr>
        <w:rPr>
          <w:rFonts w:asciiTheme="minorHAnsi" w:eastAsiaTheme="minorHAnsi" w:hAnsiTheme="minorHAnsi" w:cstheme="minorBidi"/>
          <w:color w:val="auto"/>
          <w:sz w:val="22"/>
          <w:szCs w:val="22"/>
          <w:lang w:val="de-DE"/>
        </w:rPr>
        <w:id w:val="-1245411140"/>
        <w:docPartObj>
          <w:docPartGallery w:val="Table of Contents"/>
          <w:docPartUnique/>
        </w:docPartObj>
      </w:sdtPr>
      <w:sdtEndPr>
        <w:rPr>
          <w:b/>
          <w:bCs/>
        </w:rPr>
      </w:sdtEndPr>
      <w:sdtContent>
        <w:p w:rsidR="008E7EC4" w:rsidRDefault="008E7EC4" w:rsidP="008E7EC4">
          <w:pPr>
            <w:pStyle w:val="TOCHeading"/>
            <w:pageBreakBefore w:val="0"/>
          </w:pPr>
        </w:p>
        <w:p w:rsidR="00EB2D6F" w:rsidRDefault="008C7B30">
          <w:pPr>
            <w:pStyle w:val="TOC2"/>
            <w:rPr>
              <w:rFonts w:eastAsiaTheme="minorEastAsia"/>
              <w:noProof/>
            </w:rPr>
          </w:pPr>
          <w:r w:rsidRPr="008C7B30">
            <w:fldChar w:fldCharType="begin"/>
          </w:r>
          <w:r w:rsidR="008E7EC4">
            <w:instrText xml:space="preserve"> TOC \o "1-3" \h \z \u </w:instrText>
          </w:r>
          <w:r w:rsidRPr="008C7B30">
            <w:fldChar w:fldCharType="separate"/>
          </w:r>
          <w:hyperlink w:anchor="_Toc503109255" w:history="1">
            <w:r w:rsidR="00EB2D6F" w:rsidRPr="00D8697C">
              <w:rPr>
                <w:rStyle w:val="Hyperlink"/>
                <w:noProof/>
              </w:rPr>
              <w:t>1.1</w:t>
            </w:r>
            <w:r w:rsidR="00EB2D6F">
              <w:rPr>
                <w:rFonts w:eastAsiaTheme="minorEastAsia"/>
                <w:noProof/>
              </w:rPr>
              <w:tab/>
            </w:r>
            <w:r w:rsidR="00EB2D6F" w:rsidRPr="00D8697C">
              <w:rPr>
                <w:rStyle w:val="Hyperlink"/>
                <w:noProof/>
              </w:rPr>
              <w:t>Further details on data and methods</w:t>
            </w:r>
            <w:r w:rsidR="00EB2D6F">
              <w:rPr>
                <w:noProof/>
                <w:webHidden/>
              </w:rPr>
              <w:tab/>
            </w:r>
            <w:r>
              <w:rPr>
                <w:noProof/>
                <w:webHidden/>
              </w:rPr>
              <w:fldChar w:fldCharType="begin"/>
            </w:r>
            <w:r w:rsidR="00EB2D6F">
              <w:rPr>
                <w:noProof/>
                <w:webHidden/>
              </w:rPr>
              <w:instrText xml:space="preserve"> PAGEREF _Toc503109255 \h </w:instrText>
            </w:r>
            <w:r>
              <w:rPr>
                <w:noProof/>
                <w:webHidden/>
              </w:rPr>
            </w:r>
            <w:r>
              <w:rPr>
                <w:noProof/>
                <w:webHidden/>
              </w:rPr>
              <w:fldChar w:fldCharType="separate"/>
            </w:r>
            <w:r w:rsidR="00EB2D6F">
              <w:rPr>
                <w:noProof/>
                <w:webHidden/>
              </w:rPr>
              <w:t>1</w:t>
            </w:r>
            <w:r>
              <w:rPr>
                <w:noProof/>
                <w:webHidden/>
              </w:rPr>
              <w:fldChar w:fldCharType="end"/>
            </w:r>
          </w:hyperlink>
        </w:p>
        <w:p w:rsidR="00EB2D6F" w:rsidRDefault="008C7B30">
          <w:pPr>
            <w:pStyle w:val="TOC2"/>
            <w:rPr>
              <w:rFonts w:eastAsiaTheme="minorEastAsia"/>
              <w:noProof/>
            </w:rPr>
          </w:pPr>
          <w:hyperlink w:anchor="_Toc503109256" w:history="1">
            <w:r w:rsidR="00EB2D6F" w:rsidRPr="00D8697C">
              <w:rPr>
                <w:rStyle w:val="Hyperlink"/>
                <w:noProof/>
              </w:rPr>
              <w:t>1.2</w:t>
            </w:r>
            <w:r w:rsidR="00EB2D6F">
              <w:rPr>
                <w:rFonts w:eastAsiaTheme="minorEastAsia"/>
                <w:noProof/>
              </w:rPr>
              <w:tab/>
            </w:r>
            <w:r w:rsidR="00EB2D6F" w:rsidRPr="00D8697C">
              <w:rPr>
                <w:rStyle w:val="Hyperlink"/>
                <w:noProof/>
              </w:rPr>
              <w:t>Mapping of ICD-10 diagnoses to diseases</w:t>
            </w:r>
            <w:r w:rsidR="00EB2D6F">
              <w:rPr>
                <w:noProof/>
                <w:webHidden/>
              </w:rPr>
              <w:tab/>
            </w:r>
            <w:r>
              <w:rPr>
                <w:noProof/>
                <w:webHidden/>
              </w:rPr>
              <w:fldChar w:fldCharType="begin"/>
            </w:r>
            <w:r w:rsidR="00EB2D6F">
              <w:rPr>
                <w:noProof/>
                <w:webHidden/>
              </w:rPr>
              <w:instrText xml:space="preserve"> PAGEREF _Toc503109256 \h </w:instrText>
            </w:r>
            <w:r>
              <w:rPr>
                <w:noProof/>
                <w:webHidden/>
              </w:rPr>
            </w:r>
            <w:r>
              <w:rPr>
                <w:noProof/>
                <w:webHidden/>
              </w:rPr>
              <w:fldChar w:fldCharType="separate"/>
            </w:r>
            <w:r w:rsidR="00EB2D6F">
              <w:rPr>
                <w:noProof/>
                <w:webHidden/>
              </w:rPr>
              <w:t>6</w:t>
            </w:r>
            <w:r>
              <w:rPr>
                <w:noProof/>
                <w:webHidden/>
              </w:rPr>
              <w:fldChar w:fldCharType="end"/>
            </w:r>
          </w:hyperlink>
        </w:p>
        <w:p w:rsidR="00EB2D6F" w:rsidRDefault="008C7B30">
          <w:pPr>
            <w:pStyle w:val="TOC1"/>
            <w:tabs>
              <w:tab w:val="right" w:leader="dot" w:pos="9350"/>
            </w:tabs>
            <w:rPr>
              <w:rFonts w:eastAsiaTheme="minorEastAsia"/>
              <w:noProof/>
            </w:rPr>
          </w:pPr>
          <w:hyperlink w:anchor="_Toc503109257" w:history="1">
            <w:r w:rsidR="00EB2D6F" w:rsidRPr="00D8697C">
              <w:rPr>
                <w:rStyle w:val="Hyperlink"/>
                <w:noProof/>
              </w:rPr>
              <w:t>References</w:t>
            </w:r>
            <w:r w:rsidR="00EB2D6F">
              <w:rPr>
                <w:noProof/>
                <w:webHidden/>
              </w:rPr>
              <w:tab/>
            </w:r>
            <w:r>
              <w:rPr>
                <w:noProof/>
                <w:webHidden/>
              </w:rPr>
              <w:fldChar w:fldCharType="begin"/>
            </w:r>
            <w:r w:rsidR="00EB2D6F">
              <w:rPr>
                <w:noProof/>
                <w:webHidden/>
              </w:rPr>
              <w:instrText xml:space="preserve"> PAGEREF _Toc503109257 \h </w:instrText>
            </w:r>
            <w:r>
              <w:rPr>
                <w:noProof/>
                <w:webHidden/>
              </w:rPr>
            </w:r>
            <w:r>
              <w:rPr>
                <w:noProof/>
                <w:webHidden/>
              </w:rPr>
              <w:fldChar w:fldCharType="separate"/>
            </w:r>
            <w:r w:rsidR="00EB2D6F">
              <w:rPr>
                <w:noProof/>
                <w:webHidden/>
              </w:rPr>
              <w:t>14</w:t>
            </w:r>
            <w:r>
              <w:rPr>
                <w:noProof/>
                <w:webHidden/>
              </w:rPr>
              <w:fldChar w:fldCharType="end"/>
            </w:r>
          </w:hyperlink>
        </w:p>
        <w:p w:rsidR="008E7EC4" w:rsidRDefault="008C7B30">
          <w:r>
            <w:rPr>
              <w:b/>
              <w:bCs/>
              <w:lang w:val="de-DE"/>
            </w:rPr>
            <w:fldChar w:fldCharType="end"/>
          </w:r>
        </w:p>
      </w:sdtContent>
    </w:sdt>
    <w:p w:rsidR="005E680C" w:rsidRDefault="005E680C" w:rsidP="00B414A5">
      <w:pPr>
        <w:pStyle w:val="Heading2"/>
        <w:ind w:left="578" w:hanging="578"/>
        <w:rPr>
          <w:rStyle w:val="SubtleEmphasis"/>
          <w:i w:val="0"/>
          <w:iCs w:val="0"/>
          <w:color w:val="2E74B5" w:themeColor="accent1" w:themeShade="BF"/>
        </w:rPr>
      </w:pPr>
      <w:bookmarkStart w:id="1" w:name="_Toc503109255"/>
      <w:r>
        <w:rPr>
          <w:rStyle w:val="SubtleEmphasis"/>
          <w:i w:val="0"/>
          <w:iCs w:val="0"/>
          <w:color w:val="2E74B5" w:themeColor="accent1" w:themeShade="BF"/>
        </w:rPr>
        <w:t>Further details on data and methods</w:t>
      </w:r>
      <w:bookmarkEnd w:id="1"/>
    </w:p>
    <w:p w:rsidR="005E680C" w:rsidRPr="00990318" w:rsidRDefault="005E680C" w:rsidP="005E680C">
      <w:pPr>
        <w:pStyle w:val="Heading4"/>
        <w:numPr>
          <w:ilvl w:val="0"/>
          <w:numId w:val="0"/>
        </w:numPr>
      </w:pPr>
      <w:r w:rsidRPr="00990318">
        <w:t>Inpatient care</w:t>
      </w:r>
    </w:p>
    <w:p w:rsidR="005E680C" w:rsidRDefault="005E680C" w:rsidP="005E680C">
      <w:r w:rsidRPr="005E680C">
        <w:t xml:space="preserve">The ICD-10 main diagnoses in the MS </w:t>
      </w:r>
      <w:proofErr w:type="gramStart"/>
      <w:r w:rsidRPr="005E680C">
        <w:t>were mapped</w:t>
      </w:r>
      <w:proofErr w:type="gramEnd"/>
      <w:r w:rsidRPr="005E680C">
        <w:t xml:space="preserve"> to the 21 disease categories. Where possible, diagnoses </w:t>
      </w:r>
      <w:proofErr w:type="gramStart"/>
      <w:r w:rsidRPr="005E680C">
        <w:t>were directly mapped</w:t>
      </w:r>
      <w:proofErr w:type="gramEnd"/>
      <w:r w:rsidRPr="005E680C">
        <w:t xml:space="preserve"> to GBD causes (72.5% of records). Diagnoses that did not directly correspond to a GBD cause, in particular diagnoses that were included in sections V to Z of the ICD-10 manual, </w:t>
      </w:r>
      <w:proofErr w:type="gramStart"/>
      <w:r w:rsidRPr="005E680C">
        <w:t>were assigned</w:t>
      </w:r>
      <w:proofErr w:type="gramEnd"/>
      <w:r w:rsidRPr="005E680C">
        <w:t xml:space="preserve"> to the relevant GBD causes with the support of a clinical expert. However, a limited number of diagnoses </w:t>
      </w:r>
      <w:proofErr w:type="gramStart"/>
      <w:r w:rsidRPr="005E680C">
        <w:t>could not be assigned</w:t>
      </w:r>
      <w:proofErr w:type="gramEnd"/>
      <w:r w:rsidRPr="005E680C">
        <w:t xml:space="preserve"> to any GBD cause (3.9% of records). </w:t>
      </w:r>
      <w:r w:rsidR="00B414A5">
        <w:t xml:space="preserve">Section </w:t>
      </w:r>
      <w:r w:rsidR="008C7B30">
        <w:fldChar w:fldCharType="begin"/>
      </w:r>
      <w:r w:rsidR="00B414A5">
        <w:instrText xml:space="preserve"> REF _Ref502241763 \r \h </w:instrText>
      </w:r>
      <w:r w:rsidR="008C7B30">
        <w:fldChar w:fldCharType="separate"/>
      </w:r>
      <w:r w:rsidR="00EB2D6F">
        <w:t>1.2</w:t>
      </w:r>
      <w:r w:rsidR="008C7B30">
        <w:fldChar w:fldCharType="end"/>
      </w:r>
      <w:r w:rsidR="00B414A5">
        <w:t xml:space="preserve"> of this</w:t>
      </w:r>
      <w:r w:rsidRPr="005E680C">
        <w:t xml:space="preserve"> appendix describes the details of the mapping of ICD-10 diagnoses to GBD causes.</w:t>
      </w:r>
    </w:p>
    <w:p w:rsidR="00B414A5" w:rsidRPr="003A3C2B" w:rsidRDefault="00B414A5" w:rsidP="00B414A5">
      <w:pPr>
        <w:rPr>
          <w:color w:val="000000" w:themeColor="text1"/>
        </w:rPr>
      </w:pPr>
      <w:r w:rsidRPr="003A3C2B">
        <w:rPr>
          <w:color w:val="000000" w:themeColor="text1"/>
        </w:rPr>
        <w:t xml:space="preserve">Other long-term inpatient care covered institutions for patients with disabilities and drug dependencies. No patient level diagnostic information was available for these institutions. However, the Statistic of Socio-Medical Institutions 2011 (Somed) </w:t>
      </w:r>
      <w:r w:rsidR="008C7B30">
        <w:rPr>
          <w:color w:val="000000" w:themeColor="text1"/>
        </w:rPr>
        <w:fldChar w:fldCharType="begin"/>
      </w:r>
      <w:r w:rsidR="00E86C5C">
        <w:rPr>
          <w:color w:val="000000" w:themeColor="text1"/>
        </w:rPr>
        <w:instrText xml:space="preserve"> ADDIN EN.CITE &lt;EndNote&gt;&lt;Cite&gt;&lt;Author&gt;Swiss Federal Office of Statistics&lt;/Author&gt;&lt;Year&gt;2011&lt;/Year&gt;&lt;RecNum&gt;78&lt;/RecNum&gt;&lt;DisplayText&gt;[1]&lt;/DisplayText&gt;&lt;record&gt;&lt;rec-number&gt;78&lt;/rec-number&gt;&lt;foreign-keys&gt;&lt;key app="EN" db-id="exwd9s5eg2xtvveaepzvf290etdf2a0aazpa" timestamp="1399210370"&gt;78&lt;/key&gt;&lt;/foreign-keys&gt;&lt;ref-type name="Dataset"&gt;59&lt;/ref-type&gt;&lt;contributors&gt;&lt;authors&gt;&lt;author&gt;Swiss Federal Office of Statistics,&lt;/author&gt;&lt;/authors&gt;&lt;secondary-authors&gt;&lt;author&gt;Bundesamt für Statistik,&lt;/author&gt;&lt;/secondary-authors&gt;&lt;/contributors&gt;&lt;titles&gt;&lt;title&gt;SOMED - Statistik der Sozialmedizinischen Institutionen&lt;/title&gt;&lt;/titles&gt;&lt;dates&gt;&lt;year&gt;2011&lt;/year&gt;&lt;/dates&gt;&lt;pub-location&gt;Neuchâtel&lt;/pub-location&gt;&lt;urls&gt;&lt;/urls&gt;&lt;/record&gt;&lt;/Cite&gt;&lt;/EndNote&gt;</w:instrText>
      </w:r>
      <w:r w:rsidR="008C7B30">
        <w:rPr>
          <w:color w:val="000000" w:themeColor="text1"/>
        </w:rPr>
        <w:fldChar w:fldCharType="separate"/>
      </w:r>
      <w:r w:rsidR="00E86C5C">
        <w:rPr>
          <w:noProof/>
          <w:color w:val="000000" w:themeColor="text1"/>
        </w:rPr>
        <w:t>[1]</w:t>
      </w:r>
      <w:r w:rsidR="008C7B30">
        <w:rPr>
          <w:color w:val="000000" w:themeColor="text1"/>
        </w:rPr>
        <w:fldChar w:fldCharType="end"/>
      </w:r>
      <w:r w:rsidR="00E86C5C">
        <w:rPr>
          <w:color w:val="000000" w:themeColor="text1"/>
        </w:rPr>
        <w:t xml:space="preserve"> </w:t>
      </w:r>
      <w:r w:rsidRPr="003A3C2B">
        <w:rPr>
          <w:color w:val="000000" w:themeColor="text1"/>
        </w:rPr>
        <w:t>classifies these institutions by the main type of disability affecting the patients. As these seven disability categories map to four of our disease categories (</w:t>
      </w:r>
      <w:r w:rsidRPr="003A3C2B">
        <w:rPr>
          <w:i/>
          <w:color w:val="000000" w:themeColor="text1"/>
        </w:rPr>
        <w:t>congenital birth defects</w:t>
      </w:r>
      <w:r w:rsidRPr="003A3C2B">
        <w:rPr>
          <w:color w:val="000000" w:themeColor="text1"/>
        </w:rPr>
        <w:t xml:space="preserve">, </w:t>
      </w:r>
      <w:r w:rsidRPr="003A3C2B">
        <w:rPr>
          <w:i/>
          <w:color w:val="000000" w:themeColor="text1"/>
        </w:rPr>
        <w:t>mental and substance use disorders, musculoskeletal disorders, sense organ diseases</w:t>
      </w:r>
      <w:r w:rsidRPr="003A3C2B">
        <w:rPr>
          <w:color w:val="000000" w:themeColor="text1"/>
        </w:rPr>
        <w:t>), we simply assigned the spending for these institutions to the corresponding diseases.</w:t>
      </w:r>
    </w:p>
    <w:p w:rsidR="00B414A5" w:rsidRPr="00990318" w:rsidRDefault="00B414A5" w:rsidP="00B414A5">
      <w:pPr>
        <w:pStyle w:val="Heading5"/>
      </w:pPr>
      <w:r w:rsidRPr="00990318">
        <w:t>Outpatient services and health</w:t>
      </w:r>
      <w:r>
        <w:t>care</w:t>
      </w:r>
      <w:r w:rsidRPr="00990318">
        <w:t xml:space="preserve"> products</w:t>
      </w:r>
    </w:p>
    <w:p w:rsidR="00B414A5" w:rsidRDefault="008C7B30" w:rsidP="005E680C">
      <w:r w:rsidRPr="00990318">
        <w:fldChar w:fldCharType="begin"/>
      </w:r>
      <w:r w:rsidR="00B414A5" w:rsidRPr="00990318">
        <w:instrText xml:space="preserve"> REF _Ref481134985 \h </w:instrText>
      </w:r>
      <w:r w:rsidRPr="00990318">
        <w:fldChar w:fldCharType="separate"/>
      </w:r>
      <w:r w:rsidR="00EB2D6F" w:rsidRPr="00990318">
        <w:t xml:space="preserve">Table </w:t>
      </w:r>
      <w:r w:rsidR="00EB2D6F">
        <w:rPr>
          <w:noProof/>
        </w:rPr>
        <w:t>1</w:t>
      </w:r>
      <w:r w:rsidRPr="00990318">
        <w:fldChar w:fldCharType="end"/>
      </w:r>
      <w:r w:rsidR="00B414A5" w:rsidRPr="00990318">
        <w:t xml:space="preserve"> gives an overview of the microdata sources used, how the underlying diseases </w:t>
      </w:r>
      <w:proofErr w:type="gramStart"/>
      <w:r w:rsidR="00B414A5" w:rsidRPr="00990318">
        <w:t>were identified</w:t>
      </w:r>
      <w:proofErr w:type="gramEnd"/>
      <w:r w:rsidR="00B414A5" w:rsidRPr="00990318">
        <w:t>, and the methods used to assign service-specific spending to these diseases.</w:t>
      </w:r>
    </w:p>
    <w:p w:rsidR="00B414A5" w:rsidRPr="00990318" w:rsidRDefault="00B414A5" w:rsidP="00B414A5">
      <w:pPr>
        <w:pStyle w:val="Heading6"/>
        <w:numPr>
          <w:ilvl w:val="0"/>
          <w:numId w:val="0"/>
        </w:numPr>
      </w:pPr>
      <w:r w:rsidRPr="00990318">
        <w:t>Attribution based on claims data</w:t>
      </w:r>
    </w:p>
    <w:p w:rsidR="00B414A5" w:rsidRDefault="00B414A5" w:rsidP="00B414A5">
      <w:r w:rsidRPr="00D5519D">
        <w:t xml:space="preserve">Health care claims data from the Helsana Group cover over 1 million Swiss </w:t>
      </w:r>
      <w:r>
        <w:t>residents</w:t>
      </w:r>
      <w:r w:rsidRPr="00D5519D">
        <w:t xml:space="preserve"> with </w:t>
      </w:r>
      <w:r>
        <w:t>mandatory</w:t>
      </w:r>
      <w:r w:rsidRPr="00D5519D">
        <w:t xml:space="preserve"> health insurance. The database includes information on sociodemographic</w:t>
      </w:r>
      <w:r>
        <w:t>s, health care use and health</w:t>
      </w:r>
      <w:r w:rsidRPr="00D5519D">
        <w:t xml:space="preserve">care costs. </w:t>
      </w:r>
      <w:r>
        <w:t xml:space="preserve">The </w:t>
      </w:r>
      <w:r w:rsidRPr="00D5519D">
        <w:t xml:space="preserve">data are highly reliable </w:t>
      </w:r>
      <w:r>
        <w:t>as the claims contain</w:t>
      </w:r>
      <w:r w:rsidRPr="00D5519D">
        <w:t xml:space="preserve"> almost all health care invoice</w:t>
      </w:r>
      <w:r>
        <w:t>s</w:t>
      </w:r>
      <w:r w:rsidRPr="00D5519D">
        <w:t>. The 2011</w:t>
      </w:r>
      <w:r>
        <w:t xml:space="preserve"> </w:t>
      </w:r>
      <w:r w:rsidRPr="00D5519D">
        <w:t>study s</w:t>
      </w:r>
      <w:r>
        <w:t>ample included 1,</w:t>
      </w:r>
      <w:r w:rsidRPr="00D5519D">
        <w:t>109</w:t>
      </w:r>
      <w:r>
        <w:t>,</w:t>
      </w:r>
      <w:r w:rsidRPr="00D5519D">
        <w:t>633</w:t>
      </w:r>
      <w:r>
        <w:t xml:space="preserve"> </w:t>
      </w:r>
      <w:r w:rsidRPr="00D5519D">
        <w:t>Helsana enrollees in all age groups.</w:t>
      </w:r>
    </w:p>
    <w:p w:rsidR="00B414A5" w:rsidRPr="00E94DB1" w:rsidRDefault="00B414A5" w:rsidP="00B414A5">
      <w:r>
        <w:t xml:space="preserve">Seven </w:t>
      </w:r>
      <w:r w:rsidRPr="00E94DB1">
        <w:t>non-communicable disease</w:t>
      </w:r>
      <w:r>
        <w:t>s</w:t>
      </w:r>
      <w:r w:rsidRPr="00E94DB1">
        <w:t xml:space="preserve"> </w:t>
      </w:r>
      <w:r>
        <w:t xml:space="preserve">were selected: </w:t>
      </w:r>
      <w:r w:rsidRPr="004F0D29">
        <w:rPr>
          <w:i/>
        </w:rPr>
        <w:t>neoplasms</w:t>
      </w:r>
      <w:r w:rsidRPr="00E94DB1">
        <w:t xml:space="preserve">, </w:t>
      </w:r>
      <w:r w:rsidRPr="004F0D29">
        <w:rPr>
          <w:i/>
        </w:rPr>
        <w:t>cardiovascular diseases</w:t>
      </w:r>
      <w:r w:rsidRPr="00E94DB1">
        <w:t xml:space="preserve">, </w:t>
      </w:r>
      <w:r w:rsidRPr="004F0D29">
        <w:rPr>
          <w:i/>
        </w:rPr>
        <w:t>chronic respiratory diseases</w:t>
      </w:r>
      <w:r>
        <w:t xml:space="preserve">, </w:t>
      </w:r>
      <w:r w:rsidRPr="004F0D29">
        <w:rPr>
          <w:i/>
        </w:rPr>
        <w:t>diabetes</w:t>
      </w:r>
      <w:r w:rsidRPr="00E94DB1">
        <w:t>, rheumatologic conditions (</w:t>
      </w:r>
      <w:r>
        <w:t xml:space="preserve">part of </w:t>
      </w:r>
      <w:r w:rsidRPr="004F0D29">
        <w:rPr>
          <w:i/>
        </w:rPr>
        <w:t>musculoskeletal disorders</w:t>
      </w:r>
      <w:r w:rsidRPr="00E94DB1">
        <w:t>),</w:t>
      </w:r>
      <w:r>
        <w:t xml:space="preserve"> </w:t>
      </w:r>
      <w:r w:rsidRPr="004F0D29">
        <w:rPr>
          <w:i/>
        </w:rPr>
        <w:t>mental and substance use disorders</w:t>
      </w:r>
      <w:r w:rsidRPr="00E94DB1">
        <w:t xml:space="preserve">, </w:t>
      </w:r>
      <w:r w:rsidRPr="004F0D29">
        <w:rPr>
          <w:i/>
        </w:rPr>
        <w:t>dementia</w:t>
      </w:r>
      <w:r w:rsidRPr="00E94DB1">
        <w:t xml:space="preserve">. The insured persons were identified by </w:t>
      </w:r>
      <w:r>
        <w:t>using the prescribed drug ingredients ATC code (</w:t>
      </w:r>
      <w:r w:rsidRPr="00C67EF4">
        <w:t>Anatomical Therapeutic Chemical Classification)</w:t>
      </w:r>
      <w:r w:rsidR="00E86C5C">
        <w:t xml:space="preserve"> </w:t>
      </w:r>
      <w:r w:rsidR="008C7B30">
        <w:fldChar w:fldCharType="begin"/>
      </w:r>
      <w:r w:rsidR="00E86C5C">
        <w:instrText xml:space="preserve"> ADDIN EN.CITE &lt;EndNote&gt;&lt;Cite&gt;&lt;Author&gt;Huber&lt;/Author&gt;&lt;Year&gt;2013&lt;/Year&gt;&lt;RecNum&gt;99&lt;/RecNum&gt;&lt;DisplayText&gt;[2]&lt;/DisplayText&gt;&lt;record&gt;&lt;rec-number&gt;99&lt;/rec-number&gt;&lt;foreign-keys&gt;&lt;key app="EN" db-id="exwd9s5eg2xtvveaepzvf290etdf2a0aazpa" timestamp="1500696312"&gt;99&lt;/key&gt;&lt;/foreign-keys&gt;&lt;ref-type name="Journal Article"&gt;17&lt;/ref-type&gt;&lt;contributors&gt;&lt;authors&gt;&lt;author&gt;Huber, Carola A.&lt;/author&gt;&lt;author&gt;Szucs, Thomas D.&lt;/author&gt;&lt;author&gt;Rapold, Roland&lt;/author&gt;&lt;author&gt;Reich, Oliver&lt;/author&gt;&lt;/authors&gt;&lt;/contributors&gt;&lt;titles&gt;&lt;title&gt;Identifying patients with chronic conditions using pharmacy data in Switzerland: an updated mapping approach to the classification of medications&lt;/title&gt;&lt;secondary-title&gt;BMC Publ Health&lt;/secondary-title&gt;&lt;alt-title&gt;BMC Public Health&lt;/alt-title&gt;&lt;/titles&gt;&lt;alt-periodical&gt;&lt;full-title&gt;BMC Public Health&lt;/full-title&gt;&lt;/alt-periodical&gt;&lt;pages&gt;1030&lt;/pages&gt;&lt;volume&gt;13&lt;/volume&gt;&lt;number&gt;1&lt;/number&gt;&lt;dates&gt;&lt;year&gt;2013&lt;/year&gt;&lt;pub-dates&gt;&lt;date&gt;2013&lt;/date&gt;&lt;/pub-dates&gt;&lt;/dates&gt;&lt;isbn&gt;1471-2458&lt;/isbn&gt;&lt;urls&gt;&lt;related-urls&gt;&lt;url&gt;http://dx.doi.org/10.1186/1471-2458-13-1030&lt;/url&gt;&lt;url&gt;http://bmcpublichealth.biomedcentral.com/track/pdf/10.1186/1471-2458-13-1030?site=bmcpublichealth.biomedcentral.com&lt;/url&gt;&lt;/related-urls&gt;&lt;/urls&gt;&lt;electronic-resource-num&gt;10.1186/1471-2458-13-1030&lt;/electronic-resource-num&gt;&lt;/record&gt;&lt;/Cite&gt;&lt;/EndNote&gt;</w:instrText>
      </w:r>
      <w:r w:rsidR="008C7B30">
        <w:fldChar w:fldCharType="separate"/>
      </w:r>
      <w:r w:rsidR="00E86C5C">
        <w:rPr>
          <w:noProof/>
        </w:rPr>
        <w:t>[2]</w:t>
      </w:r>
      <w:r w:rsidR="008C7B30">
        <w:fldChar w:fldCharType="end"/>
      </w:r>
      <w:r>
        <w:t xml:space="preserve">. </w:t>
      </w:r>
    </w:p>
    <w:p w:rsidR="00B414A5" w:rsidRPr="006C4998" w:rsidRDefault="00B414A5" w:rsidP="00B414A5">
      <w:r>
        <w:t>The total</w:t>
      </w:r>
      <w:r w:rsidRPr="006C4998">
        <w:t xml:space="preserve"> outpatient </w:t>
      </w:r>
      <w:r>
        <w:t>expenditures include outpatient</w:t>
      </w:r>
      <w:r w:rsidRPr="006C4998">
        <w:t xml:space="preserve"> physician visits,</w:t>
      </w:r>
      <w:r>
        <w:t xml:space="preserve"> outpatient hospital </w:t>
      </w:r>
      <w:r w:rsidRPr="006C4998">
        <w:t>visits, home nursing, other outpatient care services (e.g. physiotherapy). These categories contain</w:t>
      </w:r>
      <w:r>
        <w:t>ed</w:t>
      </w:r>
      <w:r w:rsidRPr="006C4998">
        <w:t xml:space="preserve"> </w:t>
      </w:r>
      <w:r>
        <w:t xml:space="preserve">expenditures </w:t>
      </w:r>
      <w:r>
        <w:lastRenderedPageBreak/>
        <w:t>covered</w:t>
      </w:r>
      <w:r w:rsidRPr="006C4998">
        <w:t xml:space="preserve"> by th</w:t>
      </w:r>
      <w:r>
        <w:t>e</w:t>
      </w:r>
      <w:r w:rsidRPr="006C4998">
        <w:t xml:space="preserve"> </w:t>
      </w:r>
      <w:r>
        <w:t>mandatory health insurance such as</w:t>
      </w:r>
      <w:r w:rsidRPr="006C4998">
        <w:t xml:space="preserve"> treatments, </w:t>
      </w:r>
      <w:r>
        <w:t>drugs</w:t>
      </w:r>
      <w:r w:rsidRPr="006C4998">
        <w:t>, laboratory</w:t>
      </w:r>
      <w:r>
        <w:t xml:space="preserve"> analyzes, medical products, other medical devices</w:t>
      </w:r>
      <w:r w:rsidRPr="006C4998">
        <w:t>.</w:t>
      </w:r>
    </w:p>
    <w:p w:rsidR="00B414A5" w:rsidRDefault="00B414A5" w:rsidP="00B414A5">
      <w:r w:rsidRPr="006C4998">
        <w:t xml:space="preserve">The proportion of </w:t>
      </w:r>
      <w:r>
        <w:t>expenditures</w:t>
      </w:r>
      <w:r w:rsidRPr="006C4998">
        <w:t xml:space="preserve"> for each </w:t>
      </w:r>
      <w:r>
        <w:t>disease</w:t>
      </w:r>
      <w:r w:rsidRPr="006C4998">
        <w:t xml:space="preserve"> in the outpatient se</w:t>
      </w:r>
      <w:r>
        <w:t>tting</w:t>
      </w:r>
      <w:r w:rsidRPr="006C4998">
        <w:t xml:space="preserve"> </w:t>
      </w:r>
      <w:proofErr w:type="gramStart"/>
      <w:r w:rsidRPr="006C4998">
        <w:t>was calculated</w:t>
      </w:r>
      <w:proofErr w:type="gramEnd"/>
      <w:r w:rsidRPr="006C4998">
        <w:t xml:space="preserve"> in three steps: First, we determined the prevalence of each </w:t>
      </w:r>
      <w:r>
        <w:t>disease</w:t>
      </w:r>
      <w:r w:rsidRPr="006C4998">
        <w:t xml:space="preserve">. The prevalence </w:t>
      </w:r>
      <w:proofErr w:type="gramStart"/>
      <w:r w:rsidRPr="006C4998">
        <w:t>was calculated</w:t>
      </w:r>
      <w:proofErr w:type="gramEnd"/>
      <w:r w:rsidRPr="006C4998">
        <w:t xml:space="preserve"> by dividing the number of patients with the given </w:t>
      </w:r>
      <w:r>
        <w:t>disease</w:t>
      </w:r>
      <w:r w:rsidRPr="006C4998">
        <w:t xml:space="preserve"> by the total number of insured persons. Second, the </w:t>
      </w:r>
      <w:r>
        <w:t xml:space="preserve">average </w:t>
      </w:r>
      <w:r w:rsidRPr="006C4998">
        <w:t xml:space="preserve">costs </w:t>
      </w:r>
      <w:r>
        <w:t>per disease and patient</w:t>
      </w:r>
      <w:r w:rsidRPr="006C4998">
        <w:t xml:space="preserve"> was determined by performing a</w:t>
      </w:r>
      <w:r>
        <w:t>n</w:t>
      </w:r>
      <w:r w:rsidRPr="006C4998">
        <w:t xml:space="preserve"> </w:t>
      </w:r>
      <w:r>
        <w:t xml:space="preserve">additive </w:t>
      </w:r>
      <w:r w:rsidRPr="006C4998">
        <w:t xml:space="preserve">generalized </w:t>
      </w:r>
      <w:r>
        <w:t>linear</w:t>
      </w:r>
      <w:r w:rsidRPr="006C4998">
        <w:t xml:space="preserve"> model (</w:t>
      </w:r>
      <w:proofErr w:type="spellStart"/>
      <w:r w:rsidRPr="006C4998">
        <w:t>G</w:t>
      </w:r>
      <w:r>
        <w:t>L</w:t>
      </w:r>
      <w:r w:rsidRPr="006C4998">
        <w:t>M</w:t>
      </w:r>
      <w:proofErr w:type="spellEnd"/>
      <w:r w:rsidRPr="006C4998">
        <w:t>)</w:t>
      </w:r>
      <w:r>
        <w:t xml:space="preserve"> with negative binomial distribution</w:t>
      </w:r>
      <w:r w:rsidRPr="006C4998">
        <w:t xml:space="preserve">. In the </w:t>
      </w:r>
      <w:proofErr w:type="spellStart"/>
      <w:proofErr w:type="gramStart"/>
      <w:r w:rsidRPr="006C4998">
        <w:t>G</w:t>
      </w:r>
      <w:r>
        <w:t>L</w:t>
      </w:r>
      <w:r w:rsidRPr="006C4998">
        <w:t>M</w:t>
      </w:r>
      <w:proofErr w:type="spellEnd"/>
      <w:proofErr w:type="gramEnd"/>
      <w:r w:rsidRPr="006C4998">
        <w:t xml:space="preserve"> an unspecified (non-parametric) function </w:t>
      </w:r>
      <w:r>
        <w:t>was</w:t>
      </w:r>
      <w:r w:rsidRPr="006C4998">
        <w:t xml:space="preserve"> calculated for each predictor to obtain the best prediction for the dependent variable values, instead of a single coefficient for each variable. The following equation describes the calculated negative binomial regression model including interaction terms: </w:t>
      </w:r>
    </w:p>
    <w:p w:rsidR="00B414A5" w:rsidRPr="00C67EF4" w:rsidRDefault="00B414A5" w:rsidP="00B414A5">
      <w:pPr>
        <w:rPr>
          <w:rFonts w:eastAsiaTheme="minorEastAsia"/>
          <w:lang/>
        </w:rPr>
      </w:pPr>
      <m:oMathPara>
        <m:oMath>
          <m:r>
            <w:rPr>
              <w:rFonts w:ascii="Cambria Math" w:hAnsi="Cambria Math"/>
              <w:lang/>
            </w:rPr>
            <m:t>outpatient</m:t>
          </m:r>
          <m:r>
            <m:rPr>
              <m:sty m:val="p"/>
            </m:rPr>
            <w:rPr>
              <w:rFonts w:ascii="Cambria Math" w:hAnsi="Cambria Math"/>
              <w:lang/>
            </w:rPr>
            <m:t xml:space="preserve"> </m:t>
          </m:r>
          <m:r>
            <w:rPr>
              <w:rFonts w:ascii="Cambria Math" w:hAnsi="Cambria Math"/>
              <w:lang/>
            </w:rPr>
            <m:t>costs</m:t>
          </m:r>
          <m:r>
            <m:rPr>
              <m:sty m:val="p"/>
            </m:rPr>
            <w:rPr>
              <w:rFonts w:ascii="Cambria Math" w:hAnsi="Cambria Math"/>
              <w:lang/>
            </w:rPr>
            <m:t xml:space="preserve"> </m:t>
          </m:r>
          <m:r>
            <w:rPr>
              <w:rFonts w:ascii="Cambria Math" w:hAnsi="Cambria Math"/>
              <w:lang/>
            </w:rPr>
            <m:t>per</m:t>
          </m:r>
          <m:r>
            <m:rPr>
              <m:sty m:val="p"/>
            </m:rPr>
            <w:rPr>
              <w:rFonts w:ascii="Cambria Math" w:hAnsi="Cambria Math"/>
              <w:lang/>
            </w:rPr>
            <m:t xml:space="preserve"> </m:t>
          </m:r>
          <m:r>
            <w:rPr>
              <w:rFonts w:ascii="Cambria Math" w:hAnsi="Cambria Math"/>
              <w:lang/>
            </w:rPr>
            <m:t>disease</m:t>
          </m:r>
          <m:r>
            <m:rPr>
              <m:sty m:val="p"/>
            </m:rPr>
            <w:rPr>
              <w:rFonts w:ascii="Cambria Math" w:hAnsi="Cambria Math"/>
              <w:lang/>
            </w:rPr>
            <m:t>=</m:t>
          </m:r>
          <m:r>
            <w:rPr>
              <w:rFonts w:ascii="Cambria Math" w:hAnsi="Cambria Math"/>
              <w:lang/>
            </w:rPr>
            <m:t>f</m:t>
          </m:r>
          <m:r>
            <m:rPr>
              <m:sty m:val="p"/>
            </m:rPr>
            <w:rPr>
              <w:rFonts w:ascii="Cambria Math" w:hAnsi="Cambria Math"/>
              <w:lang/>
            </w:rPr>
            <m:t>(</m:t>
          </m:r>
          <m:r>
            <w:rPr>
              <w:rFonts w:ascii="Cambria Math" w:hAnsi="Cambria Math"/>
              <w:lang/>
            </w:rPr>
            <m:t>sex</m:t>
          </m:r>
          <m:r>
            <m:rPr>
              <m:sty m:val="p"/>
            </m:rPr>
            <w:rPr>
              <w:rFonts w:ascii="Cambria Math" w:hAnsi="Cambria Math"/>
              <w:lang/>
            </w:rPr>
            <m:t xml:space="preserve">, </m:t>
          </m:r>
          <m:r>
            <w:rPr>
              <w:rFonts w:ascii="Cambria Math" w:hAnsi="Cambria Math"/>
              <w:lang/>
            </w:rPr>
            <m:t>age</m:t>
          </m:r>
          <m:r>
            <m:rPr>
              <m:sty m:val="p"/>
            </m:rPr>
            <w:rPr>
              <w:rFonts w:ascii="Cambria Math" w:hAnsi="Cambria Math"/>
              <w:lang/>
            </w:rPr>
            <m:t xml:space="preserve">, </m:t>
          </m:r>
          <m:sSup>
            <m:sSupPr>
              <m:ctrlPr>
                <w:rPr>
                  <w:rFonts w:ascii="Cambria Math" w:hAnsi="Cambria Math"/>
                  <w:lang/>
                </w:rPr>
              </m:ctrlPr>
            </m:sSupPr>
            <m:e>
              <m:d>
                <m:dPr>
                  <m:ctrlPr>
                    <w:rPr>
                      <w:rFonts w:ascii="Cambria Math" w:hAnsi="Cambria Math"/>
                      <w:lang/>
                    </w:rPr>
                  </m:ctrlPr>
                </m:dPr>
                <m:e>
                  <m:r>
                    <w:rPr>
                      <w:rFonts w:ascii="Cambria Math" w:hAnsi="Cambria Math"/>
                      <w:lang/>
                    </w:rPr>
                    <m:t>diabetes, neoplasms, cardiovascular, mental, chronic re</m:t>
                  </m:r>
                  <m:r>
                    <w:rPr>
                      <w:rFonts w:ascii="Cambria Math" w:hAnsi="Cambria Math"/>
                      <w:lang/>
                    </w:rPr>
                    <m:t>sp, musculo, dementia</m:t>
                  </m:r>
                </m:e>
              </m:d>
            </m:e>
            <m:sup>
              <m:r>
                <w:rPr>
                  <w:rFonts w:ascii="Cambria Math" w:hAnsi="Cambria Math"/>
                  <w:lang/>
                </w:rPr>
                <m:t>2</m:t>
              </m:r>
            </m:sup>
          </m:sSup>
          <m:r>
            <m:rPr>
              <m:sty m:val="p"/>
            </m:rPr>
            <w:rPr>
              <w:rFonts w:ascii="Cambria Math" w:hAnsi="Cambria Math"/>
              <w:lang/>
            </w:rPr>
            <m:t xml:space="preserve"> )</m:t>
          </m:r>
        </m:oMath>
      </m:oMathPara>
    </w:p>
    <w:p w:rsidR="00B414A5" w:rsidRPr="001E0C2D" w:rsidRDefault="00B414A5" w:rsidP="00B414A5">
      <w:pPr>
        <w:rPr>
          <w:lang/>
        </w:rPr>
      </w:pPr>
      <w:r>
        <w:rPr>
          <w:lang/>
        </w:rPr>
        <w:t xml:space="preserve">The results for the Helsana population </w:t>
      </w:r>
      <w:proofErr w:type="gramStart"/>
      <w:r>
        <w:rPr>
          <w:lang/>
        </w:rPr>
        <w:t>were then extrapolated</w:t>
      </w:r>
      <w:proofErr w:type="gramEnd"/>
      <w:r>
        <w:rPr>
          <w:lang/>
        </w:rPr>
        <w:t xml:space="preserve"> to the overall Swiss population.</w:t>
      </w:r>
    </w:p>
    <w:p w:rsidR="00B414A5" w:rsidRPr="00990318" w:rsidRDefault="00B414A5" w:rsidP="00B414A5">
      <w:pPr>
        <w:pStyle w:val="Caption"/>
      </w:pPr>
      <w:bookmarkStart w:id="2" w:name="_Ref481134985"/>
      <w:r w:rsidRPr="00990318">
        <w:t xml:space="preserve">Table </w:t>
      </w:r>
      <w:r w:rsidR="008C7B30">
        <w:fldChar w:fldCharType="begin"/>
      </w:r>
      <w:r w:rsidR="00EB2D6F">
        <w:instrText xml:space="preserve"> SEQ Table \* ARABIC </w:instrText>
      </w:r>
      <w:r w:rsidR="008C7B30">
        <w:fldChar w:fldCharType="separate"/>
      </w:r>
      <w:r w:rsidR="00EB2D6F">
        <w:rPr>
          <w:noProof/>
        </w:rPr>
        <w:t>1</w:t>
      </w:r>
      <w:r w:rsidR="008C7B30">
        <w:rPr>
          <w:noProof/>
        </w:rPr>
        <w:fldChar w:fldCharType="end"/>
      </w:r>
      <w:bookmarkEnd w:id="2"/>
      <w:r w:rsidRPr="00990318">
        <w:t>: Microdata sources for attribution of outpatient services and health products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245"/>
        <w:gridCol w:w="3250"/>
        <w:gridCol w:w="2150"/>
        <w:gridCol w:w="2430"/>
      </w:tblGrid>
      <w:tr w:rsidR="00B414A5" w:rsidRPr="00990318" w:rsidTr="00100340">
        <w:trPr>
          <w:trHeight w:val="20"/>
        </w:trPr>
        <w:tc>
          <w:tcPr>
            <w:tcW w:w="2245"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b/>
                <w:lang w:val="en-US"/>
              </w:rPr>
            </w:pPr>
            <w:r w:rsidRPr="00990318">
              <w:rPr>
                <w:b/>
                <w:lang w:val="en-US"/>
              </w:rPr>
              <w:t>Type of service</w:t>
            </w:r>
          </w:p>
        </w:tc>
        <w:tc>
          <w:tcPr>
            <w:tcW w:w="32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b/>
                <w:lang w:val="en-US"/>
              </w:rPr>
            </w:pPr>
            <w:r w:rsidRPr="00990318">
              <w:rPr>
                <w:b/>
                <w:lang w:val="en-US"/>
              </w:rPr>
              <w:t>Microdata source</w:t>
            </w:r>
          </w:p>
        </w:tc>
        <w:tc>
          <w:tcPr>
            <w:tcW w:w="21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b/>
                <w:lang w:val="en-US"/>
              </w:rPr>
            </w:pPr>
            <w:r w:rsidRPr="00990318">
              <w:rPr>
                <w:b/>
                <w:lang w:val="en-US"/>
              </w:rPr>
              <w:t>Identification of disease</w:t>
            </w:r>
          </w:p>
        </w:tc>
        <w:tc>
          <w:tcPr>
            <w:tcW w:w="243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b/>
                <w:lang w:val="en-US"/>
              </w:rPr>
            </w:pPr>
            <w:r w:rsidRPr="00990318">
              <w:rPr>
                <w:b/>
                <w:lang w:val="en-US"/>
              </w:rPr>
              <w:t>Method for expenditur</w:t>
            </w:r>
            <w:r>
              <w:rPr>
                <w:b/>
                <w:lang w:val="en-US"/>
              </w:rPr>
              <w:t>e a</w:t>
            </w:r>
            <w:r w:rsidRPr="00990318">
              <w:rPr>
                <w:b/>
                <w:lang w:val="en-US"/>
              </w:rPr>
              <w:t>ssignment</w:t>
            </w:r>
          </w:p>
        </w:tc>
      </w:tr>
      <w:tr w:rsidR="00B414A5" w:rsidRPr="00990318" w:rsidTr="00100340">
        <w:trPr>
          <w:trHeight w:val="20"/>
        </w:trPr>
        <w:tc>
          <w:tcPr>
            <w:tcW w:w="2245" w:type="dxa"/>
            <w:vMerge w:val="restart"/>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outpatient physicians</w:t>
            </w:r>
          </w:p>
        </w:tc>
        <w:tc>
          <w:tcPr>
            <w:tcW w:w="32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 xml:space="preserve">Helsana (health insurance claims data) </w:t>
            </w:r>
          </w:p>
        </w:tc>
        <w:tc>
          <w:tcPr>
            <w:tcW w:w="21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proofErr w:type="spellStart"/>
            <w:r w:rsidRPr="00990318">
              <w:rPr>
                <w:lang w:val="en-US"/>
              </w:rPr>
              <w:t>PCG</w:t>
            </w:r>
            <w:proofErr w:type="spellEnd"/>
          </w:p>
        </w:tc>
        <w:tc>
          <w:tcPr>
            <w:tcW w:w="243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b/>
                <w:lang w:val="en-US"/>
              </w:rPr>
            </w:pPr>
            <w:r w:rsidRPr="00990318">
              <w:rPr>
                <w:lang w:val="en-US"/>
              </w:rPr>
              <w:t>negative-binomial regression model</w:t>
            </w:r>
          </w:p>
        </w:tc>
      </w:tr>
      <w:tr w:rsidR="00B414A5" w:rsidRPr="00990318" w:rsidTr="00100340">
        <w:trPr>
          <w:trHeight w:val="20"/>
        </w:trPr>
        <w:tc>
          <w:tcPr>
            <w:tcW w:w="2245" w:type="dxa"/>
            <w:vMerge/>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p>
        </w:tc>
        <w:tc>
          <w:tcPr>
            <w:tcW w:w="32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NewIndex (physicians’ billing database)</w:t>
            </w:r>
          </w:p>
        </w:tc>
        <w:tc>
          <w:tcPr>
            <w:tcW w:w="21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T-code</w:t>
            </w:r>
          </w:p>
          <w:p w:rsidR="00B414A5" w:rsidRPr="00990318" w:rsidRDefault="00B414A5" w:rsidP="00100340">
            <w:pPr>
              <w:pStyle w:val="tabellentext"/>
              <w:keepNext/>
              <w:keepLines/>
              <w:spacing w:before="0" w:after="0"/>
              <w:rPr>
                <w:color w:val="FF0000"/>
                <w:lang w:val="en-US"/>
              </w:rPr>
            </w:pPr>
            <w:r w:rsidRPr="00990318">
              <w:rPr>
                <w:lang w:val="en-US"/>
              </w:rPr>
              <w:t>physicians’ specialization</w:t>
            </w:r>
            <w:r w:rsidRPr="00990318">
              <w:rPr>
                <w:color w:val="FF0000"/>
                <w:lang w:val="en-US"/>
              </w:rPr>
              <w:t xml:space="preserve"> </w:t>
            </w:r>
          </w:p>
          <w:p w:rsidR="00B414A5" w:rsidRPr="00990318" w:rsidRDefault="00B414A5" w:rsidP="00100340">
            <w:pPr>
              <w:pStyle w:val="tabellentext"/>
              <w:keepNext/>
              <w:keepLines/>
              <w:spacing w:before="0" w:after="0"/>
              <w:rPr>
                <w:lang w:val="en-US"/>
              </w:rPr>
            </w:pPr>
            <w:r w:rsidRPr="00990318">
              <w:rPr>
                <w:color w:val="000000" w:themeColor="text1"/>
                <w:lang w:val="en-US"/>
              </w:rPr>
              <w:t>financing regimen</w:t>
            </w:r>
          </w:p>
        </w:tc>
        <w:tc>
          <w:tcPr>
            <w:tcW w:w="243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simple attribution</w:t>
            </w:r>
          </w:p>
        </w:tc>
      </w:tr>
      <w:tr w:rsidR="00B414A5" w:rsidRPr="00990318" w:rsidTr="00100340">
        <w:trPr>
          <w:trHeight w:val="20"/>
        </w:trPr>
        <w:tc>
          <w:tcPr>
            <w:tcW w:w="2245"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outpatient hospital</w:t>
            </w:r>
          </w:p>
        </w:tc>
        <w:tc>
          <w:tcPr>
            <w:tcW w:w="32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Helsana (health insurance claims data)</w:t>
            </w:r>
          </w:p>
        </w:tc>
        <w:tc>
          <w:tcPr>
            <w:tcW w:w="21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proofErr w:type="spellStart"/>
            <w:r w:rsidRPr="00990318">
              <w:rPr>
                <w:lang w:val="en-US"/>
              </w:rPr>
              <w:t>PCG</w:t>
            </w:r>
            <w:proofErr w:type="spellEnd"/>
          </w:p>
        </w:tc>
        <w:tc>
          <w:tcPr>
            <w:tcW w:w="243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negative-binomial regression model</w:t>
            </w:r>
          </w:p>
        </w:tc>
      </w:tr>
      <w:tr w:rsidR="00B414A5" w:rsidRPr="00990318" w:rsidTr="00100340">
        <w:trPr>
          <w:trHeight w:val="20"/>
        </w:trPr>
        <w:tc>
          <w:tcPr>
            <w:tcW w:w="2245"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dental care</w:t>
            </w:r>
          </w:p>
        </w:tc>
        <w:tc>
          <w:tcPr>
            <w:tcW w:w="32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NewIndex (physicians’ billing database)</w:t>
            </w:r>
          </w:p>
        </w:tc>
        <w:tc>
          <w:tcPr>
            <w:tcW w:w="21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T-code</w:t>
            </w:r>
          </w:p>
        </w:tc>
        <w:tc>
          <w:tcPr>
            <w:tcW w:w="243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simple attribution</w:t>
            </w:r>
          </w:p>
        </w:tc>
      </w:tr>
      <w:tr w:rsidR="00B414A5" w:rsidRPr="00990318" w:rsidTr="00100340">
        <w:trPr>
          <w:trHeight w:val="20"/>
        </w:trPr>
        <w:tc>
          <w:tcPr>
            <w:tcW w:w="2245"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outpatient physiotherapy</w:t>
            </w:r>
          </w:p>
        </w:tc>
        <w:tc>
          <w:tcPr>
            <w:tcW w:w="3250" w:type="dxa"/>
            <w:vMerge w:val="restart"/>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SHS 2012</w:t>
            </w:r>
          </w:p>
        </w:tc>
        <w:tc>
          <w:tcPr>
            <w:tcW w:w="2150" w:type="dxa"/>
            <w:vMerge w:val="restart"/>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survey questions</w:t>
            </w:r>
          </w:p>
        </w:tc>
        <w:tc>
          <w:tcPr>
            <w:tcW w:w="2430" w:type="dxa"/>
            <w:vMerge w:val="restart"/>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Logit</w:t>
            </w:r>
            <w:r>
              <w:rPr>
                <w:lang w:val="en-US"/>
              </w:rPr>
              <w:t>-</w:t>
            </w:r>
            <w:r w:rsidRPr="00990318">
              <w:rPr>
                <w:lang w:val="en-US"/>
              </w:rPr>
              <w:t>zero truncated negative binomial two-part count data model</w:t>
            </w:r>
          </w:p>
        </w:tc>
      </w:tr>
      <w:tr w:rsidR="00B414A5" w:rsidRPr="00990318" w:rsidTr="00100340">
        <w:trPr>
          <w:trHeight w:val="20"/>
        </w:trPr>
        <w:tc>
          <w:tcPr>
            <w:tcW w:w="2245"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outpatient psychotherapy</w:t>
            </w:r>
          </w:p>
        </w:tc>
        <w:tc>
          <w:tcPr>
            <w:tcW w:w="3250" w:type="dxa"/>
            <w:vMerge/>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p>
        </w:tc>
        <w:tc>
          <w:tcPr>
            <w:tcW w:w="2150" w:type="dxa"/>
            <w:vMerge/>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p>
        </w:tc>
        <w:tc>
          <w:tcPr>
            <w:tcW w:w="2430" w:type="dxa"/>
            <w:vMerge/>
            <w:tcMar>
              <w:top w:w="14" w:type="dxa"/>
              <w:left w:w="29" w:type="dxa"/>
              <w:bottom w:w="14" w:type="dxa"/>
              <w:right w:w="29" w:type="dxa"/>
            </w:tcMar>
          </w:tcPr>
          <w:p w:rsidR="00B414A5" w:rsidRPr="00990318" w:rsidRDefault="00B414A5" w:rsidP="00100340">
            <w:pPr>
              <w:pStyle w:val="tabellentext"/>
              <w:keepNext/>
              <w:keepLines/>
              <w:spacing w:before="0" w:after="0"/>
              <w:rPr>
                <w:lang w:val="en-US"/>
              </w:rPr>
            </w:pPr>
          </w:p>
        </w:tc>
      </w:tr>
      <w:tr w:rsidR="00B414A5" w:rsidRPr="00990318" w:rsidTr="00100340">
        <w:trPr>
          <w:trHeight w:val="20"/>
        </w:trPr>
        <w:tc>
          <w:tcPr>
            <w:tcW w:w="2245"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outpatient nursing</w:t>
            </w:r>
          </w:p>
        </w:tc>
        <w:tc>
          <w:tcPr>
            <w:tcW w:w="3250" w:type="dxa"/>
            <w:vMerge/>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p>
        </w:tc>
        <w:tc>
          <w:tcPr>
            <w:tcW w:w="2150" w:type="dxa"/>
            <w:vMerge/>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p>
        </w:tc>
        <w:tc>
          <w:tcPr>
            <w:tcW w:w="2430" w:type="dxa"/>
            <w:vMerge/>
            <w:tcMar>
              <w:top w:w="14" w:type="dxa"/>
              <w:left w:w="29" w:type="dxa"/>
              <w:bottom w:w="14" w:type="dxa"/>
              <w:right w:w="29" w:type="dxa"/>
            </w:tcMar>
          </w:tcPr>
          <w:p w:rsidR="00B414A5" w:rsidRPr="00990318" w:rsidRDefault="00B414A5" w:rsidP="00100340">
            <w:pPr>
              <w:pStyle w:val="tabellentext"/>
              <w:keepNext/>
              <w:keepLines/>
              <w:spacing w:before="0" w:after="0"/>
              <w:rPr>
                <w:lang w:val="en-US"/>
              </w:rPr>
            </w:pPr>
          </w:p>
        </w:tc>
      </w:tr>
      <w:tr w:rsidR="00B414A5" w:rsidRPr="00990318" w:rsidTr="00100340">
        <w:trPr>
          <w:trHeight w:val="20"/>
        </w:trPr>
        <w:tc>
          <w:tcPr>
            <w:tcW w:w="2245"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other paramedic services</w:t>
            </w:r>
          </w:p>
        </w:tc>
        <w:tc>
          <w:tcPr>
            <w:tcW w:w="3250" w:type="dxa"/>
            <w:vMerge/>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p>
        </w:tc>
        <w:tc>
          <w:tcPr>
            <w:tcW w:w="2150" w:type="dxa"/>
            <w:vMerge/>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p>
        </w:tc>
        <w:tc>
          <w:tcPr>
            <w:tcW w:w="2430" w:type="dxa"/>
            <w:vMerge/>
            <w:tcMar>
              <w:top w:w="14" w:type="dxa"/>
              <w:left w:w="29" w:type="dxa"/>
              <w:bottom w:w="14" w:type="dxa"/>
              <w:right w:w="29" w:type="dxa"/>
            </w:tcMar>
          </w:tcPr>
          <w:p w:rsidR="00B414A5" w:rsidRPr="00990318" w:rsidRDefault="00B414A5" w:rsidP="00100340">
            <w:pPr>
              <w:pStyle w:val="tabellentext"/>
              <w:keepNext/>
              <w:keepLines/>
              <w:spacing w:before="0" w:after="0"/>
              <w:rPr>
                <w:lang w:val="en-US"/>
              </w:rPr>
            </w:pPr>
          </w:p>
        </w:tc>
      </w:tr>
      <w:tr w:rsidR="00B414A5" w:rsidRPr="00990318" w:rsidTr="00100340">
        <w:trPr>
          <w:trHeight w:val="20"/>
        </w:trPr>
        <w:tc>
          <w:tcPr>
            <w:tcW w:w="2245" w:type="dxa"/>
            <w:vMerge w:val="restart"/>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drugs provided by pharmacies and physicians</w:t>
            </w:r>
          </w:p>
        </w:tc>
        <w:tc>
          <w:tcPr>
            <w:tcW w:w="32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IMS Health</w:t>
            </w:r>
          </w:p>
        </w:tc>
        <w:tc>
          <w:tcPr>
            <w:tcW w:w="21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ATC-code</w:t>
            </w:r>
          </w:p>
        </w:tc>
        <w:tc>
          <w:tcPr>
            <w:tcW w:w="243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simple attribution</w:t>
            </w:r>
          </w:p>
        </w:tc>
      </w:tr>
      <w:tr w:rsidR="00B414A5" w:rsidRPr="00990318" w:rsidTr="00100340">
        <w:trPr>
          <w:trHeight w:val="20"/>
        </w:trPr>
        <w:tc>
          <w:tcPr>
            <w:tcW w:w="2245" w:type="dxa"/>
            <w:vMerge/>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p>
        </w:tc>
        <w:tc>
          <w:tcPr>
            <w:tcW w:w="32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NewIndex (physicians’ billing database)</w:t>
            </w:r>
          </w:p>
        </w:tc>
        <w:tc>
          <w:tcPr>
            <w:tcW w:w="21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T-code</w:t>
            </w:r>
          </w:p>
          <w:p w:rsidR="00B414A5" w:rsidRPr="00990318" w:rsidRDefault="00B414A5" w:rsidP="00100340">
            <w:pPr>
              <w:pStyle w:val="tabellentext"/>
              <w:keepNext/>
              <w:keepLines/>
              <w:spacing w:before="0" w:after="0"/>
              <w:rPr>
                <w:color w:val="FF0000"/>
                <w:lang w:val="en-US"/>
              </w:rPr>
            </w:pPr>
            <w:r w:rsidRPr="00990318">
              <w:rPr>
                <w:lang w:val="en-US"/>
              </w:rPr>
              <w:t>physicians’ specialization</w:t>
            </w:r>
            <w:r w:rsidRPr="00990318">
              <w:rPr>
                <w:color w:val="FF0000"/>
                <w:lang w:val="en-US"/>
              </w:rPr>
              <w:t xml:space="preserve"> </w:t>
            </w:r>
          </w:p>
          <w:p w:rsidR="00B414A5" w:rsidRPr="00990318" w:rsidRDefault="00B414A5" w:rsidP="00100340">
            <w:pPr>
              <w:pStyle w:val="tabellentext"/>
              <w:keepNext/>
              <w:keepLines/>
              <w:spacing w:before="0" w:after="0"/>
              <w:rPr>
                <w:lang w:val="en-US"/>
              </w:rPr>
            </w:pPr>
            <w:r w:rsidRPr="00990318">
              <w:rPr>
                <w:color w:val="000000" w:themeColor="text1"/>
                <w:lang w:val="en-US"/>
              </w:rPr>
              <w:t>financing regimen</w:t>
            </w:r>
          </w:p>
        </w:tc>
        <w:tc>
          <w:tcPr>
            <w:tcW w:w="243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simple attribution</w:t>
            </w:r>
          </w:p>
        </w:tc>
      </w:tr>
      <w:tr w:rsidR="00B414A5" w:rsidRPr="00990318" w:rsidTr="00100340">
        <w:trPr>
          <w:trHeight w:val="20"/>
        </w:trPr>
        <w:tc>
          <w:tcPr>
            <w:tcW w:w="2245"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medical devices</w:t>
            </w:r>
          </w:p>
        </w:tc>
        <w:tc>
          <w:tcPr>
            <w:tcW w:w="32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no microdata</w:t>
            </w:r>
          </w:p>
        </w:tc>
        <w:tc>
          <w:tcPr>
            <w:tcW w:w="21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none</w:t>
            </w:r>
          </w:p>
        </w:tc>
        <w:tc>
          <w:tcPr>
            <w:tcW w:w="243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proportional to outpatient physicians</w:t>
            </w:r>
          </w:p>
        </w:tc>
      </w:tr>
      <w:tr w:rsidR="00B414A5" w:rsidRPr="00990318" w:rsidTr="00100340">
        <w:trPr>
          <w:trHeight w:val="20"/>
        </w:trPr>
        <w:tc>
          <w:tcPr>
            <w:tcW w:w="2245"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clinical laboratory</w:t>
            </w:r>
          </w:p>
        </w:tc>
        <w:tc>
          <w:tcPr>
            <w:tcW w:w="32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NewIndex (physicians’ billing database)</w:t>
            </w:r>
          </w:p>
        </w:tc>
        <w:tc>
          <w:tcPr>
            <w:tcW w:w="21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T-Code</w:t>
            </w:r>
          </w:p>
        </w:tc>
        <w:tc>
          <w:tcPr>
            <w:tcW w:w="243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simple attribution</w:t>
            </w:r>
          </w:p>
        </w:tc>
      </w:tr>
      <w:tr w:rsidR="00B414A5" w:rsidRPr="00990318" w:rsidTr="00100340">
        <w:trPr>
          <w:trHeight w:val="20"/>
        </w:trPr>
        <w:tc>
          <w:tcPr>
            <w:tcW w:w="2245"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radiology</w:t>
            </w:r>
          </w:p>
        </w:tc>
        <w:tc>
          <w:tcPr>
            <w:tcW w:w="32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no microdata</w:t>
            </w:r>
          </w:p>
        </w:tc>
        <w:tc>
          <w:tcPr>
            <w:tcW w:w="21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none</w:t>
            </w:r>
          </w:p>
        </w:tc>
        <w:tc>
          <w:tcPr>
            <w:tcW w:w="243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proportional to outpatient physicians</w:t>
            </w:r>
          </w:p>
        </w:tc>
      </w:tr>
      <w:tr w:rsidR="00B414A5" w:rsidRPr="00990318" w:rsidTr="00100340">
        <w:trPr>
          <w:trHeight w:val="20"/>
        </w:trPr>
        <w:tc>
          <w:tcPr>
            <w:tcW w:w="2245"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ambulance and rescue</w:t>
            </w:r>
          </w:p>
        </w:tc>
        <w:tc>
          <w:tcPr>
            <w:tcW w:w="32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Medical Statistic of Hospitals</w:t>
            </w:r>
          </w:p>
        </w:tc>
        <w:tc>
          <w:tcPr>
            <w:tcW w:w="215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ICD-10-code</w:t>
            </w:r>
          </w:p>
        </w:tc>
        <w:tc>
          <w:tcPr>
            <w:tcW w:w="2430" w:type="dxa"/>
            <w:tcMar>
              <w:top w:w="14" w:type="dxa"/>
              <w:left w:w="29" w:type="dxa"/>
              <w:bottom w:w="14" w:type="dxa"/>
              <w:right w:w="29" w:type="dxa"/>
            </w:tcMar>
            <w:vAlign w:val="center"/>
          </w:tcPr>
          <w:p w:rsidR="00B414A5" w:rsidRPr="00990318" w:rsidRDefault="00B414A5" w:rsidP="00100340">
            <w:pPr>
              <w:pStyle w:val="tabellentext"/>
              <w:keepNext/>
              <w:keepLines/>
              <w:spacing w:before="0" w:after="0"/>
              <w:rPr>
                <w:lang w:val="en-US"/>
              </w:rPr>
            </w:pPr>
            <w:r w:rsidRPr="00990318">
              <w:rPr>
                <w:lang w:val="en-US"/>
              </w:rPr>
              <w:t>simple attribution</w:t>
            </w:r>
          </w:p>
        </w:tc>
      </w:tr>
    </w:tbl>
    <w:p w:rsidR="00B414A5" w:rsidRPr="00990318" w:rsidRDefault="00B414A5" w:rsidP="00B414A5">
      <w:pPr>
        <w:pStyle w:val="Legende"/>
        <w:spacing w:before="0" w:after="0" w:line="264" w:lineRule="auto"/>
        <w:rPr>
          <w:lang w:val="en-US"/>
        </w:rPr>
      </w:pPr>
      <w:r w:rsidRPr="00990318">
        <w:rPr>
          <w:lang w:val="en-US"/>
        </w:rPr>
        <w:t>ATC-Code: Anatomical Therapeutic Chemical / Defined Daily Dose Classification</w:t>
      </w:r>
    </w:p>
    <w:p w:rsidR="00B414A5" w:rsidRPr="00990318" w:rsidRDefault="00B414A5" w:rsidP="00B414A5">
      <w:pPr>
        <w:pStyle w:val="Legende"/>
        <w:spacing w:before="0" w:after="0" w:line="264" w:lineRule="auto"/>
        <w:rPr>
          <w:lang w:val="en-US"/>
        </w:rPr>
      </w:pPr>
      <w:r w:rsidRPr="00990318">
        <w:rPr>
          <w:lang w:val="en-US"/>
        </w:rPr>
        <w:t>MS: Medical Statistics of Hospitals (inpatient care registry)</w:t>
      </w:r>
    </w:p>
    <w:p w:rsidR="00B414A5" w:rsidRPr="00990318" w:rsidRDefault="00B414A5" w:rsidP="00B414A5">
      <w:pPr>
        <w:pStyle w:val="Legende"/>
        <w:spacing w:before="0" w:after="0" w:line="264" w:lineRule="auto"/>
        <w:rPr>
          <w:lang w:val="en-US"/>
        </w:rPr>
      </w:pPr>
      <w:proofErr w:type="spellStart"/>
      <w:r w:rsidRPr="00990318">
        <w:rPr>
          <w:lang w:val="en-US"/>
        </w:rPr>
        <w:t>PCG</w:t>
      </w:r>
      <w:proofErr w:type="spellEnd"/>
      <w:r w:rsidRPr="00990318">
        <w:rPr>
          <w:lang w:val="en-US"/>
        </w:rPr>
        <w:t>: pharmaceutical cost groups</w:t>
      </w:r>
    </w:p>
    <w:p w:rsidR="00B414A5" w:rsidRPr="00990318" w:rsidRDefault="00B414A5" w:rsidP="00B414A5">
      <w:pPr>
        <w:pStyle w:val="Legende"/>
        <w:spacing w:before="0" w:after="0" w:line="264" w:lineRule="auto"/>
        <w:rPr>
          <w:lang w:val="en-US"/>
        </w:rPr>
      </w:pPr>
      <w:r w:rsidRPr="00990318">
        <w:rPr>
          <w:lang w:val="en-US"/>
        </w:rPr>
        <w:t>SHS: Swiss Health Survey 2012</w:t>
      </w:r>
    </w:p>
    <w:p w:rsidR="00B414A5" w:rsidRPr="00990318" w:rsidRDefault="00B414A5" w:rsidP="00B414A5">
      <w:pPr>
        <w:pStyle w:val="Legende"/>
        <w:spacing w:before="0" w:after="0" w:line="264" w:lineRule="auto"/>
        <w:rPr>
          <w:lang w:val="en-US"/>
        </w:rPr>
      </w:pPr>
      <w:r w:rsidRPr="00990318">
        <w:rPr>
          <w:lang w:val="en-US"/>
        </w:rPr>
        <w:t>T-Code (Tessiner-Code): simple diagnostic coding on physicians’ bills</w:t>
      </w:r>
    </w:p>
    <w:p w:rsidR="00B414A5" w:rsidRDefault="00B414A5" w:rsidP="00B414A5">
      <w:pPr>
        <w:pStyle w:val="Legende"/>
        <w:spacing w:before="0" w:after="0" w:line="264" w:lineRule="auto"/>
        <w:rPr>
          <w:color w:val="000000" w:themeColor="text1"/>
          <w:lang w:val="en-US"/>
        </w:rPr>
      </w:pPr>
      <w:r w:rsidRPr="00990318">
        <w:rPr>
          <w:lang w:val="en-US"/>
        </w:rPr>
        <w:t>All data sources except</w:t>
      </w:r>
      <w:r>
        <w:rPr>
          <w:lang w:val="en-US"/>
        </w:rPr>
        <w:t xml:space="preserve"> the SHS refer to the year 2011</w:t>
      </w:r>
      <w:r w:rsidRPr="00D81D87">
        <w:rPr>
          <w:color w:val="000000" w:themeColor="text1"/>
          <w:lang w:val="en-US"/>
        </w:rPr>
        <w:t>.</w:t>
      </w:r>
    </w:p>
    <w:p w:rsidR="00B414A5" w:rsidRPr="00990318" w:rsidRDefault="00B414A5" w:rsidP="00B414A5">
      <w:pPr>
        <w:pStyle w:val="Heading5"/>
      </w:pPr>
      <w:r w:rsidRPr="00990318">
        <w:lastRenderedPageBreak/>
        <w:t>Attribution based on the Swiss Health Survey</w:t>
      </w:r>
    </w:p>
    <w:p w:rsidR="00B414A5" w:rsidRPr="00990318" w:rsidRDefault="00B414A5" w:rsidP="00B414A5">
      <w:r w:rsidRPr="00990318">
        <w:t xml:space="preserve">Consultations with gynecologists and visits for </w:t>
      </w:r>
      <w:r w:rsidRPr="00990318">
        <w:rPr>
          <w:rStyle w:val="st"/>
        </w:rPr>
        <w:t>Papanicolaou tests</w:t>
      </w:r>
      <w:r w:rsidRPr="00990318">
        <w:t xml:space="preserve"> </w:t>
      </w:r>
      <w:proofErr w:type="gramStart"/>
      <w:r w:rsidRPr="00990318">
        <w:t>were directly assigned</w:t>
      </w:r>
      <w:proofErr w:type="gramEnd"/>
      <w:r w:rsidRPr="00990318">
        <w:t xml:space="preserve"> to </w:t>
      </w:r>
      <w:r w:rsidRPr="00990318">
        <w:rPr>
          <w:i/>
        </w:rPr>
        <w:t>maternal and neonatal disorders</w:t>
      </w:r>
      <w:r w:rsidRPr="00990318">
        <w:t xml:space="preserve"> as well as </w:t>
      </w:r>
      <w:r w:rsidRPr="00990318">
        <w:rPr>
          <w:i/>
        </w:rPr>
        <w:t>well care</w:t>
      </w:r>
      <w:r w:rsidRPr="00990318">
        <w:t xml:space="preserve">. We then used a three-step procedure to assign part of the remaining consultations to diseases: </w:t>
      </w:r>
      <w:r>
        <w:t>f</w:t>
      </w:r>
      <w:r w:rsidRPr="00990318">
        <w:t xml:space="preserve">irst, we estimated the </w:t>
      </w:r>
      <w:r w:rsidRPr="00990318">
        <w:rPr>
          <w:i/>
        </w:rPr>
        <w:t>average treatment effect on the treated</w:t>
      </w:r>
      <w:r w:rsidRPr="00990318">
        <w:t xml:space="preserve"> of the selected diseases on the number </w:t>
      </w:r>
      <w:r>
        <w:t xml:space="preserve">of </w:t>
      </w:r>
      <w:r w:rsidRPr="00990318">
        <w:t xml:space="preserve">consultations using an independent regression model for each type of outpatient service. In </w:t>
      </w:r>
      <w:r>
        <w:t>the</w:t>
      </w:r>
      <w:r w:rsidRPr="00990318">
        <w:t xml:space="preserve"> second step, we calculated the annual number of outpatient consultations in the overall population due to a disease as the product of the average treatment effect on the treated and the number of residents affected by the disease. In the third step, we calculated the proportion of all consultations due to a </w:t>
      </w:r>
      <w:r>
        <w:t>disease</w:t>
      </w:r>
      <w:r w:rsidRPr="00990318">
        <w:t xml:space="preserve"> as the ratio of the annual number of consultations due to a cause and the annual number of outpatient consultations in Switzerland (see </w:t>
      </w:r>
      <w:r w:rsidRPr="00AC2328">
        <w:t xml:space="preserve">appendix </w:t>
      </w:r>
      <w:r w:rsidRPr="00990318">
        <w:t>for more details).</w:t>
      </w:r>
    </w:p>
    <w:p w:rsidR="00E6031C" w:rsidRDefault="00E6031C" w:rsidP="00E6031C">
      <w:r>
        <w:t xml:space="preserve">The expenditures assignment for outpatient physician visits, physiotherapy consultations, alternative medicine consultations, and outpatient nursing to different diseases was done using data from the Swiss Health Survey 2012 </w:t>
      </w:r>
      <w:r w:rsidR="008C7B30">
        <w:fldChar w:fldCharType="begin"/>
      </w:r>
      <w:r w:rsidR="00E86C5C">
        <w:instrText xml:space="preserve"> ADDIN EN.CITE &lt;EndNote&gt;&lt;Cite&gt;&lt;Author&gt;Swiss Federal Office of Statistics&lt;/Author&gt;&lt;Year&gt;2012&lt;/Year&gt;&lt;RecNum&gt;197&lt;/RecNum&gt;&lt;DisplayText&gt;[3]&lt;/DisplayText&gt;&lt;record&gt;&lt;rec-number&gt;197&lt;/rec-number&gt;&lt;foreign-keys&gt;&lt;key app="EN" db-id="exwd9s5eg2xtvveaepzvf290etdf2a0aazpa" timestamp="1500696439"&gt;197&lt;/key&gt;&lt;/foreign-keys&gt;&lt;ref-type name="Generic"&gt;13&lt;/ref-type&gt;&lt;contributors&gt;&lt;authors&gt;&lt;author&gt;Swiss Federal Office of Statistics,&lt;/author&gt;&lt;/authors&gt;&lt;/contributors&gt;&lt;titles&gt;&lt;title&gt;Swiss Health Survey&lt;/title&gt;&lt;/titles&gt;&lt;dates&gt;&lt;year&gt;2012&lt;/year&gt;&lt;pub-dates&gt;&lt;date&gt;2012&lt;/date&gt;&lt;/pub-dates&gt;&lt;/dates&gt;&lt;pub-location&gt;Neuchâtel&lt;/pub-location&gt;&lt;publisher&gt;Swiss Federal Office of Statistics&lt;/publisher&gt;&lt;urls&gt;&lt;related-urls&gt;&lt;url&gt;https://www.bfs.admin.ch/bfs/de/home/statistiken/gesundheit/erhebungen/sgb.html&lt;/url&gt;&lt;/related-urls&gt;&lt;/urls&gt;&lt;/record&gt;&lt;/Cite&gt;&lt;/EndNote&gt;</w:instrText>
      </w:r>
      <w:r w:rsidR="008C7B30">
        <w:fldChar w:fldCharType="separate"/>
      </w:r>
      <w:r w:rsidR="00E86C5C">
        <w:rPr>
          <w:noProof/>
        </w:rPr>
        <w:t>[3]</w:t>
      </w:r>
      <w:r w:rsidR="008C7B30">
        <w:fldChar w:fldCharType="end"/>
      </w:r>
      <w:r w:rsidR="008C7B30">
        <w:fldChar w:fldCharType="begin"/>
      </w:r>
      <w:r>
        <w:instrText xml:space="preserve"> ADDIN ZOTERO_ITEM CSL_CITATION {"citationID":"adtpbn3i8p","properties":{"formattedCitation":"[2]","plainCitation":"[2]"},"citationItems":[{"id":163,"uris":["http://zotero.org/users/local/vyg712RH/items/P9HZGJCW"],"uri":["http://zotero.org/users/local/vyg712RH/items/P9HZGJCW"],"itemData":{"id":163,"type":"article","title":"Swiss Health Survey","publisher":"Neuchâtel","URL":"https://www.bfs.admin.ch/bfs/de/home/statistiken/gesundheit/erhebungen/sgb.html","author":[{"family":"Swiss Federal Office of Public Health","given":""}],"issued":{"date-parts":[["2012"]]}}}],"schema":"https://github.com/citation-style-language/schema/raw/master/csl-citation.json"} </w:instrText>
      </w:r>
      <w:r w:rsidR="008C7B30">
        <w:fldChar w:fldCharType="end"/>
      </w:r>
      <w:r>
        <w:t xml:space="preserve">. The Swiss health survey is a representative survey of the Swiss population aged 15 years and older living in private households. The service utilization of respondents </w:t>
      </w:r>
      <w:proofErr w:type="gramStart"/>
      <w:r>
        <w:t>was measured</w:t>
      </w:r>
      <w:proofErr w:type="gramEnd"/>
      <w:r>
        <w:t xml:space="preserve"> using questions about the number of outpatient physician visits, home visits by outpatient nurses, physiotherapy sessions and alternative medicine consultations in the previous 12 months. Visits to gynecologists and visits for the purpose of </w:t>
      </w:r>
      <w:r>
        <w:rPr>
          <w:rStyle w:val="st"/>
        </w:rPr>
        <w:t>Papanicolaou tests</w:t>
      </w:r>
      <w:r>
        <w:t xml:space="preserve"> </w:t>
      </w:r>
      <w:proofErr w:type="gramStart"/>
      <w:r>
        <w:t>were excluded</w:t>
      </w:r>
      <w:proofErr w:type="gramEnd"/>
      <w:r>
        <w:t xml:space="preserve"> from the number of outpatient physician visits because these visits were assigned directly to the categories of </w:t>
      </w:r>
      <w:r w:rsidRPr="004F0D29">
        <w:rPr>
          <w:i/>
        </w:rPr>
        <w:t>maternal and neonatal disorders</w:t>
      </w:r>
      <w:r>
        <w:t xml:space="preserve"> and </w:t>
      </w:r>
      <w:r w:rsidRPr="004F0D29">
        <w:rPr>
          <w:i/>
        </w:rPr>
        <w:t>well care</w:t>
      </w:r>
      <w:r>
        <w:t xml:space="preserve">. The different diseases </w:t>
      </w:r>
      <w:proofErr w:type="gramStart"/>
      <w:r>
        <w:t>were identified</w:t>
      </w:r>
      <w:proofErr w:type="gramEnd"/>
      <w:r>
        <w:t xml:space="preserve"> using questions about the presence of selected diseases and health events that could be classified into the categories </w:t>
      </w:r>
      <w:r w:rsidRPr="004F0D29">
        <w:rPr>
          <w:i/>
        </w:rPr>
        <w:t>cardiovascular diseases</w:t>
      </w:r>
      <w:r>
        <w:t xml:space="preserve">, </w:t>
      </w:r>
      <w:r w:rsidRPr="004F0D29">
        <w:rPr>
          <w:i/>
        </w:rPr>
        <w:t>mental and substance use disorders</w:t>
      </w:r>
      <w:r>
        <w:t xml:space="preserve">, </w:t>
      </w:r>
      <w:r w:rsidRPr="004F0D29">
        <w:rPr>
          <w:i/>
        </w:rPr>
        <w:t>chronic respiratory diseases</w:t>
      </w:r>
      <w:r>
        <w:t xml:space="preserve">, </w:t>
      </w:r>
      <w:r w:rsidRPr="004F0D29">
        <w:rPr>
          <w:i/>
        </w:rPr>
        <w:t>diabetes</w:t>
      </w:r>
      <w:r>
        <w:t xml:space="preserve">, </w:t>
      </w:r>
      <w:r w:rsidRPr="004F0D29">
        <w:rPr>
          <w:i/>
        </w:rPr>
        <w:t>musculoskeletal diseases</w:t>
      </w:r>
      <w:r>
        <w:t xml:space="preserve">, </w:t>
      </w:r>
      <w:r w:rsidRPr="004F0D29">
        <w:rPr>
          <w:i/>
        </w:rPr>
        <w:t>urogenital, blood and endocrine diseases</w:t>
      </w:r>
      <w:r>
        <w:t xml:space="preserve">, </w:t>
      </w:r>
      <w:r w:rsidRPr="004F0D29">
        <w:rPr>
          <w:i/>
        </w:rPr>
        <w:t>digestive diseases</w:t>
      </w:r>
      <w:r>
        <w:t xml:space="preserve">, </w:t>
      </w:r>
      <w:r w:rsidRPr="004F0D29">
        <w:rPr>
          <w:i/>
        </w:rPr>
        <w:t>neoplasms</w:t>
      </w:r>
      <w:r>
        <w:t xml:space="preserve">, and </w:t>
      </w:r>
      <w:r w:rsidRPr="004F0D29">
        <w:rPr>
          <w:i/>
        </w:rPr>
        <w:t>injuries</w:t>
      </w:r>
      <w:r>
        <w:t>.</w:t>
      </w:r>
    </w:p>
    <w:p w:rsidR="00E6031C" w:rsidRDefault="00E6031C" w:rsidP="00E6031C">
      <w:r>
        <w:t xml:space="preserve">The estimation of the proportion of outpatient consultations that </w:t>
      </w:r>
      <w:proofErr w:type="gramStart"/>
      <w:r>
        <w:t>could be assigned</w:t>
      </w:r>
      <w:proofErr w:type="gramEnd"/>
      <w:r>
        <w:t xml:space="preserve"> to different diseases was done in three steps. In the first step, we estimated the average treatment effect on the treated (</w:t>
      </w:r>
      <w:proofErr w:type="spellStart"/>
      <w:r>
        <w:t>ATET</w:t>
      </w:r>
      <w:proofErr w:type="spellEnd"/>
      <w:r>
        <w:t xml:space="preserve">) of the considered diseases </w:t>
      </w:r>
      <w:r>
        <w:rPr>
          <w:rFonts w:eastAsiaTheme="minorEastAsia"/>
        </w:rPr>
        <w:t xml:space="preserve">on the number consultations </w:t>
      </w:r>
      <w:r>
        <w:t>using an independent regression model for each type of outpatient service use. The average treatment effect on the treated is the incremental effect of the diseases on the number of consultations among the individuals affected by the disease.</w:t>
      </w:r>
    </w:p>
    <w:p w:rsidR="00E6031C" w:rsidRDefault="00E6031C" w:rsidP="00E6031C">
      <w:r>
        <w:t xml:space="preserve">The dependent variables of the regression models were 5 </w:t>
      </w:r>
      <w:r>
        <w:rPr>
          <w:rFonts w:eastAsiaTheme="minorEastAsia"/>
        </w:rPr>
        <w:t xml:space="preserve">variables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k</m:t>
            </m:r>
          </m:sub>
        </m:sSub>
      </m:oMath>
      <w:r>
        <w:t xml:space="preserve"> indicating the annual number of consultations of </w:t>
      </w:r>
      <w:proofErr w:type="gramStart"/>
      <w:r>
        <w:t xml:space="preserve">type </w:t>
      </w:r>
      <m:oMath>
        <w:proofErr w:type="gramEnd"/>
        <m:r>
          <w:rPr>
            <w:rFonts w:ascii="Cambria Math" w:eastAsiaTheme="minorEastAsia" w:hAnsi="Cambria Math"/>
          </w:rPr>
          <m:t>k</m:t>
        </m:r>
      </m:oMath>
      <w:r>
        <w:rPr>
          <w:rFonts w:eastAsiaTheme="minorEastAsia"/>
        </w:rPr>
        <w:t xml:space="preserve">. For convenience, we drop the index </w:t>
      </w:r>
      <m:oMath>
        <m:r>
          <w:rPr>
            <w:rFonts w:ascii="Cambria Math" w:eastAsiaTheme="minorEastAsia" w:hAnsi="Cambria Math"/>
          </w:rPr>
          <m:t>k</m:t>
        </m:r>
      </m:oMath>
      <w:r>
        <w:rPr>
          <w:rFonts w:eastAsiaTheme="minorEastAsia"/>
        </w:rPr>
        <w:t xml:space="preserve"> in the remainder of this appendix. </w:t>
      </w:r>
      <w:r>
        <w:t xml:space="preserve">Independent variables included </w:t>
      </w:r>
      <w:proofErr w:type="gramStart"/>
      <w:r>
        <w:t>9</w:t>
      </w:r>
      <w:proofErr w:type="gramEnd"/>
      <w:r>
        <w:t xml:space="preserve"> binary variables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j</m:t>
            </m:r>
          </m:sub>
        </m:sSub>
      </m:oMath>
      <w:r>
        <w:t xml:space="preserve"> indicating the presence of a health event in one of the diseases considered. The sample weights were included in the SHS data </w:t>
      </w:r>
      <w:proofErr w:type="gramStart"/>
      <w:r>
        <w:t>were used</w:t>
      </w:r>
      <w:proofErr w:type="gramEnd"/>
      <w:r>
        <w:t xml:space="preserve"> in all regressions. Because the weighted sample </w:t>
      </w:r>
      <w:proofErr w:type="gramStart"/>
      <w:r>
        <w:t>can be considered</w:t>
      </w:r>
      <w:proofErr w:type="gramEnd"/>
      <w:r>
        <w:t xml:space="preserve"> representative of the Swiss resident population, and the model was used as a descriptive rather than an inferential tool we did not include any covariates or interaction terms. </w:t>
      </w:r>
    </w:p>
    <w:p w:rsidR="00E6031C" w:rsidRDefault="008C7B30" w:rsidP="00E6031C">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=g</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j=1</m:t>
                  </m:r>
                </m:sub>
                <m:sup>
                  <m:r>
                    <w:rPr>
                      <w:rFonts w:ascii="Cambria Math" w:hAnsi="Cambria Math"/>
                    </w:rPr>
                    <m:t>J</m:t>
                  </m:r>
                </m:sup>
                <m:e>
                  <m:sSub>
                    <m:sSubPr>
                      <m:ctrlPr>
                        <w:rPr>
                          <w:rFonts w:ascii="Cambria Math" w:hAnsi="Cambria Math"/>
                          <w:i/>
                        </w:rPr>
                      </m:ctrlPr>
                    </m:sSubPr>
                    <m:e>
                      <m:r>
                        <w:rPr>
                          <w:rFonts w:ascii="Cambria Math" w:hAnsi="Cambria Math"/>
                        </w:rPr>
                        <m:t>x</m:t>
                      </m:r>
                    </m:e>
                    <m:sub>
                      <m:r>
                        <w:rPr>
                          <w:rFonts w:ascii="Cambria Math" w:hAnsi="Cambria Math"/>
                        </w:rPr>
                        <m:t>ij</m:t>
                      </m:r>
                    </m:sub>
                  </m:sSub>
                  <m:sSub>
                    <m:sSubPr>
                      <m:ctrlPr>
                        <w:rPr>
                          <w:rFonts w:ascii="Cambria Math" w:hAnsi="Cambria Math"/>
                          <w:i/>
                        </w:rPr>
                      </m:ctrlPr>
                    </m:sSubPr>
                    <m:e>
                      <m:r>
                        <w:rPr>
                          <w:rFonts w:ascii="Cambria Math" w:hAnsi="Cambria Math"/>
                        </w:rPr>
                        <m:t>β</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e>
          </m:d>
        </m:oMath>
      </m:oMathPara>
    </w:p>
    <w:p w:rsidR="00E6031C" w:rsidRDefault="00E6031C" w:rsidP="00E6031C">
      <w:r>
        <w:t xml:space="preserve">Because the data included a considerable number of respondents, who did not use a certain type of service during the previous 12 months, and the variance of the number of visits was much larger than </w:t>
      </w:r>
      <w:r>
        <w:lastRenderedPageBreak/>
        <w:t xml:space="preserve">the mean (over-dispersion) we estimated a logit – zero truncated negative binomial two-part count data model. </w:t>
      </w:r>
    </w:p>
    <w:p w:rsidR="00E6031C" w:rsidRDefault="00E6031C" w:rsidP="00E6031C">
      <w:pPr>
        <w:keepNext/>
        <w:keepLines/>
        <w:widowControl w:val="0"/>
        <w:rPr>
          <w:rFonts w:eastAsiaTheme="minorEastAsia"/>
          <w:i/>
        </w:rPr>
      </w:pPr>
      <w:r>
        <w:rPr>
          <w:rFonts w:eastAsiaTheme="minorEastAsia"/>
          <w:i/>
        </w:rPr>
        <w:t>Hurdle part: Logit model</w:t>
      </w:r>
    </w:p>
    <w:p w:rsidR="00E6031C" w:rsidRPr="00472935" w:rsidRDefault="008C7B30" w:rsidP="00E6031C">
      <w:pPr>
        <w:keepNext/>
        <w:keepLines/>
        <w:widowControl w:val="0"/>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m:t>
              </m:r>
            </m:sub>
          </m:sSub>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 xml:space="preserve">1 </m:t>
                  </m:r>
                  <m:r>
                    <m:rPr>
                      <m:nor/>
                    </m:rPr>
                    <w:rPr>
                      <w:rFonts w:ascii="Cambria Math" w:eastAsiaTheme="minorEastAsia" w:hAnsi="Cambria Math"/>
                    </w:rPr>
                    <m:t>if</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&gt;0</m:t>
                  </m:r>
                </m:e>
                <m:e>
                  <m:r>
                    <w:rPr>
                      <w:rFonts w:ascii="Cambria Math" w:eastAsiaTheme="minorEastAsia" w:hAnsi="Cambria Math"/>
                    </w:rPr>
                    <m:t xml:space="preserve">0 </m:t>
                  </m:r>
                  <m:r>
                    <m:rPr>
                      <m:nor/>
                    </m:rPr>
                    <w:rPr>
                      <w:rFonts w:ascii="Cambria Math" w:eastAsiaTheme="minorEastAsia" w:hAnsi="Cambria Math"/>
                    </w:rPr>
                    <m:t>if</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≤0</m:t>
                  </m:r>
                </m:e>
              </m:eqArr>
            </m:e>
          </m:d>
          <m:r>
            <m:rPr>
              <m:lit/>
            </m:rPr>
            <w:rPr>
              <w:rFonts w:ascii="Cambria Math" w:eastAsiaTheme="minorEastAsia" w:hAnsi="Cambria Math"/>
            </w:rPr>
            <m:t xml:space="preserve"> </m:t>
          </m:r>
        </m:oMath>
      </m:oMathPara>
    </w:p>
    <w:p w:rsidR="00E6031C" w:rsidRPr="00472935" w:rsidRDefault="008C7B30" w:rsidP="00E6031C">
      <w:pPr>
        <w:keepNext/>
        <w:keepLines/>
        <w:widowControl w:val="0"/>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i</m:t>
              </m:r>
            </m:sub>
          </m:sSub>
          <m:r>
            <w:rPr>
              <w:rFonts w:ascii="Cambria Math" w:eastAsiaTheme="minorEastAsia" w:hAnsi="Cambria Math"/>
            </w:rPr>
            <m:t>=P</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m:t>
                  </m:r>
                </m:sub>
              </m:sSub>
              <m:r>
                <w:rPr>
                  <w:rFonts w:ascii="Cambria Math" w:eastAsiaTheme="minorEastAsia" w:hAnsi="Cambria Math"/>
                </w:rPr>
                <m:t>=1</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m:rPr>
                      <m:sty m:val="p"/>
                    </m:rPr>
                    <w:rPr>
                      <w:rFonts w:ascii="Cambria Math" w:eastAsiaTheme="minorEastAsia" w:hAnsi="Cambria Math"/>
                    </w:rPr>
                    <m:t>Β</m:t>
                  </m:r>
                </m:sup>
              </m:sSup>
            </m:num>
            <m:den>
              <m:sSup>
                <m:sSupPr>
                  <m:ctrlPr>
                    <w:rPr>
                      <w:rFonts w:ascii="Cambria Math" w:eastAsiaTheme="minorEastAsia" w:hAnsi="Cambria Math"/>
                      <w:i/>
                    </w:rPr>
                  </m:ctrlPr>
                </m:sSupPr>
                <m:e>
                  <m:r>
                    <w:rPr>
                      <w:rFonts w:ascii="Cambria Math" w:eastAsiaTheme="minorEastAsia" w:hAnsi="Cambria Math"/>
                    </w:rPr>
                    <m:t>1+e</m:t>
                  </m:r>
                </m:e>
                <m: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m:rPr>
                      <m:sty m:val="p"/>
                    </m:rPr>
                    <w:rPr>
                      <w:rFonts w:ascii="Cambria Math" w:eastAsiaTheme="minorEastAsia" w:hAnsi="Cambria Math"/>
                    </w:rPr>
                    <m:t>Β</m:t>
                  </m:r>
                </m:sup>
              </m:sSup>
            </m:den>
          </m:f>
        </m:oMath>
      </m:oMathPara>
    </w:p>
    <w:p w:rsidR="00E6031C" w:rsidRPr="00472935" w:rsidRDefault="00E6031C" w:rsidP="00E6031C">
      <w:pPr>
        <w:keepNext/>
        <w:keepLines/>
        <w:widowControl w:val="0"/>
        <w:rPr>
          <w:rFonts w:eastAsiaTheme="minorEastAsia"/>
          <w:i/>
        </w:rPr>
      </w:pPr>
      <m:oMathPara>
        <m:oMath>
          <m:r>
            <w:rPr>
              <w:rFonts w:ascii="Cambria Math" w:eastAsiaTheme="minorEastAsia" w:hAnsi="Cambria Math"/>
            </w:rPr>
            <m:t>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i</m:t>
                  </m:r>
                </m:sub>
              </m:sSub>
            </m:e>
          </m:d>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i</m:t>
                  </m:r>
                </m:sub>
              </m:sSub>
            </m:e>
            <m:sup>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m:t>
                  </m:r>
                </m:sub>
              </m:sSub>
            </m:sup>
          </m:sSup>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i</m:t>
                      </m:r>
                    </m:sub>
                  </m:sSub>
                </m:e>
              </m:d>
            </m:e>
            <m:sup>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m:t>
                  </m:r>
                </m:sub>
              </m:sSub>
            </m:sup>
          </m:sSup>
        </m:oMath>
      </m:oMathPara>
    </w:p>
    <w:p w:rsidR="00E6031C" w:rsidRPr="00472935" w:rsidRDefault="00E6031C" w:rsidP="00E6031C">
      <w:pPr>
        <w:rPr>
          <w:rFonts w:eastAsiaTheme="minorEastAsia"/>
          <w:i/>
        </w:rPr>
      </w:pPr>
      <m:oMathPara>
        <m:oMath>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i</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i</m:t>
              </m:r>
            </m:sub>
          </m:sSub>
        </m:oMath>
      </m:oMathPara>
    </w:p>
    <w:p w:rsidR="00E6031C" w:rsidRDefault="00E6031C" w:rsidP="00E6031C">
      <w:pPr>
        <w:keepNext/>
        <w:keepLines/>
        <w:widowControl w:val="0"/>
        <w:rPr>
          <w:rFonts w:eastAsiaTheme="minorEastAsia"/>
          <w:i/>
        </w:rPr>
      </w:pPr>
      <w:r>
        <w:rPr>
          <w:rFonts w:eastAsiaTheme="minorEastAsia"/>
          <w:i/>
        </w:rPr>
        <w:t>Positive part: Zero-truncated negative binomial model</w:t>
      </w:r>
    </w:p>
    <w:p w:rsidR="00E6031C" w:rsidRDefault="008C7B30" w:rsidP="00E6031C">
      <w:pPr>
        <w:keepNext/>
        <w:keepLines/>
        <w:widowControl w:val="0"/>
        <w:rPr>
          <w:rFonts w:eastAsiaTheme="minorEastAsia"/>
          <w:i/>
        </w:rPr>
      </w:pPr>
      <m:oMathPara>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i</m:t>
              </m:r>
            </m:sub>
          </m:sSub>
          <m:r>
            <w:rPr>
              <w:rFonts w:ascii="Cambria Math" w:eastAsiaTheme="minorEastAsia" w:hAnsi="Cambria Math"/>
            </w:rPr>
            <m:t>=E</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&gt;0</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m:rPr>
                  <m:sty m:val="p"/>
                </m:rPr>
                <w:rPr>
                  <w:rFonts w:ascii="Cambria Math" w:eastAsiaTheme="minorEastAsia" w:hAnsi="Cambria Math"/>
                </w:rPr>
                <m:t>Β</m:t>
              </m:r>
            </m:sup>
          </m:sSup>
        </m:oMath>
      </m:oMathPara>
    </w:p>
    <w:p w:rsidR="00E6031C" w:rsidRPr="00BD6A59" w:rsidRDefault="00E6031C" w:rsidP="00E6031C">
      <w:pPr>
        <w:keepNext/>
        <w:keepLines/>
        <w:widowControl w:val="0"/>
        <w:rPr>
          <w:rFonts w:eastAsiaTheme="minorEastAsia"/>
          <w:i/>
        </w:rPr>
      </w:pPr>
      <m:oMathPara>
        <m:oMath>
          <m:r>
            <w:rPr>
              <w:rFonts w:ascii="Cambria Math" w:eastAsiaTheme="minorEastAsia" w:hAnsi="Cambria Math"/>
            </w:rPr>
            <m:t>f</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i</m:t>
                  </m:r>
                </m:sub>
              </m:sSub>
            </m:e>
          </m:d>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m:rPr>
                      <m:sty m:val="p"/>
                    </m:rPr>
                    <w:rPr>
                      <w:rFonts w:ascii="Cambria Math" w:eastAsiaTheme="minorEastAsia" w:hAnsi="Cambria Math"/>
                    </w:rPr>
                    <m:t>Γ</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-1</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i</m:t>
                      </m:r>
                    </m:sub>
                  </m:sSub>
                  <m:r>
                    <w:rPr>
                      <w:rFonts w:ascii="Cambria Math" w:eastAsiaTheme="minorEastAsia" w:hAnsi="Cambria Math"/>
                    </w:rPr>
                    <m:t>)</m:t>
                  </m:r>
                </m:num>
                <m:den>
                  <m:r>
                    <m:rPr>
                      <m:sty m:val="p"/>
                    </m:rPr>
                    <w:rPr>
                      <w:rFonts w:ascii="Cambria Math" w:eastAsiaTheme="minorEastAsia" w:hAnsi="Cambria Math"/>
                    </w:rPr>
                    <m:t>Γ</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-1</m:t>
                          </m:r>
                        </m:sup>
                      </m:sSup>
                    </m:e>
                  </m:d>
                  <m:r>
                    <m:rPr>
                      <m:sty m:val="p"/>
                    </m:rPr>
                    <w:rPr>
                      <w:rFonts w:ascii="Cambria Math" w:eastAsiaTheme="minorEastAsia" w:hAnsi="Cambria Math"/>
                    </w:rPr>
                    <m:t>Γ</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i</m:t>
                      </m:r>
                    </m:sub>
                  </m:sSub>
                  <m:r>
                    <w:rPr>
                      <w:rFonts w:ascii="Cambria Math" w:eastAsiaTheme="minorEastAsia" w:hAnsi="Cambria Math"/>
                    </w:rPr>
                    <m:t>+1)</m:t>
                  </m:r>
                </m:den>
              </m:f>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-1</m:t>
                              </m:r>
                            </m:sup>
                          </m:sSup>
                        </m:num>
                        <m:den>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-1</m:t>
                              </m:r>
                            </m:sup>
                          </m:sSup>
                          <m:r>
                            <w:rPr>
                              <w:rFonts w:ascii="Cambria Math" w:eastAsiaTheme="minorEastAsia" w:hAnsi="Cambria Math"/>
                            </w:rPr>
                            <m:t>+1</m:t>
                          </m:r>
                        </m:den>
                      </m:f>
                    </m:e>
                  </m:d>
                </m:e>
                <m:sup>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-1</m:t>
                      </m:r>
                    </m:sup>
                  </m:sSup>
                </m:sup>
              </m:sSup>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num>
                        <m:den>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-1</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den>
                      </m:f>
                    </m:e>
                  </m:d>
                </m:e>
                <m:sup>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sup>
              </m:sSup>
              <m:r>
                <w:rPr>
                  <w:rFonts w:ascii="Cambria Math" w:eastAsiaTheme="minorEastAsia" w:hAnsi="Cambria Math"/>
                </w:rPr>
                <m:t xml:space="preserve"> </m:t>
              </m:r>
            </m:num>
            <m:den>
              <m:r>
                <w:rPr>
                  <w:rFonts w:ascii="Cambria Math" w:eastAsiaTheme="minorEastAsia" w:hAnsi="Cambria Math"/>
                </w:rPr>
                <m:t>1-</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1+α</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e>
                  </m:d>
                </m:e>
                <m: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-1</m:t>
                      </m:r>
                    </m:sup>
                  </m:sSup>
                </m:sup>
              </m:sSup>
            </m:den>
          </m:f>
        </m:oMath>
      </m:oMathPara>
    </w:p>
    <w:p w:rsidR="00E6031C" w:rsidRPr="00E413AB" w:rsidRDefault="00E6031C" w:rsidP="00E6031C">
      <w:pPr>
        <w:spacing w:line="480" w:lineRule="auto"/>
        <w:rPr>
          <w:rFonts w:eastAsiaTheme="minorEastAsia"/>
          <w:i/>
        </w:rPr>
      </w:pPr>
      <m:oMathPara>
        <m:oMath>
          <m:r>
            <w:rPr>
              <w:rFonts w:ascii="Cambria Math" w:eastAsiaTheme="minorEastAsia" w:hAnsi="Cambria Math"/>
            </w:rPr>
            <m:t>E</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&gt;0</m:t>
              </m:r>
            </m:e>
          </m:d>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num>
            <m:den>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&gt;0]</m:t>
              </m:r>
            </m:den>
          </m:f>
        </m:oMath>
      </m:oMathPara>
    </w:p>
    <w:p w:rsidR="00E6031C" w:rsidRPr="00472935" w:rsidRDefault="00E6031C" w:rsidP="00E6031C">
      <w:r>
        <w:t>In a two-part model, the average treatment effect on the treated can be calculated as the predicted number of consultations among those who were affected by a disease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ij</m:t>
            </m:r>
          </m:sub>
        </m:sSub>
        <m:r>
          <w:rPr>
            <w:rFonts w:ascii="Cambria Math" w:eastAsiaTheme="minorEastAsia" w:hAnsi="Cambria Math"/>
          </w:rPr>
          <m:t>=1</m:t>
        </m:r>
      </m:oMath>
      <w:r>
        <w:t>) minus the predicted number of consultations of these individuals in a counterfactual situation without the exposure to the disease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ij</m:t>
            </m:r>
          </m:sub>
        </m:sSub>
        <m:box>
          <m:boxPr>
            <m:opEmu m:val="on"/>
            <m:ctrlPr>
              <w:rPr>
                <w:rFonts w:ascii="Cambria Math" w:eastAsiaTheme="minorEastAsia" w:hAnsi="Cambria Math"/>
                <w:i/>
              </w:rPr>
            </m:ctrlPr>
          </m:boxPr>
          <m:e>
            <m:r>
              <w:rPr>
                <w:rFonts w:ascii="Cambria Math" w:hAnsi="Cambria Math"/>
              </w:rPr>
              <m:t>∶=</m:t>
            </m:r>
          </m:e>
        </m:box>
        <m:r>
          <w:rPr>
            <w:rFonts w:ascii="Cambria Math" w:eastAsiaTheme="minorEastAsia" w:hAnsi="Cambria Math"/>
          </w:rPr>
          <m:t>0</m:t>
        </m:r>
      </m:oMath>
      <w:r>
        <w:t>).</w:t>
      </w:r>
    </w:p>
    <w:p w:rsidR="00E6031C" w:rsidRDefault="00E6031C" w:rsidP="00E6031C">
      <m:oMathPara>
        <m:oMath>
          <m:r>
            <w:rPr>
              <w:rFonts w:ascii="Cambria Math" w:hAnsi="Cambria Math"/>
            </w:rPr>
            <m:t>ATE</m:t>
          </m:r>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m:t>
          </m:r>
          <m:acc>
            <m:accPr>
              <m:ctrlPr>
                <w:rPr>
                  <w:rFonts w:ascii="Cambria Math" w:eastAsiaTheme="minorEastAsia" w:hAnsi="Cambria Math"/>
                  <w:i/>
                </w:rPr>
              </m:ctrlPr>
            </m:accPr>
            <m:e>
              <m:r>
                <w:rPr>
                  <w:rFonts w:ascii="Cambria Math" w:eastAsiaTheme="minorEastAsia" w:hAnsi="Cambria Math"/>
                </w:rPr>
                <m:t>P</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&gt;0</m:t>
                  </m:r>
                </m:e>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ij</m:t>
                      </m:r>
                    </m:sub>
                  </m:sSub>
                  <m:r>
                    <w:rPr>
                      <w:rFonts w:ascii="Cambria Math" w:eastAsiaTheme="minorEastAsia" w:hAnsi="Cambria Math"/>
                    </w:rPr>
                    <m:t>=1</m:t>
                  </m:r>
                </m:e>
              </m:d>
            </m:e>
          </m:acc>
          <m:acc>
            <m:accPr>
              <m:ctrlPr>
                <w:rPr>
                  <w:rFonts w:ascii="Cambria Math" w:eastAsiaTheme="minorEastAsia" w:hAnsi="Cambria Math"/>
                  <w:i/>
                </w:rPr>
              </m:ctrlPr>
            </m:accPr>
            <m:e>
              <m:r>
                <w:rPr>
                  <w:rFonts w:ascii="Cambria Math" w:eastAsiaTheme="minorEastAsia" w:hAnsi="Cambria Math"/>
                </w:rPr>
                <m:t>E</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 xml:space="preserve">&gt;0,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ij</m:t>
                      </m:r>
                    </m:sub>
                  </m:sSub>
                  <m:r>
                    <w:rPr>
                      <w:rFonts w:ascii="Cambria Math" w:eastAsiaTheme="minorEastAsia" w:hAnsi="Cambria Math"/>
                    </w:rPr>
                    <m:t>=1</m:t>
                  </m:r>
                </m:e>
              </m:d>
            </m:e>
          </m:acc>
          <m:r>
            <w:rPr>
              <w:rFonts w:ascii="Cambria Math" w:eastAsiaTheme="minorEastAsia" w:hAnsi="Cambria Math"/>
            </w:rPr>
            <m:t>-</m:t>
          </m:r>
          <m:acc>
            <m:accPr>
              <m:ctrlPr>
                <w:rPr>
                  <w:rFonts w:ascii="Cambria Math" w:eastAsiaTheme="minorEastAsia" w:hAnsi="Cambria Math"/>
                  <w:i/>
                </w:rPr>
              </m:ctrlPr>
            </m:accPr>
            <m:e>
              <m:r>
                <w:rPr>
                  <w:rFonts w:ascii="Cambria Math" w:eastAsiaTheme="minorEastAsia" w:hAnsi="Cambria Math"/>
                </w:rPr>
                <m:t>P</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&gt;0</m:t>
                  </m:r>
                </m:e>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ij</m:t>
                      </m:r>
                    </m:sub>
                  </m:sSub>
                  <m:box>
                    <m:boxPr>
                      <m:opEmu m:val="on"/>
                      <m:ctrlPr>
                        <w:rPr>
                          <w:rFonts w:ascii="Cambria Math" w:eastAsiaTheme="minorEastAsia" w:hAnsi="Cambria Math"/>
                          <w:i/>
                        </w:rPr>
                      </m:ctrlPr>
                    </m:boxPr>
                    <m:e>
                      <m:r>
                        <w:rPr>
                          <w:rFonts w:ascii="Cambria Math" w:hAnsi="Cambria Math"/>
                        </w:rPr>
                        <m:t>∶=</m:t>
                      </m:r>
                    </m:e>
                  </m:box>
                  <m:r>
                    <w:rPr>
                      <w:rFonts w:ascii="Cambria Math" w:eastAsiaTheme="minorEastAsia" w:hAnsi="Cambria Math"/>
                    </w:rPr>
                    <m:t>0</m:t>
                  </m:r>
                </m:e>
              </m:d>
            </m:e>
          </m:acc>
          <m:acc>
            <m:accPr>
              <m:ctrlPr>
                <w:rPr>
                  <w:rFonts w:ascii="Cambria Math" w:eastAsiaTheme="minorEastAsia" w:hAnsi="Cambria Math"/>
                  <w:i/>
                </w:rPr>
              </m:ctrlPr>
            </m:accPr>
            <m:e>
              <m:r>
                <w:rPr>
                  <w:rFonts w:ascii="Cambria Math" w:eastAsiaTheme="minorEastAsia" w:hAnsi="Cambria Math"/>
                </w:rPr>
                <m:t>E</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 xml:space="preserve">&gt;0,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ij</m:t>
                      </m:r>
                    </m:sub>
                  </m:sSub>
                  <m:box>
                    <m:boxPr>
                      <m:opEmu m:val="on"/>
                      <m:ctrlPr>
                        <w:rPr>
                          <w:rFonts w:ascii="Cambria Math" w:eastAsiaTheme="minorEastAsia" w:hAnsi="Cambria Math"/>
                          <w:i/>
                        </w:rPr>
                      </m:ctrlPr>
                    </m:boxPr>
                    <m:e>
                      <m:r>
                        <w:rPr>
                          <w:rFonts w:ascii="Cambria Math" w:hAnsi="Cambria Math"/>
                        </w:rPr>
                        <m:t>∶=</m:t>
                      </m:r>
                    </m:e>
                  </m:box>
                  <m:r>
                    <w:rPr>
                      <w:rFonts w:ascii="Cambria Math" w:eastAsiaTheme="minorEastAsia" w:hAnsi="Cambria Math"/>
                    </w:rPr>
                    <m:t>0</m:t>
                  </m:r>
                </m:e>
              </m:d>
            </m:e>
          </m:acc>
        </m:oMath>
      </m:oMathPara>
    </w:p>
    <w:p w:rsidR="00E6031C" w:rsidRDefault="00E6031C" w:rsidP="00E6031C">
      <w:r>
        <w:t xml:space="preserve">In the second step, we calculated the annual number of outpatient consultations in the Swiss population due to a disease as the product of the average treatment effect on the treated of the included diseases and the number of Swiss residents who </w:t>
      </w:r>
      <w:proofErr w:type="gramStart"/>
      <w:r>
        <w:t>were affected</w:t>
      </w:r>
      <w:proofErr w:type="gramEnd"/>
      <w:r>
        <w:t xml:space="preserve"> by these diseases. The number of Swiss residents who </w:t>
      </w:r>
      <w:proofErr w:type="gramStart"/>
      <w:r>
        <w:t>were affected</w:t>
      </w:r>
      <w:proofErr w:type="gramEnd"/>
      <w:r>
        <w:t xml:space="preserve"> by a disease was estimated using the reported prevalence in the Swiss health survey and the included sample weights. </w:t>
      </w:r>
    </w:p>
    <w:p w:rsidR="00E6031C" w:rsidRDefault="00E6031C" w:rsidP="00E6031C">
      <w:r>
        <w:t xml:space="preserve">In the third step, we calculated the proportion of all consultations due to a disease as the ratio of the annual number of consultations due to a disease and the annual number of outpatient consultations in Switzerland. The total number of outpatient consultations for the entire country </w:t>
      </w:r>
      <w:proofErr w:type="gramStart"/>
      <w:r>
        <w:t>was estimated</w:t>
      </w:r>
      <w:proofErr w:type="gramEnd"/>
      <w:r>
        <w:t xml:space="preserve"> using the number of consultations reported by respondents of the Swiss Health Survey and the included sample weights.</w:t>
      </w:r>
    </w:p>
    <w:p w:rsidR="00E6031C" w:rsidRDefault="00E6031C" w:rsidP="00E6031C">
      <w:r>
        <w:t xml:space="preserve">The use of the Swiss Health Survey for the assignment of outpatient costs to diseases relies on two rather strong assumptions. First, we assumed that the marginal effects of the health events that were recorded in the Swiss Health Survey were representative of the marginal effects of all health events included in a category that were not recorded. Second, we assumed that the health events recorded in the Swiss Health Survey allowed estimating the prevalence of all diseases in a category. This is unlikely to be the case as some residents might suffer from diseases in a category that </w:t>
      </w:r>
      <w:proofErr w:type="gramStart"/>
      <w:r>
        <w:t>were not captured</w:t>
      </w:r>
      <w:proofErr w:type="gramEnd"/>
      <w:r>
        <w:t xml:space="preserve"> by the survey. The consequence of this lack of comprehensiveness was an underestimation of the proportion of </w:t>
      </w:r>
      <w:r>
        <w:lastRenderedPageBreak/>
        <w:t xml:space="preserve">outpatient service use that </w:t>
      </w:r>
      <w:proofErr w:type="gramStart"/>
      <w:r>
        <w:t>could be attributed</w:t>
      </w:r>
      <w:proofErr w:type="gramEnd"/>
      <w:r>
        <w:t xml:space="preserve"> to single diseases and higher uncertainty around the regression parameters.</w:t>
      </w:r>
    </w:p>
    <w:p w:rsidR="00E6031C" w:rsidRPr="00990318" w:rsidRDefault="00E6031C" w:rsidP="00E6031C">
      <w:pPr>
        <w:pStyle w:val="Heading5"/>
      </w:pPr>
      <w:r w:rsidRPr="00990318">
        <w:t>Attribution</w:t>
      </w:r>
      <w:r>
        <w:t>-</w:t>
      </w:r>
      <w:r w:rsidRPr="00990318">
        <w:t>based market research data</w:t>
      </w:r>
    </w:p>
    <w:p w:rsidR="00B414A5" w:rsidRDefault="00E6031C" w:rsidP="005E680C">
      <w:r w:rsidRPr="00990318">
        <w:t xml:space="preserve">Diseases </w:t>
      </w:r>
      <w:proofErr w:type="gramStart"/>
      <w:r w:rsidRPr="00990318">
        <w:t>were classified</w:t>
      </w:r>
      <w:proofErr w:type="gramEnd"/>
      <w:r w:rsidRPr="00990318">
        <w:t xml:space="preserve"> according to Anatomical Therapeutic Chemical Classification (ATC) codes that map drugs to different disease groups (see </w:t>
      </w:r>
      <w:r w:rsidR="008C7B30" w:rsidRPr="00990318">
        <w:fldChar w:fldCharType="begin"/>
      </w:r>
      <w:r w:rsidRPr="00990318">
        <w:instrText xml:space="preserve"> REF _Ref481151677 \h </w:instrText>
      </w:r>
      <w:r w:rsidR="008C7B30" w:rsidRPr="00990318">
        <w:fldChar w:fldCharType="separate"/>
      </w:r>
      <w:r w:rsidR="00EB2D6F" w:rsidRPr="00990318">
        <w:t xml:space="preserve">Table </w:t>
      </w:r>
      <w:r w:rsidR="00EB2D6F">
        <w:rPr>
          <w:noProof/>
        </w:rPr>
        <w:t>2</w:t>
      </w:r>
      <w:r w:rsidR="008C7B30" w:rsidRPr="00990318">
        <w:fldChar w:fldCharType="end"/>
      </w:r>
      <w:r w:rsidRPr="00990318">
        <w:t>)</w:t>
      </w:r>
      <w:r>
        <w:t>.</w:t>
      </w:r>
    </w:p>
    <w:p w:rsidR="00E6031C" w:rsidRPr="00990318" w:rsidRDefault="00E6031C" w:rsidP="00E6031C">
      <w:pPr>
        <w:pStyle w:val="Caption"/>
      </w:pPr>
      <w:bookmarkStart w:id="3" w:name="_Ref481151677"/>
      <w:r w:rsidRPr="00990318">
        <w:t xml:space="preserve">Table </w:t>
      </w:r>
      <w:r w:rsidR="008C7B30">
        <w:fldChar w:fldCharType="begin"/>
      </w:r>
      <w:r w:rsidR="00EB2D6F">
        <w:instrText xml:space="preserve"> SEQ Table \* ARABIC </w:instrText>
      </w:r>
      <w:r w:rsidR="008C7B30">
        <w:fldChar w:fldCharType="separate"/>
      </w:r>
      <w:r w:rsidR="00EB2D6F">
        <w:rPr>
          <w:noProof/>
        </w:rPr>
        <w:t>2</w:t>
      </w:r>
      <w:r w:rsidR="008C7B30">
        <w:rPr>
          <w:noProof/>
        </w:rPr>
        <w:fldChar w:fldCharType="end"/>
      </w:r>
      <w:bookmarkEnd w:id="3"/>
      <w:r w:rsidRPr="00990318">
        <w:t>: Mapping of ATC-code to diseases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3775"/>
      </w:tblGrid>
      <w:tr w:rsidR="00E6031C" w:rsidRPr="00990318" w:rsidTr="00100340">
        <w:tc>
          <w:tcPr>
            <w:tcW w:w="2700" w:type="dxa"/>
          </w:tcPr>
          <w:p w:rsidR="00E6031C" w:rsidRPr="00990318" w:rsidRDefault="00E6031C" w:rsidP="00100340">
            <w:pPr>
              <w:pStyle w:val="tabellentext"/>
              <w:keepNext/>
              <w:keepLines/>
              <w:spacing w:before="0" w:after="0"/>
              <w:rPr>
                <w:b/>
                <w:lang w:val="en-US"/>
              </w:rPr>
            </w:pPr>
            <w:r w:rsidRPr="00990318">
              <w:rPr>
                <w:b/>
                <w:lang w:val="en-US"/>
              </w:rPr>
              <w:t>ATC group</w:t>
            </w:r>
          </w:p>
        </w:tc>
        <w:tc>
          <w:tcPr>
            <w:tcW w:w="3775" w:type="dxa"/>
          </w:tcPr>
          <w:p w:rsidR="00E6031C" w:rsidRPr="00990318" w:rsidRDefault="00E6031C" w:rsidP="00100340">
            <w:pPr>
              <w:pStyle w:val="tabellentext"/>
              <w:keepNext/>
              <w:keepLines/>
              <w:spacing w:before="0" w:after="0"/>
              <w:rPr>
                <w:b/>
                <w:lang w:val="en-US"/>
              </w:rPr>
            </w:pPr>
            <w:r w:rsidRPr="00990318">
              <w:rPr>
                <w:b/>
                <w:lang w:val="en-US"/>
              </w:rPr>
              <w:t>disease group in present study</w:t>
            </w:r>
          </w:p>
        </w:tc>
      </w:tr>
      <w:tr w:rsidR="00E6031C" w:rsidRPr="00990318" w:rsidTr="00100340">
        <w:tc>
          <w:tcPr>
            <w:tcW w:w="2700" w:type="dxa"/>
          </w:tcPr>
          <w:p w:rsidR="00E6031C" w:rsidRPr="00990318" w:rsidRDefault="00E6031C" w:rsidP="00100340">
            <w:pPr>
              <w:pStyle w:val="tabellentext"/>
              <w:keepNext/>
              <w:keepLines/>
              <w:spacing w:before="0" w:after="0"/>
              <w:rPr>
                <w:lang w:val="en-US"/>
              </w:rPr>
            </w:pPr>
            <w:r w:rsidRPr="00990318">
              <w:rPr>
                <w:lang w:val="en-US"/>
              </w:rPr>
              <w:t>A (without A10 - A16)</w:t>
            </w:r>
          </w:p>
        </w:tc>
        <w:tc>
          <w:tcPr>
            <w:tcW w:w="3775" w:type="dxa"/>
          </w:tcPr>
          <w:p w:rsidR="00E6031C" w:rsidRPr="00990318" w:rsidRDefault="00E6031C" w:rsidP="00100340">
            <w:pPr>
              <w:pStyle w:val="tabellentext"/>
              <w:keepNext/>
              <w:keepLines/>
              <w:spacing w:before="0" w:after="0"/>
              <w:rPr>
                <w:lang w:val="en-US"/>
              </w:rPr>
            </w:pPr>
            <w:r w:rsidRPr="00990318">
              <w:rPr>
                <w:lang w:val="en-US"/>
              </w:rPr>
              <w:t>digestive diseases</w:t>
            </w:r>
          </w:p>
        </w:tc>
      </w:tr>
      <w:tr w:rsidR="00E6031C" w:rsidRPr="00990318" w:rsidTr="00100340">
        <w:tc>
          <w:tcPr>
            <w:tcW w:w="2700" w:type="dxa"/>
          </w:tcPr>
          <w:p w:rsidR="00E6031C" w:rsidRPr="00990318" w:rsidRDefault="00E6031C" w:rsidP="00100340">
            <w:pPr>
              <w:pStyle w:val="tabellentext"/>
              <w:keepNext/>
              <w:keepLines/>
              <w:spacing w:before="0" w:after="0"/>
              <w:rPr>
                <w:lang w:val="en-US"/>
              </w:rPr>
            </w:pPr>
            <w:r w:rsidRPr="00990318">
              <w:rPr>
                <w:lang w:val="en-US"/>
              </w:rPr>
              <w:t>A10</w:t>
            </w:r>
          </w:p>
        </w:tc>
        <w:tc>
          <w:tcPr>
            <w:tcW w:w="3775" w:type="dxa"/>
          </w:tcPr>
          <w:p w:rsidR="00E6031C" w:rsidRPr="00990318" w:rsidRDefault="00E6031C" w:rsidP="00100340">
            <w:pPr>
              <w:pStyle w:val="tabellentext"/>
              <w:keepNext/>
              <w:keepLines/>
              <w:spacing w:before="0" w:after="0"/>
              <w:rPr>
                <w:lang w:val="en-US"/>
              </w:rPr>
            </w:pPr>
            <w:r w:rsidRPr="00990318">
              <w:rPr>
                <w:lang w:val="en-US"/>
              </w:rPr>
              <w:t>diabetes</w:t>
            </w:r>
          </w:p>
        </w:tc>
      </w:tr>
      <w:tr w:rsidR="00E6031C" w:rsidRPr="00990318" w:rsidTr="00100340">
        <w:tc>
          <w:tcPr>
            <w:tcW w:w="2700" w:type="dxa"/>
          </w:tcPr>
          <w:p w:rsidR="00E6031C" w:rsidRPr="00990318" w:rsidRDefault="00E6031C" w:rsidP="00100340">
            <w:pPr>
              <w:pStyle w:val="tabellentext"/>
              <w:keepNext/>
              <w:keepLines/>
              <w:spacing w:before="0" w:after="0"/>
              <w:rPr>
                <w:lang w:val="en-US"/>
              </w:rPr>
            </w:pPr>
            <w:r w:rsidRPr="00990318">
              <w:rPr>
                <w:lang w:val="en-US"/>
              </w:rPr>
              <w:t>B</w:t>
            </w:r>
          </w:p>
        </w:tc>
        <w:tc>
          <w:tcPr>
            <w:tcW w:w="3775" w:type="dxa"/>
          </w:tcPr>
          <w:p w:rsidR="00E6031C" w:rsidRPr="00990318" w:rsidRDefault="00E6031C" w:rsidP="00100340">
            <w:pPr>
              <w:pStyle w:val="tabellentext"/>
              <w:keepNext/>
              <w:keepLines/>
              <w:spacing w:before="0" w:after="0"/>
              <w:rPr>
                <w:lang w:val="en-US"/>
              </w:rPr>
            </w:pPr>
            <w:r w:rsidRPr="00990318">
              <w:rPr>
                <w:lang w:val="en-US"/>
              </w:rPr>
              <w:t>urogenital, blood and endocrine diseases</w:t>
            </w:r>
          </w:p>
        </w:tc>
      </w:tr>
      <w:tr w:rsidR="00E6031C" w:rsidRPr="00990318" w:rsidTr="00100340">
        <w:tc>
          <w:tcPr>
            <w:tcW w:w="2700" w:type="dxa"/>
          </w:tcPr>
          <w:p w:rsidR="00E6031C" w:rsidRPr="00990318" w:rsidRDefault="00E6031C" w:rsidP="00100340">
            <w:pPr>
              <w:pStyle w:val="tabellentext"/>
              <w:keepNext/>
              <w:keepLines/>
              <w:spacing w:before="0" w:after="0"/>
              <w:rPr>
                <w:lang w:val="en-US"/>
              </w:rPr>
            </w:pPr>
            <w:r w:rsidRPr="00990318">
              <w:rPr>
                <w:lang w:val="en-US"/>
              </w:rPr>
              <w:t>C</w:t>
            </w:r>
          </w:p>
        </w:tc>
        <w:tc>
          <w:tcPr>
            <w:tcW w:w="3775" w:type="dxa"/>
          </w:tcPr>
          <w:p w:rsidR="00E6031C" w:rsidRPr="00990318" w:rsidRDefault="00E6031C" w:rsidP="00100340">
            <w:pPr>
              <w:pStyle w:val="tabellentext"/>
              <w:keepNext/>
              <w:keepLines/>
              <w:spacing w:before="0" w:after="0"/>
              <w:rPr>
                <w:lang w:val="en-US"/>
              </w:rPr>
            </w:pPr>
            <w:r w:rsidRPr="00990318">
              <w:rPr>
                <w:lang w:val="en-US"/>
              </w:rPr>
              <w:t>cardiovascular diseases</w:t>
            </w:r>
          </w:p>
        </w:tc>
      </w:tr>
      <w:tr w:rsidR="00E6031C" w:rsidRPr="00990318" w:rsidTr="00100340">
        <w:tc>
          <w:tcPr>
            <w:tcW w:w="2700" w:type="dxa"/>
          </w:tcPr>
          <w:p w:rsidR="00E6031C" w:rsidRPr="00990318" w:rsidRDefault="00E6031C" w:rsidP="00100340">
            <w:pPr>
              <w:pStyle w:val="tabellentext"/>
              <w:keepNext/>
              <w:keepLines/>
              <w:spacing w:before="0" w:after="0"/>
              <w:rPr>
                <w:lang w:val="en-US"/>
              </w:rPr>
            </w:pPr>
            <w:r w:rsidRPr="00990318">
              <w:rPr>
                <w:lang w:val="en-US"/>
              </w:rPr>
              <w:t>J</w:t>
            </w:r>
          </w:p>
        </w:tc>
        <w:tc>
          <w:tcPr>
            <w:tcW w:w="3775" w:type="dxa"/>
          </w:tcPr>
          <w:p w:rsidR="00E6031C" w:rsidRPr="00990318" w:rsidRDefault="00E6031C" w:rsidP="00100340">
            <w:pPr>
              <w:pStyle w:val="tabellentext"/>
              <w:keepNext/>
              <w:keepLines/>
              <w:spacing w:before="0" w:after="0"/>
              <w:rPr>
                <w:lang w:val="en-US"/>
              </w:rPr>
            </w:pPr>
            <w:r w:rsidRPr="00990318">
              <w:rPr>
                <w:lang w:val="en-US"/>
              </w:rPr>
              <w:t>communicable diseases</w:t>
            </w:r>
          </w:p>
        </w:tc>
      </w:tr>
      <w:tr w:rsidR="00E6031C" w:rsidRPr="00990318" w:rsidTr="00100340">
        <w:tc>
          <w:tcPr>
            <w:tcW w:w="2700" w:type="dxa"/>
          </w:tcPr>
          <w:p w:rsidR="00E6031C" w:rsidRPr="00990318" w:rsidRDefault="00E6031C" w:rsidP="00100340">
            <w:pPr>
              <w:pStyle w:val="tabellentext"/>
              <w:keepNext/>
              <w:keepLines/>
              <w:spacing w:before="0" w:after="0"/>
              <w:rPr>
                <w:lang w:val="en-US"/>
              </w:rPr>
            </w:pPr>
            <w:r w:rsidRPr="00990318">
              <w:rPr>
                <w:lang w:val="en-US"/>
              </w:rPr>
              <w:t>L01, L02, L03A</w:t>
            </w:r>
          </w:p>
        </w:tc>
        <w:tc>
          <w:tcPr>
            <w:tcW w:w="3775" w:type="dxa"/>
          </w:tcPr>
          <w:p w:rsidR="00E6031C" w:rsidRPr="00990318" w:rsidRDefault="00E6031C" w:rsidP="00100340">
            <w:pPr>
              <w:pStyle w:val="tabellentext"/>
              <w:keepNext/>
              <w:keepLines/>
              <w:spacing w:before="0" w:after="0"/>
              <w:rPr>
                <w:lang w:val="en-US"/>
              </w:rPr>
            </w:pPr>
            <w:r w:rsidRPr="00990318">
              <w:rPr>
                <w:lang w:val="en-US"/>
              </w:rPr>
              <w:t>neoplasms</w:t>
            </w:r>
          </w:p>
        </w:tc>
      </w:tr>
      <w:tr w:rsidR="00E6031C" w:rsidRPr="00990318" w:rsidTr="00100340">
        <w:tc>
          <w:tcPr>
            <w:tcW w:w="2700" w:type="dxa"/>
          </w:tcPr>
          <w:p w:rsidR="00E6031C" w:rsidRPr="00990318" w:rsidRDefault="00E6031C" w:rsidP="00100340">
            <w:pPr>
              <w:pStyle w:val="tabellentext"/>
              <w:keepNext/>
              <w:keepLines/>
              <w:spacing w:before="0" w:after="0"/>
              <w:rPr>
                <w:lang w:val="en-US"/>
              </w:rPr>
            </w:pPr>
            <w:r w:rsidRPr="00990318">
              <w:rPr>
                <w:lang w:val="en-US"/>
              </w:rPr>
              <w:t>M</w:t>
            </w:r>
          </w:p>
        </w:tc>
        <w:tc>
          <w:tcPr>
            <w:tcW w:w="3775" w:type="dxa"/>
          </w:tcPr>
          <w:p w:rsidR="00E6031C" w:rsidRPr="00990318" w:rsidRDefault="00E6031C" w:rsidP="00100340">
            <w:pPr>
              <w:pStyle w:val="tabellentext"/>
              <w:keepNext/>
              <w:keepLines/>
              <w:spacing w:before="0" w:after="0"/>
              <w:rPr>
                <w:lang w:val="en-US"/>
              </w:rPr>
            </w:pPr>
            <w:r w:rsidRPr="00990318">
              <w:rPr>
                <w:lang w:val="en-US"/>
              </w:rPr>
              <w:t>musculoskeletal disorders</w:t>
            </w:r>
          </w:p>
        </w:tc>
      </w:tr>
      <w:tr w:rsidR="00E6031C" w:rsidRPr="00990318" w:rsidTr="00100340">
        <w:tc>
          <w:tcPr>
            <w:tcW w:w="2700" w:type="dxa"/>
          </w:tcPr>
          <w:p w:rsidR="00E6031C" w:rsidRPr="00990318" w:rsidRDefault="00E6031C" w:rsidP="00100340">
            <w:pPr>
              <w:pStyle w:val="tabellentext"/>
              <w:keepNext/>
              <w:keepLines/>
              <w:spacing w:before="0" w:after="0"/>
              <w:rPr>
                <w:lang w:val="en-US"/>
              </w:rPr>
            </w:pPr>
            <w:r w:rsidRPr="00990318">
              <w:rPr>
                <w:lang w:val="en-US"/>
              </w:rPr>
              <w:t>N</w:t>
            </w:r>
          </w:p>
        </w:tc>
        <w:tc>
          <w:tcPr>
            <w:tcW w:w="3775" w:type="dxa"/>
          </w:tcPr>
          <w:p w:rsidR="00E6031C" w:rsidRPr="00990318" w:rsidRDefault="00E6031C" w:rsidP="00100340">
            <w:pPr>
              <w:pStyle w:val="tabellentext"/>
              <w:keepNext/>
              <w:keepLines/>
              <w:spacing w:before="0" w:after="0"/>
              <w:rPr>
                <w:lang w:val="en-US"/>
              </w:rPr>
            </w:pPr>
            <w:r w:rsidRPr="00990318">
              <w:rPr>
                <w:lang w:val="en-US"/>
              </w:rPr>
              <w:t>neurological disorder</w:t>
            </w:r>
            <w:r>
              <w:rPr>
                <w:lang w:val="en-US"/>
              </w:rPr>
              <w:t>s</w:t>
            </w:r>
          </w:p>
        </w:tc>
      </w:tr>
      <w:tr w:rsidR="00E6031C" w:rsidRPr="00990318" w:rsidTr="00100340">
        <w:tc>
          <w:tcPr>
            <w:tcW w:w="2700" w:type="dxa"/>
          </w:tcPr>
          <w:p w:rsidR="00E6031C" w:rsidRPr="00990318" w:rsidRDefault="00E6031C" w:rsidP="00100340">
            <w:pPr>
              <w:pStyle w:val="tabellentext"/>
              <w:keepNext/>
              <w:keepLines/>
              <w:spacing w:before="0" w:after="0"/>
              <w:rPr>
                <w:lang w:val="en-US"/>
              </w:rPr>
            </w:pPr>
            <w:r w:rsidRPr="00990318">
              <w:rPr>
                <w:lang w:val="en-US"/>
              </w:rPr>
              <w:t>N (without N04A and N07D)</w:t>
            </w:r>
          </w:p>
        </w:tc>
        <w:tc>
          <w:tcPr>
            <w:tcW w:w="3775" w:type="dxa"/>
          </w:tcPr>
          <w:p w:rsidR="00E6031C" w:rsidRPr="00990318" w:rsidRDefault="00E6031C" w:rsidP="00100340">
            <w:pPr>
              <w:pStyle w:val="tabellentext"/>
              <w:keepNext/>
              <w:keepLines/>
              <w:spacing w:before="0" w:after="0"/>
              <w:rPr>
                <w:lang w:val="en-US"/>
              </w:rPr>
            </w:pPr>
            <w:r w:rsidRPr="00990318">
              <w:rPr>
                <w:lang w:val="en-US"/>
              </w:rPr>
              <w:t>mental and substance use disorders</w:t>
            </w:r>
          </w:p>
        </w:tc>
      </w:tr>
      <w:tr w:rsidR="00E6031C" w:rsidRPr="00990318" w:rsidTr="00100340">
        <w:tc>
          <w:tcPr>
            <w:tcW w:w="2700" w:type="dxa"/>
          </w:tcPr>
          <w:p w:rsidR="00E6031C" w:rsidRPr="00990318" w:rsidRDefault="00E6031C" w:rsidP="00100340">
            <w:pPr>
              <w:pStyle w:val="tabellentext"/>
              <w:keepNext/>
              <w:keepLines/>
              <w:spacing w:before="0" w:after="0"/>
              <w:rPr>
                <w:lang w:val="en-US"/>
              </w:rPr>
            </w:pPr>
            <w:r w:rsidRPr="00990318">
              <w:rPr>
                <w:lang w:val="en-US"/>
              </w:rPr>
              <w:t>N07D</w:t>
            </w:r>
          </w:p>
        </w:tc>
        <w:tc>
          <w:tcPr>
            <w:tcW w:w="3775" w:type="dxa"/>
          </w:tcPr>
          <w:p w:rsidR="00E6031C" w:rsidRPr="00990318" w:rsidRDefault="00E6031C" w:rsidP="00100340">
            <w:pPr>
              <w:pStyle w:val="tabellentext"/>
              <w:keepNext/>
              <w:keepLines/>
              <w:spacing w:before="0" w:after="0"/>
              <w:rPr>
                <w:lang w:val="en-US"/>
              </w:rPr>
            </w:pPr>
            <w:r w:rsidRPr="00990318">
              <w:rPr>
                <w:lang w:val="en-US"/>
              </w:rPr>
              <w:t>dementia</w:t>
            </w:r>
          </w:p>
        </w:tc>
      </w:tr>
      <w:tr w:rsidR="00E6031C" w:rsidRPr="00990318" w:rsidTr="00100340">
        <w:tc>
          <w:tcPr>
            <w:tcW w:w="2700" w:type="dxa"/>
          </w:tcPr>
          <w:p w:rsidR="00E6031C" w:rsidRPr="00990318" w:rsidRDefault="00E6031C" w:rsidP="00100340">
            <w:pPr>
              <w:pStyle w:val="tabellentext"/>
              <w:keepNext/>
              <w:keepLines/>
              <w:spacing w:before="0" w:after="0"/>
              <w:rPr>
                <w:lang w:val="en-US"/>
              </w:rPr>
            </w:pPr>
            <w:r w:rsidRPr="00990318">
              <w:rPr>
                <w:lang w:val="en-US"/>
              </w:rPr>
              <w:t>R</w:t>
            </w:r>
          </w:p>
        </w:tc>
        <w:tc>
          <w:tcPr>
            <w:tcW w:w="3775" w:type="dxa"/>
          </w:tcPr>
          <w:p w:rsidR="00E6031C" w:rsidRPr="00990318" w:rsidRDefault="00E6031C" w:rsidP="00100340">
            <w:pPr>
              <w:pStyle w:val="tabellentext"/>
              <w:keepNext/>
              <w:keepLines/>
              <w:spacing w:before="0" w:after="0"/>
              <w:rPr>
                <w:lang w:val="en-US"/>
              </w:rPr>
            </w:pPr>
            <w:r w:rsidRPr="00990318">
              <w:rPr>
                <w:lang w:val="en-US"/>
              </w:rPr>
              <w:t>chronic respiratory diseases</w:t>
            </w:r>
          </w:p>
        </w:tc>
      </w:tr>
    </w:tbl>
    <w:p w:rsidR="00E6031C" w:rsidRPr="00990318" w:rsidRDefault="00E6031C" w:rsidP="00E6031C">
      <w:pPr>
        <w:pStyle w:val="Legende"/>
        <w:rPr>
          <w:lang w:val="en-US"/>
        </w:rPr>
      </w:pPr>
      <w:r w:rsidRPr="00990318">
        <w:rPr>
          <w:lang w:val="en-US"/>
        </w:rPr>
        <w:t>ATC: Anatomical Therapeutic Chemical Classification</w:t>
      </w:r>
    </w:p>
    <w:p w:rsidR="00E6031C" w:rsidRPr="00990318" w:rsidRDefault="00E6031C" w:rsidP="00E6031C">
      <w:pPr>
        <w:pStyle w:val="Heading5"/>
      </w:pPr>
      <w:r w:rsidRPr="00990318">
        <w:t>Attribution based on physicians’ billing data</w:t>
      </w:r>
    </w:p>
    <w:p w:rsidR="00E6031C" w:rsidRDefault="00E6031C" w:rsidP="005E680C">
      <w:r w:rsidRPr="00990318">
        <w:t xml:space="preserve">Expenditures could be mapped to diseases based on three types of information shown on physicians’ invoices: 1) </w:t>
      </w:r>
      <w:proofErr w:type="gramStart"/>
      <w:r w:rsidRPr="00990318">
        <w:t>The</w:t>
      </w:r>
      <w:proofErr w:type="gramEnd"/>
      <w:r w:rsidRPr="00990318">
        <w:t xml:space="preserve"> physicians’ specialization. Expenditures related to a consultation with an oncologist </w:t>
      </w:r>
      <w:proofErr w:type="gramStart"/>
      <w:r w:rsidRPr="00990318">
        <w:t>were, for example, assigned</w:t>
      </w:r>
      <w:proofErr w:type="gramEnd"/>
      <w:r w:rsidRPr="00990318">
        <w:t xml:space="preserve"> to </w:t>
      </w:r>
      <w:r w:rsidRPr="00990318">
        <w:rPr>
          <w:i/>
        </w:rPr>
        <w:t>neoplasms</w:t>
      </w:r>
      <w:r w:rsidRPr="00990318">
        <w:t xml:space="preserve">, those with a cardiologist </w:t>
      </w:r>
      <w:r>
        <w:t xml:space="preserve">were assigned </w:t>
      </w:r>
      <w:r w:rsidRPr="00990318">
        <w:t xml:space="preserve">to </w:t>
      </w:r>
      <w:r w:rsidRPr="00990318">
        <w:rPr>
          <w:i/>
        </w:rPr>
        <w:t>cardiovascular diseases</w:t>
      </w:r>
      <w:r w:rsidRPr="00990318">
        <w:t xml:space="preserve">, and those with an orthopedist </w:t>
      </w:r>
      <w:r>
        <w:t xml:space="preserve">were assigned </w:t>
      </w:r>
      <w:r w:rsidRPr="00990318">
        <w:t xml:space="preserve">to </w:t>
      </w:r>
      <w:r w:rsidRPr="00990318">
        <w:rPr>
          <w:i/>
        </w:rPr>
        <w:t>musculoskeletal disorders</w:t>
      </w:r>
      <w:r w:rsidRPr="00990318">
        <w:t xml:space="preserve">. 2) The type of insurance. Expenditures covered by accident insurance related to </w:t>
      </w:r>
      <w:r w:rsidRPr="00990318">
        <w:rPr>
          <w:i/>
        </w:rPr>
        <w:t>injuries</w:t>
      </w:r>
      <w:r w:rsidRPr="00990318">
        <w:t xml:space="preserve"> and those covered by disability insurance </w:t>
      </w:r>
      <w:r>
        <w:t xml:space="preserve">related </w:t>
      </w:r>
      <w:r w:rsidRPr="00990318">
        <w:t xml:space="preserve">to </w:t>
      </w:r>
      <w:r w:rsidRPr="00990318">
        <w:rPr>
          <w:i/>
        </w:rPr>
        <w:t>congenital birth defects</w:t>
      </w:r>
      <w:r w:rsidRPr="00990318">
        <w:t xml:space="preserve">. These expenditures were set aside as they </w:t>
      </w:r>
      <w:proofErr w:type="gramStart"/>
      <w:r w:rsidRPr="00990318">
        <w:t>had already been assigned</w:t>
      </w:r>
      <w:proofErr w:type="gramEnd"/>
      <w:r w:rsidRPr="00990318">
        <w:t xml:space="preserve"> in the top-down approach. 3) The Tessiner-Code</w:t>
      </w:r>
      <w:r>
        <w:t>.</w:t>
      </w:r>
      <w:r w:rsidRPr="00990318">
        <w:t xml:space="preserve"> </w:t>
      </w:r>
      <w:r>
        <w:t>A</w:t>
      </w:r>
      <w:r w:rsidRPr="00990318">
        <w:t xml:space="preserve"> minimalist disease classification based on relatively broad diagnostic categories (such as diabetes or chronic cough) and localizations of the body parts affected (such as spine or arteries). The NewIndex data also identifies types of healthcare services based on the type of tariff system applied (TARMED for physicians’ services, laboratory tariff for laboratory examinations, and drug specialties list for drugs). We directly assigned expenditures to diseases by following a hierarchical procedure moving from the most clear-cut disease attributions to those less well defined. The analyzed sample of NewIndex data covered 16.2% of overall spending for outpatient physician services and 19.8% of drugs prescribed by</w:t>
      </w:r>
      <w:r>
        <w:t xml:space="preserve"> outpatient physicians in 2011.</w:t>
      </w:r>
    </w:p>
    <w:p w:rsidR="008876E6" w:rsidRDefault="008876E6" w:rsidP="00B414A5">
      <w:pPr>
        <w:pStyle w:val="Heading2"/>
        <w:pageBreakBefore/>
        <w:ind w:left="578" w:hanging="578"/>
        <w:rPr>
          <w:rStyle w:val="SubtleEmphasis"/>
          <w:i w:val="0"/>
          <w:iCs w:val="0"/>
          <w:color w:val="2E74B5" w:themeColor="accent1" w:themeShade="BF"/>
        </w:rPr>
      </w:pPr>
      <w:bookmarkStart w:id="4" w:name="_Ref502241763"/>
      <w:bookmarkStart w:id="5" w:name="_Toc503109256"/>
      <w:r w:rsidRPr="001E0C2D">
        <w:rPr>
          <w:rStyle w:val="SubtleEmphasis"/>
          <w:i w:val="0"/>
          <w:iCs w:val="0"/>
          <w:color w:val="2E74B5" w:themeColor="accent1" w:themeShade="BF"/>
        </w:rPr>
        <w:lastRenderedPageBreak/>
        <w:t>Mapping of ICD-10 diagnoses to diseases</w:t>
      </w:r>
      <w:bookmarkEnd w:id="4"/>
      <w:bookmarkEnd w:id="5"/>
    </w:p>
    <w:tbl>
      <w:tblPr>
        <w:tblW w:w="9214" w:type="dxa"/>
        <w:tblCellMar>
          <w:left w:w="70" w:type="dxa"/>
          <w:right w:w="70" w:type="dxa"/>
        </w:tblCellMar>
        <w:tblLook w:val="04A0"/>
      </w:tblPr>
      <w:tblGrid>
        <w:gridCol w:w="356"/>
        <w:gridCol w:w="399"/>
        <w:gridCol w:w="917"/>
        <w:gridCol w:w="3532"/>
        <w:gridCol w:w="4010"/>
      </w:tblGrid>
      <w:tr w:rsidR="00AB0BE9" w:rsidRPr="00AB0BE9" w:rsidTr="00E54A2B">
        <w:trPr>
          <w:trHeight w:val="225"/>
        </w:trPr>
        <w:tc>
          <w:tcPr>
            <w:tcW w:w="5204" w:type="dxa"/>
            <w:gridSpan w:val="4"/>
            <w:tcBorders>
              <w:top w:val="nil"/>
              <w:left w:val="nil"/>
              <w:bottom w:val="nil"/>
              <w:right w:val="nil"/>
            </w:tcBorders>
            <w:shd w:val="clear" w:color="000000" w:fill="FFFF00"/>
            <w:noWrap/>
            <w:hideMark/>
          </w:tcPr>
          <w:p w:rsidR="00AB0BE9" w:rsidRPr="00AB0BE9" w:rsidRDefault="00AB0BE9" w:rsidP="00AB0BE9">
            <w:pPr>
              <w:spacing w:after="0" w:line="240" w:lineRule="auto"/>
              <w:rPr>
                <w:rFonts w:ascii="Calibri" w:eastAsia="Times New Roman" w:hAnsi="Calibri" w:cs="Calibri"/>
                <w:b/>
                <w:bCs/>
                <w:color w:val="000000"/>
                <w:sz w:val="16"/>
                <w:szCs w:val="16"/>
                <w:lang w:eastAsia="de-CH"/>
              </w:rPr>
            </w:pPr>
            <w:r w:rsidRPr="00AB0BE9">
              <w:rPr>
                <w:rFonts w:ascii="Calibri" w:eastAsia="Times New Roman" w:hAnsi="Calibri" w:cs="Calibri"/>
                <w:b/>
                <w:bCs/>
                <w:color w:val="000000"/>
                <w:sz w:val="16"/>
                <w:szCs w:val="16"/>
                <w:lang w:eastAsia="de-CH"/>
              </w:rPr>
              <w:t>Communicable, maternal, neonatal and nutritional disorders</w:t>
            </w:r>
          </w:p>
        </w:tc>
        <w:tc>
          <w:tcPr>
            <w:tcW w:w="4010" w:type="dxa"/>
            <w:tcBorders>
              <w:top w:val="nil"/>
              <w:left w:val="nil"/>
              <w:bottom w:val="nil"/>
              <w:right w:val="nil"/>
            </w:tcBorders>
            <w:shd w:val="clear" w:color="000000" w:fill="FFFF00"/>
            <w:hideMark/>
          </w:tcPr>
          <w:p w:rsidR="00AB0BE9" w:rsidRPr="00AB0BE9" w:rsidRDefault="00AB0BE9" w:rsidP="00AB0BE9">
            <w:pPr>
              <w:spacing w:after="0" w:line="240" w:lineRule="auto"/>
              <w:rPr>
                <w:rFonts w:ascii="Calibri" w:eastAsia="Times New Roman" w:hAnsi="Calibri" w:cs="Calibri"/>
                <w:b/>
                <w:color w:val="000000"/>
                <w:sz w:val="16"/>
                <w:szCs w:val="16"/>
                <w:lang w:eastAsia="de-CH"/>
              </w:rPr>
            </w:pPr>
            <w:r w:rsidRPr="00AB0BE9">
              <w:rPr>
                <w:rFonts w:ascii="Calibri" w:eastAsia="Times New Roman" w:hAnsi="Calibri" w:cs="Calibri"/>
                <w:b/>
                <w:color w:val="000000"/>
                <w:sz w:val="16"/>
                <w:szCs w:val="16"/>
                <w:lang w:eastAsia="de-CH"/>
              </w:rPr>
              <w:t> </w:t>
            </w:r>
            <w:r w:rsidR="00E54A2B" w:rsidRPr="00E54A2B">
              <w:rPr>
                <w:rFonts w:ascii="Calibri" w:eastAsia="Times New Roman" w:hAnsi="Calibri" w:cs="Calibri"/>
                <w:b/>
                <w:color w:val="000000"/>
                <w:sz w:val="16"/>
                <w:szCs w:val="16"/>
                <w:lang w:eastAsia="de-CH"/>
              </w:rPr>
              <w:t>ICD-10 codes</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HIV/AIDS and tuberculosis</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Tuberculosis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A15-A19, B90, P37.0, Z03.0, U82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HIV/AIDS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HIV disease resulting in mycobacterial infection</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B20.0</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HIV disease resulting in other specified or unspecified diseases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B20-B24(except B20.0), D84.9, U60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8858" w:type="dxa"/>
            <w:gridSpan w:val="4"/>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Diarrhea, lower respiratory infections, meningitis, and other common infectious diseases</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Diarrheal diseases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Cholera</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A00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salmonella infections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A02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Shigellosis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A03</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Enteropathogenic E coli infection</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A04.0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Enterotoxigenic E coli infection</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A04.1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Campylobacter enteritis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A04.5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Amoebiasis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A06</w:t>
            </w:r>
            <w:proofErr w:type="spellEnd"/>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Cryptosporidiosis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A07.2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Rotaviral</w:t>
            </w:r>
            <w:proofErr w:type="spellEnd"/>
            <w:r w:rsidRPr="00AB0BE9">
              <w:rPr>
                <w:rFonts w:ascii="Calibri" w:eastAsia="Times New Roman" w:hAnsi="Calibri" w:cs="Calibri"/>
                <w:color w:val="000000"/>
                <w:sz w:val="16"/>
                <w:szCs w:val="16"/>
                <w:lang w:eastAsia="de-CH"/>
              </w:rPr>
              <w:t xml:space="preserve"> enteritis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A08.0</w:t>
            </w:r>
            <w:proofErr w:type="spellEnd"/>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diarrheal diseases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A04 (except A04.0, A04.1, A04.5), A07-A09 (except A07.2, A08.0), A05, A08, B95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Typhoid and paratyphoid fevers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A01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Lower respiratory infections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Influenza</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J09-J11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Pneumococcal pneumonia</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J13</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 influenza type B pneumonia</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J14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Respiratory syncytial virus pneumonia</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J12.1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lower respiratory infections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J12 (except J12.1), J15-J22, J85, P23</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Upper respiratory infections Otitis media</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J00-J06 H65-H68, H70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Meningitis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Pneumococcal meningitis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G00.1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 influenza type B meningitis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G00.0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Meningococcal infection</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A39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meningitis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A87, G00.2-G03.9, G00, G02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Encephalitis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A83-A86, B94.1, G04-5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Diphtheria</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A36</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Whooping cough</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A37</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Tetanus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A33-A35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Measles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B05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Varicella</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B01-B02, P35.8</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Neglected tropical diseases and malaria</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Malaria</w:t>
            </w:r>
          </w:p>
        </w:tc>
        <w:tc>
          <w:tcPr>
            <w:tcW w:w="3532"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B50-B54, P37.3, P37.4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Chagas disease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B57</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Leishmaniasis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B55</w:t>
            </w:r>
            <w:proofErr w:type="spellEnd"/>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African trypanosomiasis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B56</w:t>
            </w:r>
            <w:proofErr w:type="spellEnd"/>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Schistosomiasis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B65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Cysticercosis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B69</w:t>
            </w:r>
            <w:proofErr w:type="spellEnd"/>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Echinococcosis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B67</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Lymphatic filariasis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B74</w:t>
            </w:r>
            <w:proofErr w:type="spellEnd"/>
            <w:r w:rsidRPr="00AB0BE9">
              <w:rPr>
                <w:rFonts w:ascii="Calibri" w:eastAsia="Times New Roman" w:hAnsi="Calibri" w:cs="Calibri"/>
                <w:color w:val="000000"/>
                <w:sz w:val="16"/>
                <w:szCs w:val="16"/>
                <w:lang w:eastAsia="de-CH"/>
              </w:rPr>
              <w:t xml:space="preserve"> (except B74.3, B74.4, B74.8, B74.9)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Onchocerciasis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Trachoma</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A71**, A74.0**, B94.0**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Dengue</w:t>
            </w:r>
          </w:p>
        </w:tc>
        <w:tc>
          <w:tcPr>
            <w:tcW w:w="3532"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A90-A91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Yellow fever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A95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Rabies</w:t>
            </w:r>
          </w:p>
        </w:tc>
        <w:tc>
          <w:tcPr>
            <w:tcW w:w="3532"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A82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Intestinal nematode infections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B68, B70-B71, B78, B80-B81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Ascariasis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B77</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Trichuriasis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B79</w:t>
            </w:r>
            <w:proofErr w:type="spellEnd"/>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Hookworm disease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B76</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xml:space="preserve">Food-borne </w:t>
            </w:r>
            <w:proofErr w:type="spellStart"/>
            <w:r w:rsidRPr="00AB0BE9">
              <w:rPr>
                <w:rFonts w:ascii="Calibri" w:eastAsia="Times New Roman" w:hAnsi="Calibri" w:cs="Calibri"/>
                <w:color w:val="000000"/>
                <w:sz w:val="16"/>
                <w:szCs w:val="16"/>
                <w:lang w:eastAsia="de-CH"/>
              </w:rPr>
              <w:t>trematodiases</w:t>
            </w:r>
            <w:proofErr w:type="spellEnd"/>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B66</w:t>
            </w:r>
            <w:proofErr w:type="spellEnd"/>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neglected tropical diseases</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A68, A69.2, A75-A79, A92-A94, A96, A98, B72, B74.3-B74.9, B83, P37.1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Nutritional deficiencies</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Protein-energy malnutrition</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E40-E46, E64.0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Iodine deficiency</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E00-E02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Vitamin A deficiency</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E50, E64.1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Iron-deficiency anemia</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D50, D64.9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nutritional deficiencies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D51-D53, E51-E63.9, E64, E68</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Maternal disorders</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Maternal hemorrhage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O20, O44.1, O45-O46, O67, O72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Maternal sepsis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O85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Hypertensive disorders of pregnancy</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O10-O16</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Obstructed labor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O64-O66</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Abortion</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O00-O08, N96, P95</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maternal disorders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O21-O26, O28-O29, O33-O35; O40, O43, O44.0, O71, O74, O75.6-O75.7, O86-O92, O94- O99, Z87.4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Neonatal disorders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Preterm birth complications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P01.0, P01.1, P07, P22, P25-P28 (except P27.1 and P27.8), P61.2, P77</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Neonatal encephalopathy (birth asphyxia and birth trauma)</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P01.7-P01.9, P02-P03 , P10-P15 (except P13.2, P13.3, P13.8), P20-P21, P24, P51-P52, P54, P70, P90-P91</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Sepsis and other infectious disorders of the newborn baby</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P36, P38-P39</w:t>
            </w:r>
          </w:p>
        </w:tc>
      </w:tr>
      <w:tr w:rsidR="00AB0BE9" w:rsidRPr="00AB0BE9" w:rsidTr="00E54A2B">
        <w:trPr>
          <w:trHeight w:val="67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neonatal disorders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P00, P01.2-P01.6, P04, P05, P08, P13, P27, P29, P50, P53, P60-P61 (except P61.2), P71-P72, P74, P76, P78, P80-P81, P83, P92-P94, P96(except P96.9)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Neonatal hemolytic</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P55-P59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8858" w:type="dxa"/>
            <w:gridSpan w:val="4"/>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communicable, maternal, neonatal and nutritional disorders</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Sexually transmitted diseases excluding HIV</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N70-N73</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Syphilis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A50-A53</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Sexually transmitted chlamydial diseases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A55-A56</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Gonococcal infection</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A54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Trichomoniasis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A59</w:t>
            </w:r>
            <w:proofErr w:type="spellEnd"/>
            <w:r w:rsidRPr="00AB0BE9">
              <w:rPr>
                <w:rFonts w:ascii="Calibri" w:eastAsia="Times New Roman" w:hAnsi="Calibri" w:cs="Calibri"/>
                <w:color w:val="000000"/>
                <w:sz w:val="16"/>
                <w:szCs w:val="16"/>
                <w:lang w:eastAsia="de-CH"/>
              </w:rPr>
              <w:t>**</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sexually transmitted diseases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A57-A58, A60**, A63**</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Hepatitis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Acute hepatitis A</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B15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Acute hepatitis B</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B16, B17.0, P35.3</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Acute hepatitis C</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B17.1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Acute hepatitis 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B17.2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Sonstige</w:t>
            </w:r>
            <w:proofErr w:type="spellEnd"/>
            <w:r w:rsidRPr="00AB0BE9">
              <w:rPr>
                <w:rFonts w:ascii="Calibri" w:eastAsia="Times New Roman" w:hAnsi="Calibri" w:cs="Calibri"/>
                <w:color w:val="000000"/>
                <w:sz w:val="16"/>
                <w:szCs w:val="16"/>
                <w:lang w:eastAsia="de-CH"/>
              </w:rPr>
              <w:t xml:space="preserve"> </w:t>
            </w:r>
            <w:proofErr w:type="spellStart"/>
            <w:r w:rsidRPr="00AB0BE9">
              <w:rPr>
                <w:rFonts w:ascii="Calibri" w:eastAsia="Times New Roman" w:hAnsi="Calibri" w:cs="Calibri"/>
                <w:color w:val="000000"/>
                <w:sz w:val="16"/>
                <w:szCs w:val="16"/>
                <w:lang w:eastAsia="de-CH"/>
              </w:rPr>
              <w:t>akute</w:t>
            </w:r>
            <w:proofErr w:type="spellEnd"/>
            <w:r w:rsidRPr="00AB0BE9">
              <w:rPr>
                <w:rFonts w:ascii="Calibri" w:eastAsia="Times New Roman" w:hAnsi="Calibri" w:cs="Calibri"/>
                <w:color w:val="000000"/>
                <w:sz w:val="16"/>
                <w:szCs w:val="16"/>
                <w:lang w:eastAsia="de-CH"/>
              </w:rPr>
              <w:t xml:space="preserve"> </w:t>
            </w:r>
            <w:proofErr w:type="spellStart"/>
            <w:r w:rsidRPr="00AB0BE9">
              <w:rPr>
                <w:rFonts w:ascii="Calibri" w:eastAsia="Times New Roman" w:hAnsi="Calibri" w:cs="Calibri"/>
                <w:color w:val="000000"/>
                <w:sz w:val="16"/>
                <w:szCs w:val="16"/>
                <w:lang w:eastAsia="de-CH"/>
              </w:rPr>
              <w:t>Virushepatitis</w:t>
            </w:r>
            <w:proofErr w:type="spellEnd"/>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B17</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Nicht</w:t>
            </w:r>
            <w:proofErr w:type="spellEnd"/>
            <w:r w:rsidRPr="00AB0BE9">
              <w:rPr>
                <w:rFonts w:ascii="Calibri" w:eastAsia="Times New Roman" w:hAnsi="Calibri" w:cs="Calibri"/>
                <w:color w:val="000000"/>
                <w:sz w:val="16"/>
                <w:szCs w:val="16"/>
                <w:lang w:eastAsia="de-CH"/>
              </w:rPr>
              <w:t xml:space="preserve"> </w:t>
            </w:r>
            <w:proofErr w:type="spellStart"/>
            <w:r w:rsidRPr="00AB0BE9">
              <w:rPr>
                <w:rFonts w:ascii="Calibri" w:eastAsia="Times New Roman" w:hAnsi="Calibri" w:cs="Calibri"/>
                <w:color w:val="000000"/>
                <w:sz w:val="16"/>
                <w:szCs w:val="16"/>
                <w:lang w:eastAsia="de-CH"/>
              </w:rPr>
              <w:t>näher</w:t>
            </w:r>
            <w:proofErr w:type="spellEnd"/>
            <w:r w:rsidRPr="00AB0BE9">
              <w:rPr>
                <w:rFonts w:ascii="Calibri" w:eastAsia="Times New Roman" w:hAnsi="Calibri" w:cs="Calibri"/>
                <w:color w:val="000000"/>
                <w:sz w:val="16"/>
                <w:szCs w:val="16"/>
                <w:lang w:eastAsia="de-CH"/>
              </w:rPr>
              <w:t xml:space="preserve"> </w:t>
            </w:r>
            <w:proofErr w:type="spellStart"/>
            <w:r w:rsidRPr="00AB0BE9">
              <w:rPr>
                <w:rFonts w:ascii="Calibri" w:eastAsia="Times New Roman" w:hAnsi="Calibri" w:cs="Calibri"/>
                <w:color w:val="000000"/>
                <w:sz w:val="16"/>
                <w:szCs w:val="16"/>
                <w:lang w:eastAsia="de-CH"/>
              </w:rPr>
              <w:t>bezeichnete</w:t>
            </w:r>
            <w:proofErr w:type="spellEnd"/>
            <w:r w:rsidRPr="00AB0BE9">
              <w:rPr>
                <w:rFonts w:ascii="Calibri" w:eastAsia="Times New Roman" w:hAnsi="Calibri" w:cs="Calibri"/>
                <w:color w:val="000000"/>
                <w:sz w:val="16"/>
                <w:szCs w:val="16"/>
                <w:lang w:eastAsia="de-CH"/>
              </w:rPr>
              <w:t xml:space="preserve"> </w:t>
            </w:r>
            <w:proofErr w:type="spellStart"/>
            <w:r w:rsidRPr="00AB0BE9">
              <w:rPr>
                <w:rFonts w:ascii="Calibri" w:eastAsia="Times New Roman" w:hAnsi="Calibri" w:cs="Calibri"/>
                <w:color w:val="000000"/>
                <w:sz w:val="16"/>
                <w:szCs w:val="16"/>
                <w:lang w:eastAsia="de-CH"/>
              </w:rPr>
              <w:t>Virushepatitis</w:t>
            </w:r>
            <w:proofErr w:type="spellEnd"/>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B19</w:t>
            </w:r>
            <w:proofErr w:type="spellEnd"/>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Leprosy</w:t>
            </w:r>
          </w:p>
        </w:tc>
        <w:tc>
          <w:tcPr>
            <w:tcW w:w="3532"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A30, B92</w:t>
            </w:r>
          </w:p>
        </w:tc>
      </w:tr>
      <w:tr w:rsidR="00AB0BE9" w:rsidRPr="00AB0BE9" w:rsidTr="00E54A2B">
        <w:trPr>
          <w:trHeight w:val="13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infectious diseases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A20-A28, A31-A32, A38, A40-A49,A65-A70(except A68), A74 (except A74.0), A81, A88-A89, A99, B04, B25, B27-B49(except B35-B36), B58- B60, B64, B82, B86, B89, B94, B96-7, B99, P35.1, P35.2, P35.9, P37.2, P37.5-P37.9, B03, B26, B06, P35.0, A80, B91, G14, J69, J86,K65, K5,M49, M86,U80</w:t>
            </w:r>
          </w:p>
        </w:tc>
      </w:tr>
      <w:tr w:rsidR="00AB0BE9" w:rsidRPr="00AB0BE9" w:rsidTr="00E54A2B">
        <w:trPr>
          <w:trHeight w:val="225"/>
        </w:trPr>
        <w:tc>
          <w:tcPr>
            <w:tcW w:w="5204" w:type="dxa"/>
            <w:gridSpan w:val="4"/>
            <w:tcBorders>
              <w:top w:val="nil"/>
              <w:left w:val="nil"/>
              <w:bottom w:val="nil"/>
              <w:right w:val="nil"/>
            </w:tcBorders>
            <w:shd w:val="clear" w:color="000000" w:fill="FFFF00"/>
            <w:noWrap/>
            <w:hideMark/>
          </w:tcPr>
          <w:p w:rsidR="00AB0BE9" w:rsidRPr="00AB0BE9" w:rsidRDefault="00AB0BE9" w:rsidP="00AB0BE9">
            <w:pPr>
              <w:spacing w:after="0" w:line="240" w:lineRule="auto"/>
              <w:rPr>
                <w:rFonts w:ascii="Calibri" w:eastAsia="Times New Roman" w:hAnsi="Calibri" w:cs="Calibri"/>
                <w:b/>
                <w:bCs/>
                <w:color w:val="000000"/>
                <w:sz w:val="16"/>
                <w:szCs w:val="16"/>
                <w:lang w:eastAsia="de-CH"/>
              </w:rPr>
            </w:pPr>
            <w:r w:rsidRPr="00AB0BE9">
              <w:rPr>
                <w:rFonts w:ascii="Calibri" w:eastAsia="Times New Roman" w:hAnsi="Calibri" w:cs="Calibri"/>
                <w:b/>
                <w:bCs/>
                <w:color w:val="000000"/>
                <w:sz w:val="16"/>
                <w:szCs w:val="16"/>
                <w:lang w:eastAsia="de-CH"/>
              </w:rPr>
              <w:t>Non-communicable diseases</w:t>
            </w:r>
          </w:p>
        </w:tc>
        <w:tc>
          <w:tcPr>
            <w:tcW w:w="4010" w:type="dxa"/>
            <w:tcBorders>
              <w:top w:val="nil"/>
              <w:left w:val="nil"/>
              <w:bottom w:val="nil"/>
              <w:right w:val="nil"/>
            </w:tcBorders>
            <w:shd w:val="clear" w:color="000000" w:fill="FFFF00"/>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1316" w:type="dxa"/>
            <w:gridSpan w:val="2"/>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Neoplasms</w:t>
            </w:r>
          </w:p>
        </w:tc>
        <w:tc>
          <w:tcPr>
            <w:tcW w:w="3532"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Esophageal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C15, D00.1*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Stomach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C16, D00.2*, D37.1*</w:t>
            </w:r>
          </w:p>
        </w:tc>
      </w:tr>
      <w:tr w:rsidR="00AB0BE9" w:rsidRPr="00AB0BE9" w:rsidTr="00E54A2B">
        <w:trPr>
          <w:trHeight w:val="28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Liver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C22, D01.5*, D37.6*</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Larynx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C32, D02.0*, D38.0*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Trachea, bronchus and lung cancers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C33-C34 , D02.1-D02.2*, D38.1*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Breast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C50, D0.5-D05.9*, D48.6*</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Cervical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C53, D06*</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Uterine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C54, D07.0, D39.0*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Prostate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C61, D07.5*, D40.0*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Colon and rectum cancers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C18-C21, D01.0-D01.3*, D37.3-D37.5*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Mouth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C00-C08</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Nasopharynx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C11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Cancer of other part of pharynx and oropharynx</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C09-C10, C12-C13</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Gallbladder and biliary tract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C23, C24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Pancreatic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C25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Malignant melanoma of skin</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C43, D03*, D48.5*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Non-melanoma skin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C44, D04*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Ovarian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C56, D39.1*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Testicular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C62, D40.1*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Kidney and other urinary organ cancers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C64-C66, D41.0-D41.2*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Bladder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C67, D09.0*, D41.4*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Brain and nervous system cancers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C70-C72, D42-D43, D44.3-D44.5*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Thyroid cancer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C73, D44.0*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Hodgkin's disease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C81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Non-Hodgkin's lymphoma</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C82-C85, C96</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Multiple myeloma</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C88-C90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Leukemia</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C91-C95</w:t>
            </w:r>
          </w:p>
        </w:tc>
      </w:tr>
      <w:tr w:rsidR="00AB0BE9" w:rsidRPr="00AB0BE9" w:rsidTr="00E54A2B">
        <w:trPr>
          <w:trHeight w:val="13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neoplasms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C14, C17, C26, C30-C31, C37-C41, C45, C46-C49, C51-C52, C55, C57- C60, C63, C68-C69, C74-C76, C77-C80, C97, D01.4*, D07.1-D07.4*, D09.1-D09.3*, D37.2*, D37.7*, D38.2-D38.5*, D39.2- D39.7*, D40.7*, D41.7*, D48.0-D48.4*, D48.7*, D00-D24, D26-D41, D44 (except D44.0, D44.3-D44.5), D45-D48, D90, Z03.1, Z08</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Cardiovascular and circulatory diseases</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Rheumatic heart disease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I01, I02.0, I05-I09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Ischemic heart disease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I20-I25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Cerebrovascular disease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Ischemic stroke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I63, I65-I67(except I67.4), I69.3</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Hemorrhagic and other non- ischemic stroke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I60-I62, I69.0-I69.2, I67.4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Heart failure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I50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Hypertensive heart disease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I11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Cardiomyopathy and myocarditis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I42, I40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Atrial fibrillation and flutter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I48</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Aortic aneurysm</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I71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Peripheral vascular disease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I73, I70.2, I74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Endocarditis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I33</w:t>
            </w:r>
          </w:p>
        </w:tc>
      </w:tr>
      <w:tr w:rsidR="00AB0BE9" w:rsidRPr="00AB0BE9" w:rsidTr="00E54A2B">
        <w:trPr>
          <w:trHeight w:val="67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cardiovascular and circulatory diseases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I00</w:t>
            </w:r>
            <w:proofErr w:type="gramStart"/>
            <w:r w:rsidRPr="00AB0BE9">
              <w:rPr>
                <w:rFonts w:ascii="Calibri" w:eastAsia="Times New Roman" w:hAnsi="Calibri" w:cs="Calibri"/>
                <w:color w:val="000000"/>
                <w:sz w:val="16"/>
                <w:szCs w:val="16"/>
                <w:lang w:eastAsia="de-CH"/>
              </w:rPr>
              <w:t>,I02.9</w:t>
            </w:r>
            <w:proofErr w:type="gramEnd"/>
            <w:r w:rsidRPr="00AB0BE9">
              <w:rPr>
                <w:rFonts w:ascii="Calibri" w:eastAsia="Times New Roman" w:hAnsi="Calibri" w:cs="Calibri"/>
                <w:color w:val="000000"/>
                <w:sz w:val="16"/>
                <w:szCs w:val="16"/>
                <w:lang w:eastAsia="de-CH"/>
              </w:rPr>
              <w:t>, I10, I15, I26-I28,I30-I32, I34-I39, I44-7, I49, I51, I64, I67, I69,I70, I72, I77-I80, I81-I84, I86-I99, G45. J90-1, J94, Z03.4, Z03.5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Chronic respiratory diseases</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Chronic obstructive pulmonary disease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J40-J44, J47</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Pneumoconiosis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J60-J65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Asthma</w:t>
            </w:r>
          </w:p>
        </w:tc>
        <w:tc>
          <w:tcPr>
            <w:tcW w:w="3532"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J45-J46</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Interstitial lung disease and pulmonary sarcoidosis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D86.0, D86.2, D86.9, J84</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chronic respiratory diseases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J30-J39, J66-J70(except J69), J80, J82, J92, J93.0, J93.1, J95, J96.1, J98</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Cirrhosis of the liver</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Cirrhosis of the liver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B18, I85, K70, K71.7, K72.1-K72.9, K73-K74, K75.2-K75.9, K76.6-K76.7, K76.9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Digestive diseases (except cirrhosis)</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Peptic ulcer disease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K25-K27</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Gastritis and duodenitis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K29</w:t>
            </w:r>
            <w:proofErr w:type="spellEnd"/>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Appendicitis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K35-K37</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Paralytic ileus and intestinal obstruction without hernia</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K56</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Inguinal or femoral hernia</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K40-K41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Noninfective inflammatory bowel disease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K50-K52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Vascular disorders of intestine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K55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Gall bladder and bile duct disease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K80-K83</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Pancreatitis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K85-K86</w:t>
            </w:r>
          </w:p>
        </w:tc>
      </w:tr>
      <w:tr w:rsidR="00AB0BE9" w:rsidRPr="00AB0BE9" w:rsidTr="00E54A2B">
        <w:trPr>
          <w:trHeight w:val="67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digestive diseases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K00-K01**, K03-K04**, K06-K11**, K12-K13, K14**, K20-K22, K28, K30-K31, K38, K42-6, K57-K63, K66, K76.0- K76.5, K76.8, K77, K90-K92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1316" w:type="dxa"/>
            <w:gridSpan w:val="2"/>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Dementia</w:t>
            </w:r>
          </w:p>
        </w:tc>
        <w:tc>
          <w:tcPr>
            <w:tcW w:w="3532"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Alzheimer's disease and other dementias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F00-F09, G30-G31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Neurological disorders (without dementia)</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Parkinson's disease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G20-G21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Epilepsy</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G40-G41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Multiple sclerosis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G35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Migraine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G43**</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Tension-type headache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G44**</w:t>
            </w:r>
          </w:p>
        </w:tc>
      </w:tr>
      <w:tr w:rsidR="00AB0BE9" w:rsidRPr="00AB0BE9" w:rsidTr="00E54A2B">
        <w:trPr>
          <w:trHeight w:val="67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neurological disorders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G06-G09, G10-G12, G23-G25, G32, G36-G37, G46-G58**, G60- G72,G80-4,  G90, G93-G98 (except G93.1, G93.2, G93.3, G93.4, G93.5, G93.6), G99, U51, Z03.3</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Mental and behavioral disorders</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Schizophrenia</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F20-F29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Alcohol use disorders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F10, X45, Q86.0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Drug use disorders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X41, X42, X49</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Opioid use disorders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F11</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Cocaine use disorders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F14</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Amphetamine use disorders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F15</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Cannabis use disorders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F12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drug use disorders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F13, F16, F18-F19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Unipolar depressive disorders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Major depressive disorder</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F32**-F33**</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Dysthymia</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F34.1**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Bipolar affective disorder</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F30**-F31**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Anxiety disorders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F40**-F42**, F43**-F44**</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Eating disorders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F50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Pervasive development disorders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F84.0**, F84.5**</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Autism</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F84.0**</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Asperger's syndrome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F84.5**</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Tief</w:t>
            </w:r>
            <w:proofErr w:type="spellEnd"/>
            <w:r w:rsidRPr="00AB0BE9">
              <w:rPr>
                <w:rFonts w:ascii="Calibri" w:eastAsia="Times New Roman" w:hAnsi="Calibri" w:cs="Calibri"/>
                <w:color w:val="000000"/>
                <w:sz w:val="16"/>
                <w:szCs w:val="16"/>
                <w:lang w:eastAsia="de-CH"/>
              </w:rPr>
              <w:t xml:space="preserve"> </w:t>
            </w:r>
            <w:proofErr w:type="spellStart"/>
            <w:r w:rsidRPr="00AB0BE9">
              <w:rPr>
                <w:rFonts w:ascii="Calibri" w:eastAsia="Times New Roman" w:hAnsi="Calibri" w:cs="Calibri"/>
                <w:color w:val="000000"/>
                <w:sz w:val="16"/>
                <w:szCs w:val="16"/>
                <w:lang w:eastAsia="de-CH"/>
              </w:rPr>
              <w:t>greifende</w:t>
            </w:r>
            <w:proofErr w:type="spellEnd"/>
            <w:r w:rsidRPr="00AB0BE9">
              <w:rPr>
                <w:rFonts w:ascii="Calibri" w:eastAsia="Times New Roman" w:hAnsi="Calibri" w:cs="Calibri"/>
                <w:color w:val="000000"/>
                <w:sz w:val="16"/>
                <w:szCs w:val="16"/>
                <w:lang w:eastAsia="de-CH"/>
              </w:rPr>
              <w:t xml:space="preserve"> </w:t>
            </w:r>
            <w:proofErr w:type="spellStart"/>
            <w:r w:rsidRPr="00AB0BE9">
              <w:rPr>
                <w:rFonts w:ascii="Calibri" w:eastAsia="Times New Roman" w:hAnsi="Calibri" w:cs="Calibri"/>
                <w:color w:val="000000"/>
                <w:sz w:val="16"/>
                <w:szCs w:val="16"/>
                <w:lang w:eastAsia="de-CH"/>
              </w:rPr>
              <w:t>Entwicklungsstörungen</w:t>
            </w:r>
            <w:proofErr w:type="spellEnd"/>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F84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Childhood behavioral disorders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Attention-deficit hyperactivity disorder</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F90**</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Conduct disorder</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F91**-F92**</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Idiopathic intellectual disability</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F70**-F79**</w:t>
            </w:r>
          </w:p>
        </w:tc>
      </w:tr>
      <w:tr w:rsidR="00AB0BE9" w:rsidRPr="00AB0BE9" w:rsidTr="00E54A2B">
        <w:trPr>
          <w:trHeight w:val="67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mental and behavioral disorders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F17, F34-F39 (except F34.1), F45-F48**, F51- F53**, F54-F59, F60-F69**, F80-F84** (except F84.0, F84.5, F84.9), F93-F98**, F88-F89**; F9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1316" w:type="dxa"/>
            <w:gridSpan w:val="2"/>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Diabetes</w:t>
            </w:r>
          </w:p>
        </w:tc>
        <w:tc>
          <w:tcPr>
            <w:tcW w:w="3532"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Diabetes mellitus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E10-E14 (except E10.2, E12.2, E13.2)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Urogenital, blood, and endocrine diseases (without diabetes)</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Acute glomerulonephritis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N00-N01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Chronic kidney diseases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Chronic kidney disease due to diabetes mellitus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E10.2, E11.2, E12.2, E13.2, E14.2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Chronic kidney disease due to hypertension</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I12.0, I12.9, I13.0, I13.1, I13.2, I13.9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Chronic kidney disease unspecified</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N02-N07, N15.0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E54A2B" w:rsidP="00AB0BE9">
            <w:pPr>
              <w:spacing w:after="0" w:line="240" w:lineRule="auto"/>
              <w:rPr>
                <w:rFonts w:ascii="Calibri" w:eastAsia="Times New Roman" w:hAnsi="Calibri" w:cs="Calibri"/>
                <w:color w:val="000000"/>
                <w:sz w:val="16"/>
                <w:szCs w:val="16"/>
                <w:lang w:eastAsia="de-CH"/>
              </w:rPr>
            </w:pPr>
            <w:r>
              <w:rPr>
                <w:rFonts w:ascii="Calibri" w:eastAsia="Times New Roman" w:hAnsi="Calibri" w:cs="Calibri"/>
                <w:color w:val="000000"/>
                <w:sz w:val="16"/>
                <w:szCs w:val="16"/>
                <w:lang w:eastAsia="de-CH"/>
              </w:rPr>
              <w:t>Chronic kidney disease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N18</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Urinary diseases and male infertility</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Tubulointerstitial</w:t>
            </w:r>
            <w:proofErr w:type="spellEnd"/>
            <w:r w:rsidRPr="00AB0BE9">
              <w:rPr>
                <w:rFonts w:ascii="Calibri" w:eastAsia="Times New Roman" w:hAnsi="Calibri" w:cs="Calibri"/>
                <w:color w:val="000000"/>
                <w:sz w:val="16"/>
                <w:szCs w:val="16"/>
                <w:lang w:eastAsia="de-CH"/>
              </w:rPr>
              <w:t xml:space="preserve"> nephritis, pyelonephritis, and urinary tract infections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N10-N12, N15.1-N15.9, N30, N34, N39.0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Urolithiasis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N20-N23</w:t>
            </w:r>
            <w:proofErr w:type="spellEnd"/>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Benign prostatic hyperplasia</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N40**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Male infertility</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N46**</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urinary diseases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N13, N24-N28, N31-N32, N35-N36, N39 (except N39.0), N41- N45, N47-N50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Gynecological diseases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Uterine fibroids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D25</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Polycystic ovarian syndrome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E28.2</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Female infertility</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N97**</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Endometriosis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N80</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Genital prolapse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N81</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Premenstrual syndrome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N94.3</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gynecological diseases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N60**, N61-N64, N75-N76, N82-N83, N84**-N92 , N93- N94(Except N94.3), N98</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Hemoglobinopathies and hemolytic anemias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Thalassemias</w:t>
            </w:r>
            <w:proofErr w:type="spellEnd"/>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D56</w:t>
            </w:r>
            <w:proofErr w:type="spellEnd"/>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Sickle cell disorders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D57</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G6PD deficiency</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D55</w:t>
            </w:r>
          </w:p>
        </w:tc>
      </w:tr>
      <w:tr w:rsidR="00AB0BE9" w:rsidRPr="00AB0BE9" w:rsidTr="00E54A2B">
        <w:trPr>
          <w:trHeight w:val="450"/>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hemoglobinopathies and hemolytic anemias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D58-D64.8</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endocrine, nutritional, blood, and immune disorders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D66-D89 (except D84.9, D86.0, D86.2, D86.9), E03-E07, E15-E34, E65-E67, E70-E84 E86-8 (except E88.9), E89-E96, M07</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Musculoskeletal disorders</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Rheumatoid arthritis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M05-M06</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Osteoarthritis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M15-M19**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Low back and neck pain</w:t>
            </w:r>
          </w:p>
        </w:tc>
        <w:tc>
          <w:tcPr>
            <w:tcW w:w="3532"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Low back and neck pain</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M48.0-M48.2, M53</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Low back pain</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M46.9, M47**, M48.8**-M48.9**, M51- M54**(except M53.1**,M53.2**)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Neck pain</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M50**, M53.1** ,M53.2**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Gout</w:t>
            </w:r>
          </w:p>
        </w:tc>
        <w:tc>
          <w:tcPr>
            <w:tcW w:w="3532"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M10**</w:t>
            </w:r>
          </w:p>
        </w:tc>
      </w:tr>
      <w:tr w:rsidR="00AB0BE9" w:rsidRPr="00AB0BE9" w:rsidTr="00E54A2B">
        <w:trPr>
          <w:trHeight w:val="11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musculoskeletal disorders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M00-M02, M08, M11** ,M12-M13, M20-M25**,M30- M35,M40**, M41-M46 (except M46.9), M48** (except M48.0, M48.1, M48.2, M48.8, M48.9), M60**, M61-M62, M65-M71**, M72, M75-M79**, M80-M85, M87-M94, M95- M99**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Congenital anomalies</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Neural tube defects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Q00, Q05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Congenital heart anomalies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Q20-Q28</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Cleft lip and cleft palate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Q35-Q37</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Down's syndrome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Q90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chromosomal abnormalities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Q91-Q99 (except Q99.9)</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congenital anomalies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D65, J65.0, J96.9, Q01-Q04, Q06-Q18, Q30-Q34, Q38-Q45, Q50-Q89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Skin and subcutaneous diseases</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Eczema</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L20**-L28**</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Psoriasis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L40**-L41**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Cellulitis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L03.0, L03.1**, L03.2-L03.9</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Abscess, impetigo, and other bacterial skin diseases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L00, L01, L02, L04**, L08, L88, L97, L98.0-L98.4**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Fungal skin diseases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B35**, B36.0**, B36.1**, B36.2**, B36.3**, B36.8**, B36.9**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Viral skin diseases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B00, B07**-B09**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Acne vulgaris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L70**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Alopecia areata</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L63.0**, L63.1**, L63.8**, L63.9**,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Pruritus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L29**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Urticaria</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L50</w:t>
            </w:r>
            <w:proofErr w:type="spellEnd"/>
            <w:r w:rsidRPr="00AB0BE9">
              <w:rPr>
                <w:rFonts w:ascii="Calibri" w:eastAsia="Times New Roman" w:hAnsi="Calibri" w:cs="Calibri"/>
                <w:color w:val="000000"/>
                <w:sz w:val="16"/>
                <w:szCs w:val="16"/>
                <w:lang w:eastAsia="de-CH"/>
              </w:rPr>
              <w:t>**</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Decubitus ulcer</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L89</w:t>
            </w:r>
          </w:p>
        </w:tc>
      </w:tr>
      <w:tr w:rsidR="00AB0BE9" w:rsidRPr="00AB0BE9" w:rsidTr="00E54A2B">
        <w:trPr>
          <w:trHeight w:val="67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skin and subcutaneous diseases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B85**, B87**,B88**, L05.0, L05.9, L10-L13, L30**, L42**-L44**, L51, L52**-L53**, L55**-L60**, L64**-L68**, L71**-L75**, L80**-L85**, L87, L90**- L92**, L93, L94-L95, L98</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Sense organ diseases</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Glaucoma</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H40**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Cataracts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H25-H26**</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Macular degeneration</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H35.3**</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Refraction and accommodation disorders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H49-H52**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hearing loss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H90-H91**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vision loss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H30-H35** (except H35.3), H53-H54**</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sense organ diseases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H00-H21**, H27*, H43-H47**, H55-H61**, H69** , H71-H83**, H92-H93**</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1316" w:type="dxa"/>
            <w:gridSpan w:val="2"/>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Oral disorders</w:t>
            </w:r>
          </w:p>
        </w:tc>
        <w:tc>
          <w:tcPr>
            <w:tcW w:w="3532"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Dental caries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K02**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Periodontal disease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K05**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Edentulism</w:t>
            </w:r>
            <w:proofErr w:type="spellEnd"/>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xml:space="preserve">No </w:t>
            </w:r>
            <w:proofErr w:type="spellStart"/>
            <w:r w:rsidRPr="00AB0BE9">
              <w:rPr>
                <w:rFonts w:ascii="Calibri" w:eastAsia="Times New Roman" w:hAnsi="Calibri" w:cs="Calibri"/>
                <w:color w:val="000000"/>
                <w:sz w:val="16"/>
                <w:szCs w:val="16"/>
                <w:lang w:eastAsia="de-CH"/>
              </w:rPr>
              <w:t>ICD</w:t>
            </w:r>
            <w:proofErr w:type="spellEnd"/>
            <w:r w:rsidRPr="00AB0BE9">
              <w:rPr>
                <w:rFonts w:ascii="Calibri" w:eastAsia="Times New Roman" w:hAnsi="Calibri" w:cs="Calibri"/>
                <w:color w:val="000000"/>
                <w:sz w:val="16"/>
                <w:szCs w:val="16"/>
                <w:lang w:eastAsia="de-CH"/>
              </w:rPr>
              <w:t xml:space="preserve"> code**</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Sudden infant death syndrome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R95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Andere</w:t>
            </w:r>
            <w:proofErr w:type="spellEnd"/>
            <w:r w:rsidRPr="00AB0BE9">
              <w:rPr>
                <w:rFonts w:ascii="Calibri" w:eastAsia="Times New Roman" w:hAnsi="Calibri" w:cs="Calibri"/>
                <w:color w:val="000000"/>
                <w:sz w:val="16"/>
                <w:szCs w:val="16"/>
                <w:lang w:eastAsia="de-CH"/>
              </w:rPr>
              <w:t xml:space="preserve"> </w:t>
            </w:r>
            <w:proofErr w:type="spellStart"/>
            <w:r w:rsidRPr="00AB0BE9">
              <w:rPr>
                <w:rFonts w:ascii="Calibri" w:eastAsia="Times New Roman" w:hAnsi="Calibri" w:cs="Calibri"/>
                <w:color w:val="000000"/>
                <w:sz w:val="16"/>
                <w:szCs w:val="16"/>
                <w:lang w:eastAsia="de-CH"/>
              </w:rPr>
              <w:t>nicht-übertragbare</w:t>
            </w:r>
            <w:proofErr w:type="spellEnd"/>
            <w:r w:rsidRPr="00AB0BE9">
              <w:rPr>
                <w:rFonts w:ascii="Calibri" w:eastAsia="Times New Roman" w:hAnsi="Calibri" w:cs="Calibri"/>
                <w:color w:val="000000"/>
                <w:sz w:val="16"/>
                <w:szCs w:val="16"/>
                <w:lang w:eastAsia="de-CH"/>
              </w:rPr>
              <w:t xml:space="preserve"> </w:t>
            </w:r>
            <w:proofErr w:type="spellStart"/>
            <w:r w:rsidRPr="00AB0BE9">
              <w:rPr>
                <w:rFonts w:ascii="Calibri" w:eastAsia="Times New Roman" w:hAnsi="Calibri" w:cs="Calibri"/>
                <w:color w:val="000000"/>
                <w:sz w:val="16"/>
                <w:szCs w:val="16"/>
                <w:lang w:eastAsia="de-CH"/>
              </w:rPr>
              <w:t>Krankheiten</w:t>
            </w:r>
            <w:proofErr w:type="spellEnd"/>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Dialysebehandlung</w:t>
            </w:r>
            <w:proofErr w:type="spellEnd"/>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Z49</w:t>
            </w:r>
            <w:proofErr w:type="spellEnd"/>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Alopecia areata</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L63</w:t>
            </w:r>
            <w:proofErr w:type="spellEnd"/>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Klimakterische</w:t>
            </w:r>
            <w:proofErr w:type="spellEnd"/>
            <w:r w:rsidRPr="00AB0BE9">
              <w:rPr>
                <w:rFonts w:ascii="Calibri" w:eastAsia="Times New Roman" w:hAnsi="Calibri" w:cs="Calibri"/>
                <w:color w:val="000000"/>
                <w:sz w:val="16"/>
                <w:szCs w:val="16"/>
                <w:lang w:eastAsia="de-CH"/>
              </w:rPr>
              <w:t xml:space="preserve"> </w:t>
            </w:r>
            <w:proofErr w:type="spellStart"/>
            <w:r w:rsidRPr="00AB0BE9">
              <w:rPr>
                <w:rFonts w:ascii="Calibri" w:eastAsia="Times New Roman" w:hAnsi="Calibri" w:cs="Calibri"/>
                <w:color w:val="000000"/>
                <w:sz w:val="16"/>
                <w:szCs w:val="16"/>
                <w:lang w:eastAsia="de-CH"/>
              </w:rPr>
              <w:t>Störungen</w:t>
            </w:r>
            <w:proofErr w:type="spellEnd"/>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roofErr w:type="spellStart"/>
            <w:r w:rsidRPr="00AB0BE9">
              <w:rPr>
                <w:rFonts w:ascii="Calibri" w:eastAsia="Times New Roman" w:hAnsi="Calibri" w:cs="Calibri"/>
                <w:color w:val="000000"/>
                <w:sz w:val="16"/>
                <w:szCs w:val="16"/>
                <w:lang w:eastAsia="de-CH"/>
              </w:rPr>
              <w:t>N95</w:t>
            </w:r>
            <w:proofErr w:type="spellEnd"/>
          </w:p>
        </w:tc>
      </w:tr>
      <w:tr w:rsidR="00AB0BE9" w:rsidRPr="00AB0BE9" w:rsidTr="00E54A2B">
        <w:trPr>
          <w:trHeight w:val="225"/>
        </w:trPr>
        <w:tc>
          <w:tcPr>
            <w:tcW w:w="755" w:type="dxa"/>
            <w:gridSpan w:val="2"/>
            <w:tcBorders>
              <w:top w:val="nil"/>
              <w:left w:val="nil"/>
              <w:bottom w:val="nil"/>
              <w:right w:val="nil"/>
            </w:tcBorders>
            <w:shd w:val="clear" w:color="000000" w:fill="FFFF00"/>
            <w:noWrap/>
            <w:hideMark/>
          </w:tcPr>
          <w:p w:rsidR="00AB0BE9" w:rsidRPr="00AB0BE9" w:rsidRDefault="00AB0BE9" w:rsidP="00AB0BE9">
            <w:pPr>
              <w:spacing w:after="0" w:line="240" w:lineRule="auto"/>
              <w:rPr>
                <w:rFonts w:ascii="Calibri" w:eastAsia="Times New Roman" w:hAnsi="Calibri" w:cs="Calibri"/>
                <w:b/>
                <w:bCs/>
                <w:color w:val="000000"/>
                <w:sz w:val="16"/>
                <w:szCs w:val="16"/>
                <w:lang w:eastAsia="de-CH"/>
              </w:rPr>
            </w:pPr>
            <w:r w:rsidRPr="00AB0BE9">
              <w:rPr>
                <w:rFonts w:ascii="Calibri" w:eastAsia="Times New Roman" w:hAnsi="Calibri" w:cs="Calibri"/>
                <w:b/>
                <w:bCs/>
                <w:color w:val="000000"/>
                <w:sz w:val="16"/>
                <w:szCs w:val="16"/>
                <w:lang w:eastAsia="de-CH"/>
              </w:rPr>
              <w:t>Injuries</w:t>
            </w:r>
          </w:p>
        </w:tc>
        <w:tc>
          <w:tcPr>
            <w:tcW w:w="917" w:type="dxa"/>
            <w:tcBorders>
              <w:top w:val="nil"/>
              <w:left w:val="nil"/>
              <w:bottom w:val="nil"/>
              <w:right w:val="nil"/>
            </w:tcBorders>
            <w:shd w:val="clear" w:color="000000" w:fill="FFFF00"/>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c>
          <w:tcPr>
            <w:tcW w:w="3532" w:type="dxa"/>
            <w:tcBorders>
              <w:top w:val="nil"/>
              <w:left w:val="nil"/>
              <w:bottom w:val="nil"/>
              <w:right w:val="nil"/>
            </w:tcBorders>
            <w:shd w:val="clear" w:color="000000" w:fill="FFFF00"/>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c>
          <w:tcPr>
            <w:tcW w:w="4010" w:type="dxa"/>
            <w:tcBorders>
              <w:top w:val="nil"/>
              <w:left w:val="nil"/>
              <w:bottom w:val="nil"/>
              <w:right w:val="nil"/>
            </w:tcBorders>
            <w:shd w:val="clear" w:color="000000" w:fill="FFFF00"/>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Transport injuries</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Road injury</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Pedestrian injury by road vehicle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V01-V04, V06,V09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Pedal cycle vehicle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V10-V19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Motorized vehicle with two wheels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V20-V29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Motorized vehicle with three or more wheels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V30-V79, V87.2-V87.3</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Road injury other</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V80, V82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Other transport injury</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V05,V81, V83-V86, V88.2, V88.3 , V91, V93-V98</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Unintentional injuries other than transport injuries</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Falls</w:t>
            </w:r>
          </w:p>
        </w:tc>
        <w:tc>
          <w:tcPr>
            <w:tcW w:w="3532"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W00-W19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Drowning</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V90, V92, W65-W74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Fire, heat and hot substances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X00-X19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Poisonings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X46-X48, X40, X43-X44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Exposure to mechanical forces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Mechanical forces (firearm)</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W32-W34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Mechanical forces (other)</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W24-W31, W45-W46</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Adverse effects of medical treatment</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Y40-Y84, Y88</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Animal contact</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Animal contact (venomous)</w:t>
            </w:r>
          </w:p>
        </w:tc>
        <w:tc>
          <w:tcPr>
            <w:tcW w:w="3532"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Animal contact (venomous)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X20-X29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xml:space="preserve">Animal contact </w:t>
            </w:r>
            <w:r w:rsidRPr="00AB0BE9">
              <w:rPr>
                <w:rFonts w:ascii="Calibri" w:eastAsia="Times New Roman" w:hAnsi="Calibri" w:cs="Calibri"/>
                <w:color w:val="000000"/>
                <w:sz w:val="16"/>
                <w:szCs w:val="16"/>
                <w:lang w:eastAsia="de-CH"/>
              </w:rPr>
              <w:lastRenderedPageBreak/>
              <w:t>(non-venomous)</w:t>
            </w:r>
          </w:p>
        </w:tc>
        <w:tc>
          <w:tcPr>
            <w:tcW w:w="3532"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lastRenderedPageBreak/>
              <w:t>Animal contact (non-venomous)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W53-W64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Unintentional injuries not classified elsewhere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W21, W39, W44, W49-W52, W75-W99, X50-X58</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Self-harm and interpersonal violence</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450"/>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Self-harm</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X70, X76-X77, X72-X74, X68, X71, X75, X78-X83, X60- X67, X69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Interpersonal violence</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Assault by firearm</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X93-X95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Assault by sharp object</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X99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Assault by other means</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X85-X92, X96-X98, Y00-Y08</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4848" w:type="dxa"/>
            <w:gridSpan w:val="3"/>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Forces of nature, war, and legal intervention</w:t>
            </w:r>
          </w:p>
        </w:tc>
        <w:tc>
          <w:tcPr>
            <w:tcW w:w="4010" w:type="dxa"/>
            <w:tcBorders>
              <w:top w:val="nil"/>
              <w:left w:val="nil"/>
              <w:bottom w:val="nil"/>
              <w:right w:val="nil"/>
            </w:tcBorders>
            <w:shd w:val="clear" w:color="000000" w:fill="8EA9DB"/>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c>
          <w:tcPr>
            <w:tcW w:w="3532"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Exposure to forces of nature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X30-X39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Collective violence and legal intervention</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Y36, Y89.1,Y35, Y89.0</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8858" w:type="dxa"/>
            <w:gridSpan w:val="4"/>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Verletzungen einer bestimmten Körperregion als Folge äusserer Ursachen</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Verletzungen des Kopfes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S00-S09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Verletzungen des Halses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S10-S19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Verletzungen des Thorax</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S20-S29</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Sonstiger Pneumothorax</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J93.8</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Pneumothorax, nicht näher bezeichnet</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J93.9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Verletzungen des Abdomens, der Lumbosakralgegend, der Lendenwirbelsäule und des Beckens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S30-S39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Verletzungen der Schulter und des Oberarmes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S40-S49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Verletzungen des Ellenbogens und des Unterarmes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S50-S59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Verletzungen des Handgelenks und der Hand</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S60-S69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Verletzungen der Hüfte und des Oberschenkels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S70-S79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Verletzungen des Knies und des Unterschenkels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S80-S89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Verletzungen der Knöchelregion und des Fusses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S90-S99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8858" w:type="dxa"/>
            <w:gridSpan w:val="4"/>
            <w:tcBorders>
              <w:top w:val="nil"/>
              <w:left w:val="nil"/>
              <w:bottom w:val="nil"/>
              <w:right w:val="nil"/>
            </w:tcBorders>
            <w:shd w:val="clear" w:color="000000" w:fill="8EA9DB"/>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Verletzungen mehrerer Körperregionen, Vergiftungen und bestimmte andere Folgen äusserer Ursachen</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Verletzungen mit Beteiligung mehrerer Körperregionen</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T00-T07</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Verletzungen nicht näher bezeichneter Teile des Rumpfes, der Extremitäten oder anderer Körperregionen</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T08-T14, Z09.4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Folgen des Eindringens eines Fremdkörpers durch eine natürliche Körperöffnung</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T15-T19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Verbrennungen oder Verätzungen</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T20-T32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Erfrierungen</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T33-T35</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Vergiftungen durch Arzneimittel, Drogen und biologisch aktive Substanzen</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T36-T50</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Toxische Leberkrankheit</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K71</w:t>
            </w:r>
          </w:p>
        </w:tc>
      </w:tr>
      <w:tr w:rsidR="00AB0BE9" w:rsidRPr="00AB0BE9" w:rsidTr="00E54A2B">
        <w:trPr>
          <w:trHeight w:val="67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Arzneimittel- und schwermetallinduzierte tubulointerstitielle und tubuläre Krankheitszustände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N14</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Toxische Wirkungen von vorwiegend nicht medizinisch verwendeten Substanzen</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G92, T51-T65, ZO3.6</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Sonstige und nicht näher bezeichnete Schäden durch äussere Ursachen</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T66-T78</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Hydrozephalus (erworben)</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G91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Bestimmte Frühkomplikationen eines Traumas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T79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Komplikationen bei chirurgischen Eingriffen und medizinischer Behandlung, anderenorts nicht klassifiziert</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T80-T88</w:t>
            </w:r>
          </w:p>
        </w:tc>
      </w:tr>
      <w:tr w:rsidR="00AB0BE9" w:rsidRPr="00AB0BE9" w:rsidTr="00E54A2B">
        <w:trPr>
          <w:trHeight w:val="67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Krankheiten des Urogenitalsystems nach medizinischen Maßnahmen, anderenorts nicht klassifiziert</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N99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Sonstige Komplikationen eines Traumas, anderenorts nicht klassifiziert</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T89</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Folgen von Verletzungen, Vergiftungen und sonstigen Auswirkungen äusserer Ursachen</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T90-T98, Z47</w:t>
            </w:r>
          </w:p>
        </w:tc>
      </w:tr>
      <w:tr w:rsidR="00AB0BE9" w:rsidRPr="00AB0BE9" w:rsidTr="00E54A2B">
        <w:trPr>
          <w:trHeight w:val="67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val="de-CH"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val="de-CH" w:eastAsia="de-CH"/>
              </w:rPr>
            </w:pPr>
            <w:r w:rsidRPr="00AB0BE9">
              <w:rPr>
                <w:rFonts w:ascii="Calibri" w:eastAsia="Times New Roman" w:hAnsi="Calibri" w:cs="Calibri"/>
                <w:color w:val="000000"/>
                <w:sz w:val="16"/>
                <w:szCs w:val="16"/>
                <w:lang w:val="de-CH" w:eastAsia="de-CH"/>
              </w:rPr>
              <w:t xml:space="preserve">Nachbehandlung unter Anwendung plastischer Chirurgie: Inkl.: Narbengewebeplastik Exkl.: Kosmetische </w:t>
            </w:r>
            <w:r w:rsidR="00E54A2B" w:rsidRPr="00E54A2B">
              <w:rPr>
                <w:rFonts w:ascii="Calibri" w:eastAsia="Times New Roman" w:hAnsi="Calibri" w:cs="Calibri"/>
                <w:color w:val="000000"/>
                <w:sz w:val="16"/>
                <w:szCs w:val="16"/>
                <w:lang w:val="de-CH" w:eastAsia="de-CH"/>
              </w:rPr>
              <w:t>Chi</w:t>
            </w:r>
            <w:r w:rsidRPr="00AB0BE9">
              <w:rPr>
                <w:rFonts w:ascii="Calibri" w:eastAsia="Times New Roman" w:hAnsi="Calibri" w:cs="Calibri"/>
                <w:color w:val="000000"/>
                <w:sz w:val="16"/>
                <w:szCs w:val="16"/>
                <w:lang w:val="de-CH" w:eastAsia="de-CH"/>
              </w:rPr>
              <w:t>rurgie</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Z42</w:t>
            </w:r>
          </w:p>
        </w:tc>
      </w:tr>
      <w:tr w:rsidR="006D4248" w:rsidRPr="00AB0BE9" w:rsidTr="00E54A2B">
        <w:trPr>
          <w:trHeight w:val="225"/>
        </w:trPr>
        <w:tc>
          <w:tcPr>
            <w:tcW w:w="9214" w:type="dxa"/>
            <w:gridSpan w:val="5"/>
            <w:tcBorders>
              <w:top w:val="nil"/>
              <w:left w:val="nil"/>
              <w:bottom w:val="nil"/>
              <w:right w:val="nil"/>
            </w:tcBorders>
            <w:shd w:val="clear" w:color="000000" w:fill="FFFF00"/>
            <w:noWrap/>
            <w:hideMark/>
          </w:tcPr>
          <w:p w:rsidR="006D4248" w:rsidRPr="00AB0BE9" w:rsidRDefault="006D4248" w:rsidP="00AB0BE9">
            <w:pPr>
              <w:spacing w:after="0" w:line="240" w:lineRule="auto"/>
              <w:rPr>
                <w:rFonts w:ascii="Calibri" w:eastAsia="Times New Roman" w:hAnsi="Calibri" w:cs="Calibri"/>
                <w:b/>
                <w:bCs/>
                <w:color w:val="000000"/>
                <w:sz w:val="16"/>
                <w:szCs w:val="16"/>
                <w:lang w:eastAsia="de-CH"/>
              </w:rPr>
            </w:pPr>
            <w:r w:rsidRPr="00AB0BE9">
              <w:rPr>
                <w:rFonts w:ascii="Calibri" w:eastAsia="Times New Roman" w:hAnsi="Calibri" w:cs="Calibri"/>
                <w:b/>
                <w:bCs/>
                <w:color w:val="000000"/>
                <w:sz w:val="16"/>
                <w:szCs w:val="16"/>
                <w:lang w:eastAsia="de-CH"/>
              </w:rPr>
              <w:t>Well care</w:t>
            </w:r>
          </w:p>
        </w:tc>
      </w:tr>
      <w:tr w:rsidR="00AB0BE9" w:rsidRPr="00AB0BE9" w:rsidTr="00E54A2B">
        <w:trPr>
          <w:trHeight w:val="67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Well pregnancy</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Z34-Z41, Z87.5, O09, O31-O32, O35.0-O35.2, O36, O41-O42, O47-O48, O60-O63, O68-O70, O71.0-O71.3, O73, O75, O80-O82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Well person</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 </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well newborn</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Z76.1-Z76.2</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well person</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Z00-Z02</w:t>
            </w:r>
          </w:p>
        </w:tc>
      </w:tr>
      <w:tr w:rsidR="00AB0BE9" w:rsidRPr="00AB0BE9" w:rsidTr="00E54A2B">
        <w:trPr>
          <w:trHeight w:val="225"/>
        </w:trPr>
        <w:tc>
          <w:tcPr>
            <w:tcW w:w="356"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917"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3532"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well dental</w:t>
            </w:r>
          </w:p>
        </w:tc>
        <w:tc>
          <w:tcPr>
            <w:tcW w:w="4010" w:type="dxa"/>
            <w:tcBorders>
              <w:top w:val="nil"/>
              <w:left w:val="nil"/>
              <w:bottom w:val="nil"/>
              <w:right w:val="nil"/>
            </w:tcBorders>
            <w:shd w:val="clear" w:color="auto" w:fill="auto"/>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Z01.2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Family planning</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Z30-Z31</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Counselling services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Z76.3-Z76.4, Z57-Z59, Z61, Z64, Z70, Z72</w:t>
            </w:r>
          </w:p>
        </w:tc>
      </w:tr>
      <w:tr w:rsidR="00AB0BE9" w:rsidRPr="00AB0BE9" w:rsidTr="00E54A2B">
        <w:trPr>
          <w:trHeight w:val="225"/>
        </w:trPr>
        <w:tc>
          <w:tcPr>
            <w:tcW w:w="356"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hideMark/>
          </w:tcPr>
          <w:p w:rsidR="00AB0BE9" w:rsidRPr="00AB0BE9" w:rsidRDefault="00AB0BE9"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Donor services</w:t>
            </w:r>
          </w:p>
        </w:tc>
        <w:tc>
          <w:tcPr>
            <w:tcW w:w="4010" w:type="dxa"/>
            <w:tcBorders>
              <w:top w:val="nil"/>
              <w:left w:val="nil"/>
              <w:bottom w:val="nil"/>
              <w:right w:val="nil"/>
            </w:tcBorders>
            <w:shd w:val="clear" w:color="000000" w:fill="D9E1F2"/>
            <w:hideMark/>
          </w:tcPr>
          <w:p w:rsidR="00AB0BE9" w:rsidRPr="00AB0BE9" w:rsidRDefault="00AB0BE9" w:rsidP="00AB0BE9">
            <w:pPr>
              <w:spacing w:after="0" w:line="240" w:lineRule="auto"/>
              <w:rPr>
                <w:rFonts w:ascii="Calibri" w:eastAsia="Times New Roman" w:hAnsi="Calibri" w:cs="Calibri"/>
                <w:color w:val="000000"/>
                <w:sz w:val="16"/>
                <w:szCs w:val="16"/>
                <w:lang w:eastAsia="de-CH"/>
              </w:rPr>
            </w:pPr>
            <w:r w:rsidRPr="00AB0BE9">
              <w:rPr>
                <w:rFonts w:ascii="Calibri" w:eastAsia="Times New Roman" w:hAnsi="Calibri" w:cs="Calibri"/>
                <w:color w:val="000000"/>
                <w:sz w:val="16"/>
                <w:szCs w:val="16"/>
                <w:lang w:eastAsia="de-CH"/>
              </w:rPr>
              <w:t>Z52</w:t>
            </w:r>
          </w:p>
        </w:tc>
      </w:tr>
      <w:tr w:rsidR="00E54A2B" w:rsidRPr="00AB0BE9" w:rsidTr="00E54A2B">
        <w:trPr>
          <w:trHeight w:val="225"/>
        </w:trPr>
        <w:tc>
          <w:tcPr>
            <w:tcW w:w="356" w:type="dxa"/>
            <w:tcBorders>
              <w:top w:val="nil"/>
              <w:left w:val="nil"/>
              <w:bottom w:val="nil"/>
              <w:right w:val="nil"/>
            </w:tcBorders>
            <w:shd w:val="clear" w:color="auto" w:fill="auto"/>
            <w:noWrap/>
          </w:tcPr>
          <w:p w:rsidR="00E54A2B" w:rsidRPr="00AB0BE9" w:rsidRDefault="00E54A2B" w:rsidP="00AB0BE9">
            <w:pPr>
              <w:spacing w:after="0" w:line="240" w:lineRule="auto"/>
              <w:rPr>
                <w:rFonts w:ascii="Calibri" w:eastAsia="Times New Roman" w:hAnsi="Calibri" w:cs="Calibri"/>
                <w:color w:val="000000"/>
                <w:sz w:val="16"/>
                <w:szCs w:val="16"/>
                <w:lang w:eastAsia="de-CH"/>
              </w:rPr>
            </w:pPr>
          </w:p>
        </w:tc>
        <w:tc>
          <w:tcPr>
            <w:tcW w:w="399" w:type="dxa"/>
            <w:tcBorders>
              <w:top w:val="nil"/>
              <w:left w:val="nil"/>
              <w:bottom w:val="nil"/>
              <w:right w:val="nil"/>
            </w:tcBorders>
            <w:shd w:val="clear" w:color="auto" w:fill="auto"/>
            <w:noWrap/>
          </w:tcPr>
          <w:p w:rsidR="00E54A2B" w:rsidRPr="00AB0BE9" w:rsidRDefault="00E54A2B" w:rsidP="00AB0BE9">
            <w:pPr>
              <w:spacing w:after="0" w:line="240" w:lineRule="auto"/>
              <w:rPr>
                <w:rFonts w:ascii="Times New Roman" w:eastAsia="Times New Roman" w:hAnsi="Times New Roman" w:cs="Times New Roman"/>
                <w:sz w:val="20"/>
                <w:szCs w:val="20"/>
                <w:lang w:eastAsia="de-CH"/>
              </w:rPr>
            </w:pPr>
          </w:p>
        </w:tc>
        <w:tc>
          <w:tcPr>
            <w:tcW w:w="4449" w:type="dxa"/>
            <w:gridSpan w:val="2"/>
            <w:tcBorders>
              <w:top w:val="nil"/>
              <w:left w:val="nil"/>
              <w:bottom w:val="nil"/>
              <w:right w:val="nil"/>
            </w:tcBorders>
            <w:shd w:val="clear" w:color="000000" w:fill="D9E1F2"/>
            <w:noWrap/>
          </w:tcPr>
          <w:p w:rsidR="00E54A2B" w:rsidRPr="00AB0BE9" w:rsidRDefault="00E54A2B" w:rsidP="00AB0BE9">
            <w:pPr>
              <w:spacing w:after="0" w:line="240" w:lineRule="auto"/>
              <w:rPr>
                <w:rFonts w:ascii="Calibri" w:eastAsia="Times New Roman" w:hAnsi="Calibri" w:cs="Calibri"/>
                <w:color w:val="000000"/>
                <w:sz w:val="16"/>
                <w:szCs w:val="16"/>
                <w:lang w:eastAsia="de-CH"/>
              </w:rPr>
            </w:pPr>
          </w:p>
        </w:tc>
        <w:tc>
          <w:tcPr>
            <w:tcW w:w="4010" w:type="dxa"/>
            <w:tcBorders>
              <w:top w:val="nil"/>
              <w:left w:val="nil"/>
              <w:bottom w:val="nil"/>
              <w:right w:val="nil"/>
            </w:tcBorders>
            <w:shd w:val="clear" w:color="000000" w:fill="D9E1F2"/>
          </w:tcPr>
          <w:p w:rsidR="00E54A2B" w:rsidRPr="00AB0BE9" w:rsidRDefault="00E54A2B" w:rsidP="00AB0BE9">
            <w:pPr>
              <w:spacing w:after="0" w:line="240" w:lineRule="auto"/>
              <w:rPr>
                <w:rFonts w:ascii="Calibri" w:eastAsia="Times New Roman" w:hAnsi="Calibri" w:cs="Calibri"/>
                <w:color w:val="000000"/>
                <w:sz w:val="16"/>
                <w:szCs w:val="16"/>
                <w:lang w:eastAsia="de-CH"/>
              </w:rPr>
            </w:pPr>
          </w:p>
        </w:tc>
      </w:tr>
    </w:tbl>
    <w:p w:rsidR="00E54A2B" w:rsidRDefault="00E54A2B" w:rsidP="00CD2758"/>
    <w:p w:rsidR="00E54A2B" w:rsidRPr="00E54A2B" w:rsidRDefault="00E54A2B" w:rsidP="00E54A2B">
      <w:pPr>
        <w:rPr>
          <w:sz w:val="20"/>
        </w:rPr>
      </w:pPr>
      <w:r w:rsidRPr="00E54A2B">
        <w:rPr>
          <w:sz w:val="20"/>
        </w:rPr>
        <w:t>* Codes used exclusively for Global Burden of Disease Study mortality (YLL)</w:t>
      </w:r>
    </w:p>
    <w:p w:rsidR="00E54A2B" w:rsidRPr="00E54A2B" w:rsidRDefault="00E54A2B" w:rsidP="00E54A2B">
      <w:pPr>
        <w:rPr>
          <w:sz w:val="20"/>
        </w:rPr>
      </w:pPr>
      <w:r w:rsidRPr="00E54A2B">
        <w:rPr>
          <w:sz w:val="20"/>
        </w:rPr>
        <w:t>** Codes used exclusively for Global Burden of Disease Study morbidity (YLD)</w:t>
      </w:r>
    </w:p>
    <w:p w:rsidR="001E0C2D" w:rsidRDefault="001E0C2D" w:rsidP="00C67EF4">
      <w:pPr>
        <w:pStyle w:val="Heading1"/>
        <w:numPr>
          <w:ilvl w:val="0"/>
          <w:numId w:val="0"/>
        </w:numPr>
      </w:pPr>
      <w:bookmarkStart w:id="6" w:name="_Toc503109257"/>
      <w:r>
        <w:lastRenderedPageBreak/>
        <w:t>References</w:t>
      </w:r>
      <w:bookmarkEnd w:id="6"/>
    </w:p>
    <w:p w:rsidR="00E86C5C" w:rsidRPr="00E86C5C" w:rsidRDefault="008C7B30" w:rsidP="00E86C5C">
      <w:pPr>
        <w:pStyle w:val="EndNoteBibliography"/>
        <w:spacing w:after="0"/>
        <w:ind w:left="720" w:hanging="720"/>
      </w:pPr>
      <w:r w:rsidRPr="008C7B30">
        <w:rPr>
          <w:rFonts w:eastAsiaTheme="minorEastAsia"/>
          <w:lang/>
        </w:rPr>
        <w:fldChar w:fldCharType="begin"/>
      </w:r>
      <w:r w:rsidR="00E86C5C">
        <w:rPr>
          <w:rFonts w:eastAsiaTheme="minorEastAsia"/>
          <w:lang/>
        </w:rPr>
        <w:instrText xml:space="preserve"> ADDIN EN.REFLIST </w:instrText>
      </w:r>
      <w:r w:rsidRPr="008C7B30">
        <w:rPr>
          <w:rFonts w:eastAsiaTheme="minorEastAsia"/>
          <w:lang/>
        </w:rPr>
        <w:fldChar w:fldCharType="separate"/>
      </w:r>
      <w:r w:rsidR="00E86C5C" w:rsidRPr="00E86C5C">
        <w:t>1.</w:t>
      </w:r>
      <w:r w:rsidR="00E86C5C" w:rsidRPr="00E86C5C">
        <w:tab/>
        <w:t xml:space="preserve">Swiss Federal Office of Statistics, </w:t>
      </w:r>
      <w:r w:rsidR="00E86C5C" w:rsidRPr="00E86C5C">
        <w:rPr>
          <w:i/>
        </w:rPr>
        <w:t>SOMED - Statistik der Sozialmedizinischen Institutionen</w:t>
      </w:r>
      <w:r w:rsidR="00E86C5C" w:rsidRPr="00E86C5C">
        <w:t>, Bundesamt für Statistik, Editor. 2011: Neuchâtel.</w:t>
      </w:r>
    </w:p>
    <w:p w:rsidR="00E86C5C" w:rsidRPr="00E86C5C" w:rsidRDefault="00E86C5C" w:rsidP="00E86C5C">
      <w:pPr>
        <w:pStyle w:val="EndNoteBibliography"/>
        <w:spacing w:after="0"/>
        <w:ind w:left="720" w:hanging="720"/>
      </w:pPr>
      <w:r w:rsidRPr="00E86C5C">
        <w:t>2.</w:t>
      </w:r>
      <w:r w:rsidRPr="00E86C5C">
        <w:tab/>
        <w:t xml:space="preserve">Huber, C.A., et al., </w:t>
      </w:r>
      <w:r w:rsidRPr="00E86C5C">
        <w:rPr>
          <w:i/>
        </w:rPr>
        <w:t>Identifying patients with chronic conditions using pharmacy data in Switzerland: an updated mapping approach to the classification of medications.</w:t>
      </w:r>
      <w:r w:rsidRPr="00E86C5C">
        <w:t xml:space="preserve"> BMC Publ Health, 2013. </w:t>
      </w:r>
      <w:r w:rsidRPr="00E86C5C">
        <w:rPr>
          <w:b/>
        </w:rPr>
        <w:t>13</w:t>
      </w:r>
      <w:r w:rsidRPr="00E86C5C">
        <w:t>(1): p. 1030.</w:t>
      </w:r>
    </w:p>
    <w:p w:rsidR="00E86C5C" w:rsidRPr="00E86C5C" w:rsidRDefault="00E86C5C" w:rsidP="00E86C5C">
      <w:pPr>
        <w:pStyle w:val="EndNoteBibliography"/>
        <w:ind w:left="720" w:hanging="720"/>
      </w:pPr>
      <w:r w:rsidRPr="00E86C5C">
        <w:t>3.</w:t>
      </w:r>
      <w:r w:rsidRPr="00E86C5C">
        <w:tab/>
        <w:t xml:space="preserve">Swiss Federal Office of Statistics, </w:t>
      </w:r>
      <w:r w:rsidRPr="00E86C5C">
        <w:rPr>
          <w:i/>
        </w:rPr>
        <w:t>Swiss Health Survey</w:t>
      </w:r>
      <w:r w:rsidRPr="00E86C5C">
        <w:t>. 2012, Swiss Federal Office of Statistics: Neuchâtel.</w:t>
      </w:r>
      <w:hyperlink r:id="rId8" w:history="1">
        <w:r w:rsidRPr="00E86C5C">
          <w:rPr>
            <w:rStyle w:val="Hyperlink"/>
          </w:rPr>
          <w:t>https://www.bfs.admin.ch/bfs/de/home/statistiken/gesundheit/erhebungen/sgb.html</w:t>
        </w:r>
      </w:hyperlink>
      <w:r w:rsidRPr="00E86C5C">
        <w:t>.</w:t>
      </w:r>
    </w:p>
    <w:p w:rsidR="008876E6" w:rsidRPr="00C061B4" w:rsidRDefault="008C7B30" w:rsidP="008876E6">
      <w:pPr>
        <w:rPr>
          <w:rFonts w:eastAsiaTheme="minorEastAsia"/>
          <w:lang/>
        </w:rPr>
      </w:pPr>
      <w:r>
        <w:rPr>
          <w:rFonts w:eastAsiaTheme="minorEastAsia"/>
          <w:lang/>
        </w:rPr>
        <w:fldChar w:fldCharType="end"/>
      </w:r>
    </w:p>
    <w:sectPr w:rsidR="008876E6" w:rsidRPr="00C061B4" w:rsidSect="008C7B3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80C" w:rsidRDefault="005E680C" w:rsidP="00320FBA">
      <w:r>
        <w:separator/>
      </w:r>
    </w:p>
  </w:endnote>
  <w:endnote w:type="continuationSeparator" w:id="0">
    <w:p w:rsidR="005E680C" w:rsidRDefault="005E680C" w:rsidP="00320F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159206"/>
      <w:docPartObj>
        <w:docPartGallery w:val="Page Numbers (Bottom of Page)"/>
        <w:docPartUnique/>
      </w:docPartObj>
    </w:sdtPr>
    <w:sdtEndPr>
      <w:rPr>
        <w:noProof/>
      </w:rPr>
    </w:sdtEndPr>
    <w:sdtContent>
      <w:p w:rsidR="005E680C" w:rsidRDefault="008C7B30" w:rsidP="00EB2E09">
        <w:pPr>
          <w:pStyle w:val="Footer"/>
          <w:jc w:val="center"/>
        </w:pPr>
        <w:r>
          <w:fldChar w:fldCharType="begin"/>
        </w:r>
        <w:r w:rsidR="005E680C">
          <w:instrText xml:space="preserve"> PAGE   \* MERGEFORMAT </w:instrText>
        </w:r>
        <w:r>
          <w:fldChar w:fldCharType="separate"/>
        </w:r>
        <w:r w:rsidR="0023097C">
          <w:rPr>
            <w:noProof/>
          </w:rPr>
          <w:t>13</w:t>
        </w:r>
        <w:r>
          <w:rPr>
            <w:noProof/>
          </w:rPr>
          <w:fldChar w:fldCharType="end"/>
        </w:r>
      </w:p>
    </w:sdtContent>
  </w:sdt>
  <w:p w:rsidR="005E680C" w:rsidRDefault="005E680C" w:rsidP="00320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80C" w:rsidRDefault="005E680C" w:rsidP="00320FBA">
      <w:r>
        <w:separator/>
      </w:r>
    </w:p>
  </w:footnote>
  <w:footnote w:type="continuationSeparator" w:id="0">
    <w:p w:rsidR="005E680C" w:rsidRDefault="005E680C" w:rsidP="00320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609A"/>
    <w:multiLevelType w:val="multilevel"/>
    <w:tmpl w:val="A5D2D7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0696245"/>
    <w:multiLevelType w:val="hybridMultilevel"/>
    <w:tmpl w:val="AD8EA9D4"/>
    <w:lvl w:ilvl="0" w:tplc="A712CB38">
      <w:start w:val="1"/>
      <w:numFmt w:val="bullet"/>
      <w:pStyle w:val="comm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6421B"/>
    <w:multiLevelType w:val="multilevel"/>
    <w:tmpl w:val="5DCCC34C"/>
    <w:lvl w:ilvl="0">
      <w:start w:val="1"/>
      <w:numFmt w:val="decimal"/>
      <w:pStyle w:val="polyberschrift1"/>
      <w:lvlText w:val="%1"/>
      <w:lvlJc w:val="left"/>
      <w:pPr>
        <w:tabs>
          <w:tab w:val="num" w:pos="425"/>
        </w:tabs>
        <w:ind w:left="425" w:hanging="425"/>
      </w:pPr>
      <w:rPr>
        <w:rFonts w:hint="default"/>
      </w:rPr>
    </w:lvl>
    <w:lvl w:ilvl="1">
      <w:start w:val="1"/>
      <w:numFmt w:val="decimal"/>
      <w:pStyle w:val="polyberschrift2"/>
      <w:lvlText w:val="%1.%2"/>
      <w:lvlJc w:val="left"/>
      <w:pPr>
        <w:tabs>
          <w:tab w:val="num" w:pos="567"/>
        </w:tabs>
        <w:ind w:left="567" w:hanging="567"/>
      </w:pPr>
      <w:rPr>
        <w:rFonts w:hint="default"/>
      </w:rPr>
    </w:lvl>
    <w:lvl w:ilvl="2">
      <w:start w:val="1"/>
      <w:numFmt w:val="decimal"/>
      <w:pStyle w:val="polyberschrift3"/>
      <w:lvlText w:val="%1.%2.%3"/>
      <w:lvlJc w:val="left"/>
      <w:pPr>
        <w:tabs>
          <w:tab w:val="num" w:pos="709"/>
        </w:tabs>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EAA3A21"/>
    <w:multiLevelType w:val="multilevel"/>
    <w:tmpl w:val="24041548"/>
    <w:styleLink w:val="Formatvorlage1"/>
    <w:lvl w:ilvl="0">
      <w:start w:val="1"/>
      <w:numFmt w:val="decimal"/>
      <w:pStyle w:val="Anhang"/>
      <w:lvlText w:val="Anhang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F3D3BC0"/>
    <w:multiLevelType w:val="hybridMultilevel"/>
    <w:tmpl w:val="8910B2D6"/>
    <w:lvl w:ilvl="0" w:tplc="0407000F">
      <w:start w:val="1"/>
      <w:numFmt w:val="bullet"/>
      <w:pStyle w:val="Striche"/>
      <w:lvlText w:val=""/>
      <w:lvlJc w:val="left"/>
      <w:pPr>
        <w:tabs>
          <w:tab w:val="num" w:pos="720"/>
        </w:tabs>
        <w:ind w:left="720" w:hanging="360"/>
      </w:pPr>
      <w:rPr>
        <w:rFonts w:ascii="Symbol" w:hAnsi="Symbol" w:hint="default"/>
      </w:rPr>
    </w:lvl>
    <w:lvl w:ilvl="1" w:tplc="04070019">
      <w:start w:val="1"/>
      <w:numFmt w:val="bullet"/>
      <w:lvlText w:val=""/>
      <w:lvlJc w:val="left"/>
      <w:pPr>
        <w:tabs>
          <w:tab w:val="num" w:pos="1443"/>
        </w:tabs>
        <w:ind w:left="1443" w:hanging="360"/>
      </w:pPr>
      <w:rPr>
        <w:rFonts w:ascii="Symbol" w:hAnsi="Symbol" w:hint="default"/>
      </w:rPr>
    </w:lvl>
    <w:lvl w:ilvl="2" w:tplc="334C6F5A" w:tentative="1">
      <w:start w:val="1"/>
      <w:numFmt w:val="bullet"/>
      <w:lvlText w:val=""/>
      <w:lvlJc w:val="left"/>
      <w:pPr>
        <w:tabs>
          <w:tab w:val="num" w:pos="2163"/>
        </w:tabs>
        <w:ind w:left="2163" w:hanging="360"/>
      </w:pPr>
      <w:rPr>
        <w:rFonts w:ascii="Wingdings" w:hAnsi="Wingdings" w:hint="default"/>
      </w:rPr>
    </w:lvl>
    <w:lvl w:ilvl="3" w:tplc="0407000F" w:tentative="1">
      <w:start w:val="1"/>
      <w:numFmt w:val="bullet"/>
      <w:lvlText w:val=""/>
      <w:lvlJc w:val="left"/>
      <w:pPr>
        <w:tabs>
          <w:tab w:val="num" w:pos="2883"/>
        </w:tabs>
        <w:ind w:left="2883" w:hanging="360"/>
      </w:pPr>
      <w:rPr>
        <w:rFonts w:ascii="Symbol" w:hAnsi="Symbol" w:hint="default"/>
      </w:rPr>
    </w:lvl>
    <w:lvl w:ilvl="4" w:tplc="04070019" w:tentative="1">
      <w:start w:val="1"/>
      <w:numFmt w:val="bullet"/>
      <w:lvlText w:val="o"/>
      <w:lvlJc w:val="left"/>
      <w:pPr>
        <w:tabs>
          <w:tab w:val="num" w:pos="3603"/>
        </w:tabs>
        <w:ind w:left="3603" w:hanging="360"/>
      </w:pPr>
      <w:rPr>
        <w:rFonts w:ascii="Courier New" w:hAnsi="Courier New" w:cs="Courier New" w:hint="default"/>
      </w:rPr>
    </w:lvl>
    <w:lvl w:ilvl="5" w:tplc="0407001B" w:tentative="1">
      <w:start w:val="1"/>
      <w:numFmt w:val="bullet"/>
      <w:lvlText w:val=""/>
      <w:lvlJc w:val="left"/>
      <w:pPr>
        <w:tabs>
          <w:tab w:val="num" w:pos="4323"/>
        </w:tabs>
        <w:ind w:left="4323" w:hanging="360"/>
      </w:pPr>
      <w:rPr>
        <w:rFonts w:ascii="Wingdings" w:hAnsi="Wingdings" w:hint="default"/>
      </w:rPr>
    </w:lvl>
    <w:lvl w:ilvl="6" w:tplc="0407000F" w:tentative="1">
      <w:start w:val="1"/>
      <w:numFmt w:val="bullet"/>
      <w:lvlText w:val=""/>
      <w:lvlJc w:val="left"/>
      <w:pPr>
        <w:tabs>
          <w:tab w:val="num" w:pos="5043"/>
        </w:tabs>
        <w:ind w:left="5043" w:hanging="360"/>
      </w:pPr>
      <w:rPr>
        <w:rFonts w:ascii="Symbol" w:hAnsi="Symbol" w:hint="default"/>
      </w:rPr>
    </w:lvl>
    <w:lvl w:ilvl="7" w:tplc="04070019" w:tentative="1">
      <w:start w:val="1"/>
      <w:numFmt w:val="bullet"/>
      <w:lvlText w:val="o"/>
      <w:lvlJc w:val="left"/>
      <w:pPr>
        <w:tabs>
          <w:tab w:val="num" w:pos="5763"/>
        </w:tabs>
        <w:ind w:left="5763" w:hanging="360"/>
      </w:pPr>
      <w:rPr>
        <w:rFonts w:ascii="Courier New" w:hAnsi="Courier New" w:cs="Courier New" w:hint="default"/>
      </w:rPr>
    </w:lvl>
    <w:lvl w:ilvl="8" w:tplc="0407001B" w:tentative="1">
      <w:start w:val="1"/>
      <w:numFmt w:val="bullet"/>
      <w:lvlText w:val=""/>
      <w:lvlJc w:val="left"/>
      <w:pPr>
        <w:tabs>
          <w:tab w:val="num" w:pos="6483"/>
        </w:tabs>
        <w:ind w:left="6483" w:hanging="360"/>
      </w:pPr>
      <w:rPr>
        <w:rFonts w:ascii="Wingdings" w:hAnsi="Wingdings" w:hint="default"/>
      </w:rPr>
    </w:lvl>
  </w:abstractNum>
  <w:abstractNum w:abstractNumId="5">
    <w:nsid w:val="411D4303"/>
    <w:multiLevelType w:val="hybridMultilevel"/>
    <w:tmpl w:val="3E407AD8"/>
    <w:lvl w:ilvl="0" w:tplc="5B90F566">
      <w:start w:val="15"/>
      <w:numFmt w:val="bullet"/>
      <w:pStyle w:val="ListParagraph"/>
      <w:lvlText w:val="-"/>
      <w:lvlJc w:val="left"/>
      <w:pPr>
        <w:ind w:left="360" w:hanging="360"/>
      </w:pPr>
      <w:rPr>
        <w:rFonts w:ascii="Calibri" w:eastAsiaTheme="minorHAnsi" w:hAnsi="Calibri" w:cs="Calibri"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016C1C"/>
    <w:multiLevelType w:val="hybridMultilevel"/>
    <w:tmpl w:val="8B968770"/>
    <w:lvl w:ilvl="0" w:tplc="47A88E62">
      <w:start w:val="1"/>
      <w:numFmt w:val="decimal"/>
      <w:pStyle w:val="NummerierteAufzhlung"/>
      <w:lvlText w:val="Anhang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5C9162ED"/>
    <w:multiLevelType w:val="multilevel"/>
    <w:tmpl w:val="24041548"/>
    <w:numStyleLink w:val="Formatvorlage1"/>
  </w:abstractNum>
  <w:abstractNum w:abstractNumId="8">
    <w:nsid w:val="5E6504D9"/>
    <w:multiLevelType w:val="hybridMultilevel"/>
    <w:tmpl w:val="DB943FCA"/>
    <w:lvl w:ilvl="0" w:tplc="48D2EE1A">
      <w:start w:val="1"/>
      <w:numFmt w:val="decimal"/>
      <w:pStyle w:val="ListemitNummern"/>
      <w:lvlText w:val="%1."/>
      <w:lvlJc w:val="left"/>
      <w:pPr>
        <w:ind w:left="360" w:hanging="360"/>
      </w:pPr>
      <w:rPr>
        <w:rFonts w:hint="default"/>
      </w:rPr>
    </w:lvl>
    <w:lvl w:ilvl="1" w:tplc="08070001">
      <w:start w:val="1"/>
      <w:numFmt w:val="bullet"/>
      <w:lvlText w:val=""/>
      <w:lvlJc w:val="left"/>
      <w:pPr>
        <w:ind w:left="107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704B4B6C"/>
    <w:multiLevelType w:val="hybridMultilevel"/>
    <w:tmpl w:val="FD38EB54"/>
    <w:lvl w:ilvl="0" w:tplc="A858D352">
      <w:start w:val="1"/>
      <w:numFmt w:val="bullet"/>
      <w:pStyle w:val="Punkte"/>
      <w:lvlText w:val=""/>
      <w:lvlJc w:val="left"/>
      <w:pPr>
        <w:ind w:left="360" w:hanging="360"/>
      </w:pPr>
      <w:rPr>
        <w:rFonts w:ascii="Symbol" w:hAnsi="Symbol" w:hint="default"/>
      </w:rPr>
    </w:lvl>
    <w:lvl w:ilvl="1" w:tplc="08070001">
      <w:start w:val="1"/>
      <w:numFmt w:val="bullet"/>
      <w:pStyle w:val="Pfleile"/>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744C51A7"/>
    <w:multiLevelType w:val="hybridMultilevel"/>
    <w:tmpl w:val="4F9448C4"/>
    <w:lvl w:ilvl="0" w:tplc="5B90F566">
      <w:start w:val="15"/>
      <w:numFmt w:val="bullet"/>
      <w:pStyle w:val="EinzinTab"/>
      <w:lvlText w:val="-"/>
      <w:lvlJc w:val="left"/>
      <w:pPr>
        <w:ind w:left="360" w:hanging="360"/>
      </w:pPr>
      <w:rPr>
        <w:rFonts w:ascii="Calibri" w:eastAsiaTheme="minorHAnsi" w:hAnsi="Calibri" w:cs="Calibri" w:hint="default"/>
      </w:rPr>
    </w:lvl>
    <w:lvl w:ilvl="1" w:tplc="680609A6">
      <w:start w:val="15"/>
      <w:numFmt w:val="bullet"/>
      <w:lvlText w:val="-"/>
      <w:lvlJc w:val="left"/>
      <w:pPr>
        <w:ind w:left="1080" w:hanging="360"/>
      </w:pPr>
      <w:rPr>
        <w:rFonts w:ascii="Calibri" w:eastAsiaTheme="minorHAnsi" w:hAnsi="Calibri" w:cs="Calibri"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
  </w:num>
  <w:num w:numId="4">
    <w:abstractNumId w:val="0"/>
  </w:num>
  <w:num w:numId="5">
    <w:abstractNumId w:val="9"/>
  </w:num>
  <w:num w:numId="6">
    <w:abstractNumId w:val="8"/>
  </w:num>
  <w:num w:numId="7">
    <w:abstractNumId w:val="4"/>
  </w:num>
  <w:num w:numId="8">
    <w:abstractNumId w:val="2"/>
  </w:num>
  <w:num w:numId="9">
    <w:abstractNumId w:val="6"/>
  </w:num>
  <w:num w:numId="10">
    <w:abstractNumId w:val="3"/>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activeWritingStyle w:appName="MSWord" w:lang="en-US"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wd9s5eg2xtvveaepzvf290etdf2a0aazpa&quot;&gt;Lit BAG NCDs&lt;record-ids&gt;&lt;item&gt;78&lt;/item&gt;&lt;item&gt;99&lt;/item&gt;&lt;item&gt;197&lt;/item&gt;&lt;/record-ids&gt;&lt;/item&gt;&lt;/Libraries&gt;"/>
  </w:docVars>
  <w:rsids>
    <w:rsidRoot w:val="0038151C"/>
    <w:rsid w:val="00003580"/>
    <w:rsid w:val="00005426"/>
    <w:rsid w:val="00005C4B"/>
    <w:rsid w:val="000121C0"/>
    <w:rsid w:val="0001540E"/>
    <w:rsid w:val="000158C5"/>
    <w:rsid w:val="00017108"/>
    <w:rsid w:val="00021B2F"/>
    <w:rsid w:val="0002352B"/>
    <w:rsid w:val="000239FD"/>
    <w:rsid w:val="000241C0"/>
    <w:rsid w:val="00026653"/>
    <w:rsid w:val="0003133C"/>
    <w:rsid w:val="0003393A"/>
    <w:rsid w:val="0004311D"/>
    <w:rsid w:val="000523BB"/>
    <w:rsid w:val="0005283F"/>
    <w:rsid w:val="000549B9"/>
    <w:rsid w:val="0005564C"/>
    <w:rsid w:val="00055A1C"/>
    <w:rsid w:val="000577C0"/>
    <w:rsid w:val="00057AE4"/>
    <w:rsid w:val="00057CAF"/>
    <w:rsid w:val="00065955"/>
    <w:rsid w:val="00065ACE"/>
    <w:rsid w:val="000666F2"/>
    <w:rsid w:val="00072A34"/>
    <w:rsid w:val="00074A30"/>
    <w:rsid w:val="000774AF"/>
    <w:rsid w:val="000809AF"/>
    <w:rsid w:val="00083888"/>
    <w:rsid w:val="00086069"/>
    <w:rsid w:val="00090158"/>
    <w:rsid w:val="00091B19"/>
    <w:rsid w:val="000943BF"/>
    <w:rsid w:val="00094B41"/>
    <w:rsid w:val="000966DA"/>
    <w:rsid w:val="000A2DBB"/>
    <w:rsid w:val="000A2F0F"/>
    <w:rsid w:val="000B2477"/>
    <w:rsid w:val="000B2B95"/>
    <w:rsid w:val="000B3B44"/>
    <w:rsid w:val="000B4763"/>
    <w:rsid w:val="000B48C8"/>
    <w:rsid w:val="000B4A2D"/>
    <w:rsid w:val="000B5A30"/>
    <w:rsid w:val="000B78C4"/>
    <w:rsid w:val="000B7FDC"/>
    <w:rsid w:val="000C0B65"/>
    <w:rsid w:val="000C1769"/>
    <w:rsid w:val="000D055C"/>
    <w:rsid w:val="000D541C"/>
    <w:rsid w:val="000D5C3E"/>
    <w:rsid w:val="000D69A2"/>
    <w:rsid w:val="000E2BDC"/>
    <w:rsid w:val="000E4632"/>
    <w:rsid w:val="000F2FF0"/>
    <w:rsid w:val="001044CF"/>
    <w:rsid w:val="001158B5"/>
    <w:rsid w:val="00121E6B"/>
    <w:rsid w:val="00122800"/>
    <w:rsid w:val="00126A6B"/>
    <w:rsid w:val="00127CF9"/>
    <w:rsid w:val="001337D8"/>
    <w:rsid w:val="0013446F"/>
    <w:rsid w:val="00134A76"/>
    <w:rsid w:val="00136964"/>
    <w:rsid w:val="001405D3"/>
    <w:rsid w:val="00150583"/>
    <w:rsid w:val="001527C8"/>
    <w:rsid w:val="00170649"/>
    <w:rsid w:val="00170852"/>
    <w:rsid w:val="00170B5F"/>
    <w:rsid w:val="00181AC6"/>
    <w:rsid w:val="001879D8"/>
    <w:rsid w:val="001B330D"/>
    <w:rsid w:val="001B3EA9"/>
    <w:rsid w:val="001B48C0"/>
    <w:rsid w:val="001B5D04"/>
    <w:rsid w:val="001B6818"/>
    <w:rsid w:val="001C0328"/>
    <w:rsid w:val="001C0E8B"/>
    <w:rsid w:val="001C5F83"/>
    <w:rsid w:val="001C6E55"/>
    <w:rsid w:val="001D1999"/>
    <w:rsid w:val="001D1DDB"/>
    <w:rsid w:val="001D65A9"/>
    <w:rsid w:val="001D6C89"/>
    <w:rsid w:val="001E0C2D"/>
    <w:rsid w:val="001F1921"/>
    <w:rsid w:val="00204AFC"/>
    <w:rsid w:val="00221004"/>
    <w:rsid w:val="00221085"/>
    <w:rsid w:val="00225BD7"/>
    <w:rsid w:val="00226AA7"/>
    <w:rsid w:val="0023097C"/>
    <w:rsid w:val="00230A31"/>
    <w:rsid w:val="00231956"/>
    <w:rsid w:val="00233F7A"/>
    <w:rsid w:val="00241FA5"/>
    <w:rsid w:val="0024408D"/>
    <w:rsid w:val="00246DC0"/>
    <w:rsid w:val="002471DE"/>
    <w:rsid w:val="00251976"/>
    <w:rsid w:val="0025624B"/>
    <w:rsid w:val="002573A0"/>
    <w:rsid w:val="00260E73"/>
    <w:rsid w:val="00264F67"/>
    <w:rsid w:val="00265340"/>
    <w:rsid w:val="00267D57"/>
    <w:rsid w:val="00267DE3"/>
    <w:rsid w:val="002708B9"/>
    <w:rsid w:val="00270E74"/>
    <w:rsid w:val="00273871"/>
    <w:rsid w:val="00277D22"/>
    <w:rsid w:val="00286157"/>
    <w:rsid w:val="00291B92"/>
    <w:rsid w:val="00292B56"/>
    <w:rsid w:val="002A3FB3"/>
    <w:rsid w:val="002A63AA"/>
    <w:rsid w:val="002B1A33"/>
    <w:rsid w:val="002B549C"/>
    <w:rsid w:val="002B658C"/>
    <w:rsid w:val="002B7605"/>
    <w:rsid w:val="002C01C3"/>
    <w:rsid w:val="002C2545"/>
    <w:rsid w:val="002C53E5"/>
    <w:rsid w:val="002C6FBC"/>
    <w:rsid w:val="002E2EC3"/>
    <w:rsid w:val="002E3E1B"/>
    <w:rsid w:val="002E446A"/>
    <w:rsid w:val="002E4ACB"/>
    <w:rsid w:val="002E4ADE"/>
    <w:rsid w:val="002E7D96"/>
    <w:rsid w:val="002F05F9"/>
    <w:rsid w:val="002F6DD0"/>
    <w:rsid w:val="00304753"/>
    <w:rsid w:val="00305663"/>
    <w:rsid w:val="0031066D"/>
    <w:rsid w:val="00313EC0"/>
    <w:rsid w:val="00315C7A"/>
    <w:rsid w:val="0031642C"/>
    <w:rsid w:val="003168CA"/>
    <w:rsid w:val="00320813"/>
    <w:rsid w:val="00320FBA"/>
    <w:rsid w:val="003230E6"/>
    <w:rsid w:val="003356B0"/>
    <w:rsid w:val="00335993"/>
    <w:rsid w:val="0034594F"/>
    <w:rsid w:val="0034779A"/>
    <w:rsid w:val="00350B05"/>
    <w:rsid w:val="00355264"/>
    <w:rsid w:val="003556F6"/>
    <w:rsid w:val="003603E4"/>
    <w:rsid w:val="003628F4"/>
    <w:rsid w:val="00364B95"/>
    <w:rsid w:val="0036781B"/>
    <w:rsid w:val="003712E2"/>
    <w:rsid w:val="003714F9"/>
    <w:rsid w:val="003719F5"/>
    <w:rsid w:val="00373151"/>
    <w:rsid w:val="0037779D"/>
    <w:rsid w:val="0038151C"/>
    <w:rsid w:val="0038274D"/>
    <w:rsid w:val="003847A4"/>
    <w:rsid w:val="0038539A"/>
    <w:rsid w:val="003860BE"/>
    <w:rsid w:val="003A0FD2"/>
    <w:rsid w:val="003A548E"/>
    <w:rsid w:val="003A591D"/>
    <w:rsid w:val="003A641A"/>
    <w:rsid w:val="003A761E"/>
    <w:rsid w:val="003B1AD0"/>
    <w:rsid w:val="003B3A79"/>
    <w:rsid w:val="003C14B0"/>
    <w:rsid w:val="003C6064"/>
    <w:rsid w:val="003D3993"/>
    <w:rsid w:val="003D4FB9"/>
    <w:rsid w:val="003D67BE"/>
    <w:rsid w:val="003E4822"/>
    <w:rsid w:val="003E7BB6"/>
    <w:rsid w:val="003F0629"/>
    <w:rsid w:val="003F44C8"/>
    <w:rsid w:val="003F551B"/>
    <w:rsid w:val="003F749E"/>
    <w:rsid w:val="00401B2A"/>
    <w:rsid w:val="00407616"/>
    <w:rsid w:val="004104D0"/>
    <w:rsid w:val="00412F29"/>
    <w:rsid w:val="0041489F"/>
    <w:rsid w:val="00416CE9"/>
    <w:rsid w:val="0041740F"/>
    <w:rsid w:val="00417DAE"/>
    <w:rsid w:val="00420AF4"/>
    <w:rsid w:val="00425117"/>
    <w:rsid w:val="00427E9A"/>
    <w:rsid w:val="00430826"/>
    <w:rsid w:val="00444AF3"/>
    <w:rsid w:val="004558AE"/>
    <w:rsid w:val="00456CCB"/>
    <w:rsid w:val="00457BCC"/>
    <w:rsid w:val="00462349"/>
    <w:rsid w:val="00463457"/>
    <w:rsid w:val="00463842"/>
    <w:rsid w:val="00465697"/>
    <w:rsid w:val="0046569C"/>
    <w:rsid w:val="0047457D"/>
    <w:rsid w:val="0047551B"/>
    <w:rsid w:val="00476F49"/>
    <w:rsid w:val="00490092"/>
    <w:rsid w:val="00494965"/>
    <w:rsid w:val="00494BD4"/>
    <w:rsid w:val="004977CB"/>
    <w:rsid w:val="004A397D"/>
    <w:rsid w:val="004A70CB"/>
    <w:rsid w:val="004B271F"/>
    <w:rsid w:val="004B2D84"/>
    <w:rsid w:val="004B4969"/>
    <w:rsid w:val="004B7A66"/>
    <w:rsid w:val="004C3EB7"/>
    <w:rsid w:val="004C433D"/>
    <w:rsid w:val="004D4CA3"/>
    <w:rsid w:val="004D6381"/>
    <w:rsid w:val="004D6642"/>
    <w:rsid w:val="004E0E67"/>
    <w:rsid w:val="004E290C"/>
    <w:rsid w:val="004E34A9"/>
    <w:rsid w:val="004E4967"/>
    <w:rsid w:val="004F0D29"/>
    <w:rsid w:val="004F1BBB"/>
    <w:rsid w:val="004F1CF5"/>
    <w:rsid w:val="004F2A54"/>
    <w:rsid w:val="004F5DD3"/>
    <w:rsid w:val="00500175"/>
    <w:rsid w:val="005003EF"/>
    <w:rsid w:val="005006A9"/>
    <w:rsid w:val="0050166A"/>
    <w:rsid w:val="00501E57"/>
    <w:rsid w:val="0051141A"/>
    <w:rsid w:val="005218E2"/>
    <w:rsid w:val="00523281"/>
    <w:rsid w:val="00523F27"/>
    <w:rsid w:val="00525154"/>
    <w:rsid w:val="005275C7"/>
    <w:rsid w:val="0053006C"/>
    <w:rsid w:val="0053285D"/>
    <w:rsid w:val="00533071"/>
    <w:rsid w:val="00533BAA"/>
    <w:rsid w:val="00534CEB"/>
    <w:rsid w:val="005431F4"/>
    <w:rsid w:val="00546B30"/>
    <w:rsid w:val="00547EC9"/>
    <w:rsid w:val="00551006"/>
    <w:rsid w:val="005560DE"/>
    <w:rsid w:val="0056223C"/>
    <w:rsid w:val="00563DC0"/>
    <w:rsid w:val="0056512D"/>
    <w:rsid w:val="00566A6C"/>
    <w:rsid w:val="00581A68"/>
    <w:rsid w:val="00582291"/>
    <w:rsid w:val="00583478"/>
    <w:rsid w:val="00584A72"/>
    <w:rsid w:val="00587655"/>
    <w:rsid w:val="0059564D"/>
    <w:rsid w:val="0059619C"/>
    <w:rsid w:val="005A0BA5"/>
    <w:rsid w:val="005A2847"/>
    <w:rsid w:val="005A30D1"/>
    <w:rsid w:val="005A4724"/>
    <w:rsid w:val="005A4BD8"/>
    <w:rsid w:val="005A5435"/>
    <w:rsid w:val="005A54A9"/>
    <w:rsid w:val="005A6BD9"/>
    <w:rsid w:val="005B244A"/>
    <w:rsid w:val="005B499D"/>
    <w:rsid w:val="005B75DA"/>
    <w:rsid w:val="005C074D"/>
    <w:rsid w:val="005C0823"/>
    <w:rsid w:val="005D33C2"/>
    <w:rsid w:val="005D3623"/>
    <w:rsid w:val="005E0C2C"/>
    <w:rsid w:val="005E680C"/>
    <w:rsid w:val="005F217D"/>
    <w:rsid w:val="005F5303"/>
    <w:rsid w:val="005F6E64"/>
    <w:rsid w:val="005F74F1"/>
    <w:rsid w:val="00601E70"/>
    <w:rsid w:val="006021C3"/>
    <w:rsid w:val="006066E3"/>
    <w:rsid w:val="006072CB"/>
    <w:rsid w:val="0060784A"/>
    <w:rsid w:val="00614E7C"/>
    <w:rsid w:val="006227E9"/>
    <w:rsid w:val="00623077"/>
    <w:rsid w:val="00630B3C"/>
    <w:rsid w:val="00632B80"/>
    <w:rsid w:val="006350D3"/>
    <w:rsid w:val="00641A07"/>
    <w:rsid w:val="00644856"/>
    <w:rsid w:val="00651B54"/>
    <w:rsid w:val="00661F32"/>
    <w:rsid w:val="00663643"/>
    <w:rsid w:val="00665338"/>
    <w:rsid w:val="0066587F"/>
    <w:rsid w:val="006674D1"/>
    <w:rsid w:val="00681556"/>
    <w:rsid w:val="00681B30"/>
    <w:rsid w:val="0068717B"/>
    <w:rsid w:val="0069168E"/>
    <w:rsid w:val="00693592"/>
    <w:rsid w:val="00693E6E"/>
    <w:rsid w:val="00696251"/>
    <w:rsid w:val="00697CEB"/>
    <w:rsid w:val="006A1050"/>
    <w:rsid w:val="006A29DB"/>
    <w:rsid w:val="006B19E0"/>
    <w:rsid w:val="006B1DAB"/>
    <w:rsid w:val="006B3806"/>
    <w:rsid w:val="006B421B"/>
    <w:rsid w:val="006B4681"/>
    <w:rsid w:val="006C1B65"/>
    <w:rsid w:val="006C2181"/>
    <w:rsid w:val="006D15BC"/>
    <w:rsid w:val="006D4248"/>
    <w:rsid w:val="006D4930"/>
    <w:rsid w:val="006D50DF"/>
    <w:rsid w:val="006E041A"/>
    <w:rsid w:val="006E5E68"/>
    <w:rsid w:val="006E6AFF"/>
    <w:rsid w:val="006E7E29"/>
    <w:rsid w:val="006F2E05"/>
    <w:rsid w:val="006F449A"/>
    <w:rsid w:val="007007A1"/>
    <w:rsid w:val="00701D41"/>
    <w:rsid w:val="00702C14"/>
    <w:rsid w:val="00704106"/>
    <w:rsid w:val="00706F4D"/>
    <w:rsid w:val="00707E2F"/>
    <w:rsid w:val="00710C36"/>
    <w:rsid w:val="00711BC1"/>
    <w:rsid w:val="00716AB4"/>
    <w:rsid w:val="00717487"/>
    <w:rsid w:val="007327AE"/>
    <w:rsid w:val="00732F9E"/>
    <w:rsid w:val="00746210"/>
    <w:rsid w:val="0074739A"/>
    <w:rsid w:val="007515EF"/>
    <w:rsid w:val="00753DB0"/>
    <w:rsid w:val="007560AA"/>
    <w:rsid w:val="00757212"/>
    <w:rsid w:val="00760DE6"/>
    <w:rsid w:val="00765663"/>
    <w:rsid w:val="007670CB"/>
    <w:rsid w:val="007704A2"/>
    <w:rsid w:val="007727F5"/>
    <w:rsid w:val="00773212"/>
    <w:rsid w:val="0077413A"/>
    <w:rsid w:val="00774858"/>
    <w:rsid w:val="0077572C"/>
    <w:rsid w:val="00781196"/>
    <w:rsid w:val="00782527"/>
    <w:rsid w:val="007840FF"/>
    <w:rsid w:val="00791A07"/>
    <w:rsid w:val="007B0732"/>
    <w:rsid w:val="007B22C3"/>
    <w:rsid w:val="007C0072"/>
    <w:rsid w:val="007C0DE1"/>
    <w:rsid w:val="007C3609"/>
    <w:rsid w:val="007C3F7C"/>
    <w:rsid w:val="007C524E"/>
    <w:rsid w:val="007C5E4D"/>
    <w:rsid w:val="007F0774"/>
    <w:rsid w:val="007F3587"/>
    <w:rsid w:val="00800F09"/>
    <w:rsid w:val="00802F1A"/>
    <w:rsid w:val="00805836"/>
    <w:rsid w:val="00807040"/>
    <w:rsid w:val="00807791"/>
    <w:rsid w:val="00807E31"/>
    <w:rsid w:val="008110C9"/>
    <w:rsid w:val="00812216"/>
    <w:rsid w:val="00814146"/>
    <w:rsid w:val="008142DC"/>
    <w:rsid w:val="0081585D"/>
    <w:rsid w:val="0081660E"/>
    <w:rsid w:val="00830DF7"/>
    <w:rsid w:val="0085244D"/>
    <w:rsid w:val="00857EA8"/>
    <w:rsid w:val="00867065"/>
    <w:rsid w:val="00870B71"/>
    <w:rsid w:val="008765E7"/>
    <w:rsid w:val="00882CA6"/>
    <w:rsid w:val="008876E6"/>
    <w:rsid w:val="0089158D"/>
    <w:rsid w:val="00892863"/>
    <w:rsid w:val="00893B32"/>
    <w:rsid w:val="008A01C0"/>
    <w:rsid w:val="008A01C4"/>
    <w:rsid w:val="008A0C0B"/>
    <w:rsid w:val="008A4465"/>
    <w:rsid w:val="008A508F"/>
    <w:rsid w:val="008B0743"/>
    <w:rsid w:val="008B24B3"/>
    <w:rsid w:val="008B3FD5"/>
    <w:rsid w:val="008B6F95"/>
    <w:rsid w:val="008B737B"/>
    <w:rsid w:val="008C1432"/>
    <w:rsid w:val="008C1A06"/>
    <w:rsid w:val="008C3BEB"/>
    <w:rsid w:val="008C54B4"/>
    <w:rsid w:val="008C67FD"/>
    <w:rsid w:val="008C7B30"/>
    <w:rsid w:val="008D25ED"/>
    <w:rsid w:val="008D3F2E"/>
    <w:rsid w:val="008D5CDA"/>
    <w:rsid w:val="008E2075"/>
    <w:rsid w:val="008E2D52"/>
    <w:rsid w:val="008E4C4A"/>
    <w:rsid w:val="008E6BFF"/>
    <w:rsid w:val="008E7080"/>
    <w:rsid w:val="008E7EC4"/>
    <w:rsid w:val="008F546F"/>
    <w:rsid w:val="008F5CFE"/>
    <w:rsid w:val="008F7A83"/>
    <w:rsid w:val="0090086C"/>
    <w:rsid w:val="00900A3B"/>
    <w:rsid w:val="0090499A"/>
    <w:rsid w:val="00905196"/>
    <w:rsid w:val="00906277"/>
    <w:rsid w:val="009118F8"/>
    <w:rsid w:val="00911EC3"/>
    <w:rsid w:val="00912880"/>
    <w:rsid w:val="00912AA9"/>
    <w:rsid w:val="00915D51"/>
    <w:rsid w:val="00920A4C"/>
    <w:rsid w:val="0092169D"/>
    <w:rsid w:val="00923205"/>
    <w:rsid w:val="00924D70"/>
    <w:rsid w:val="00926B88"/>
    <w:rsid w:val="00927DC5"/>
    <w:rsid w:val="00930AE9"/>
    <w:rsid w:val="00937B1F"/>
    <w:rsid w:val="00943878"/>
    <w:rsid w:val="00943E2F"/>
    <w:rsid w:val="009447BA"/>
    <w:rsid w:val="00952D1A"/>
    <w:rsid w:val="00962600"/>
    <w:rsid w:val="0096638C"/>
    <w:rsid w:val="00967DCE"/>
    <w:rsid w:val="009736B2"/>
    <w:rsid w:val="00976E39"/>
    <w:rsid w:val="0098048D"/>
    <w:rsid w:val="00980FC3"/>
    <w:rsid w:val="0098119D"/>
    <w:rsid w:val="00982767"/>
    <w:rsid w:val="009850B0"/>
    <w:rsid w:val="009870AF"/>
    <w:rsid w:val="00990E15"/>
    <w:rsid w:val="00991462"/>
    <w:rsid w:val="00991A89"/>
    <w:rsid w:val="00996F9E"/>
    <w:rsid w:val="00997FFC"/>
    <w:rsid w:val="009A12C2"/>
    <w:rsid w:val="009A38B9"/>
    <w:rsid w:val="009A4911"/>
    <w:rsid w:val="009A5AAF"/>
    <w:rsid w:val="009A7E44"/>
    <w:rsid w:val="009A7FBC"/>
    <w:rsid w:val="009B183B"/>
    <w:rsid w:val="009B2CFF"/>
    <w:rsid w:val="009B3378"/>
    <w:rsid w:val="009B3C88"/>
    <w:rsid w:val="009B5436"/>
    <w:rsid w:val="009B5BBC"/>
    <w:rsid w:val="009C0E79"/>
    <w:rsid w:val="009C3A1D"/>
    <w:rsid w:val="009C5454"/>
    <w:rsid w:val="009C63B3"/>
    <w:rsid w:val="009C6EF8"/>
    <w:rsid w:val="009C72A1"/>
    <w:rsid w:val="009D1A98"/>
    <w:rsid w:val="009D3259"/>
    <w:rsid w:val="009D7F52"/>
    <w:rsid w:val="009E0092"/>
    <w:rsid w:val="009E20F4"/>
    <w:rsid w:val="009E25CC"/>
    <w:rsid w:val="009E6DE3"/>
    <w:rsid w:val="009F1F31"/>
    <w:rsid w:val="009F2B5D"/>
    <w:rsid w:val="009F3E4B"/>
    <w:rsid w:val="009F46DF"/>
    <w:rsid w:val="009F53EC"/>
    <w:rsid w:val="009F6499"/>
    <w:rsid w:val="009F7A01"/>
    <w:rsid w:val="00A028A5"/>
    <w:rsid w:val="00A05588"/>
    <w:rsid w:val="00A06133"/>
    <w:rsid w:val="00A07542"/>
    <w:rsid w:val="00A11587"/>
    <w:rsid w:val="00A14DF3"/>
    <w:rsid w:val="00A21011"/>
    <w:rsid w:val="00A23211"/>
    <w:rsid w:val="00A25BA9"/>
    <w:rsid w:val="00A26C92"/>
    <w:rsid w:val="00A32CEE"/>
    <w:rsid w:val="00A34664"/>
    <w:rsid w:val="00A353E1"/>
    <w:rsid w:val="00A37451"/>
    <w:rsid w:val="00A6195E"/>
    <w:rsid w:val="00A63104"/>
    <w:rsid w:val="00A653E8"/>
    <w:rsid w:val="00A70255"/>
    <w:rsid w:val="00A70F92"/>
    <w:rsid w:val="00A7258F"/>
    <w:rsid w:val="00A72C10"/>
    <w:rsid w:val="00A74F9C"/>
    <w:rsid w:val="00A76859"/>
    <w:rsid w:val="00A81207"/>
    <w:rsid w:val="00A817B0"/>
    <w:rsid w:val="00A8258E"/>
    <w:rsid w:val="00A90F54"/>
    <w:rsid w:val="00A910CF"/>
    <w:rsid w:val="00A918D9"/>
    <w:rsid w:val="00A93D22"/>
    <w:rsid w:val="00A95115"/>
    <w:rsid w:val="00A9577F"/>
    <w:rsid w:val="00A97F08"/>
    <w:rsid w:val="00AA0673"/>
    <w:rsid w:val="00AA4C8D"/>
    <w:rsid w:val="00AA73B6"/>
    <w:rsid w:val="00AA7CB0"/>
    <w:rsid w:val="00AB0BE9"/>
    <w:rsid w:val="00AB12D3"/>
    <w:rsid w:val="00AB464E"/>
    <w:rsid w:val="00AB4F11"/>
    <w:rsid w:val="00AC41D6"/>
    <w:rsid w:val="00AC5E09"/>
    <w:rsid w:val="00AC763A"/>
    <w:rsid w:val="00AC77E8"/>
    <w:rsid w:val="00AD38FF"/>
    <w:rsid w:val="00AD7BCB"/>
    <w:rsid w:val="00AE2DCC"/>
    <w:rsid w:val="00AE2F87"/>
    <w:rsid w:val="00AE5698"/>
    <w:rsid w:val="00AF03E3"/>
    <w:rsid w:val="00AF3045"/>
    <w:rsid w:val="00B00EE1"/>
    <w:rsid w:val="00B025E9"/>
    <w:rsid w:val="00B07A1D"/>
    <w:rsid w:val="00B07FF9"/>
    <w:rsid w:val="00B14D32"/>
    <w:rsid w:val="00B15ACB"/>
    <w:rsid w:val="00B16019"/>
    <w:rsid w:val="00B205A9"/>
    <w:rsid w:val="00B2060B"/>
    <w:rsid w:val="00B30ED4"/>
    <w:rsid w:val="00B31180"/>
    <w:rsid w:val="00B34C4B"/>
    <w:rsid w:val="00B35521"/>
    <w:rsid w:val="00B37443"/>
    <w:rsid w:val="00B374AE"/>
    <w:rsid w:val="00B414A5"/>
    <w:rsid w:val="00B43078"/>
    <w:rsid w:val="00B45A8D"/>
    <w:rsid w:val="00B463DB"/>
    <w:rsid w:val="00B46780"/>
    <w:rsid w:val="00B46DEC"/>
    <w:rsid w:val="00B52AC8"/>
    <w:rsid w:val="00B533D5"/>
    <w:rsid w:val="00B56FD7"/>
    <w:rsid w:val="00B61C7F"/>
    <w:rsid w:val="00B61FA5"/>
    <w:rsid w:val="00B75FC5"/>
    <w:rsid w:val="00B82BB2"/>
    <w:rsid w:val="00B83DC4"/>
    <w:rsid w:val="00B861AD"/>
    <w:rsid w:val="00B901B3"/>
    <w:rsid w:val="00B920F9"/>
    <w:rsid w:val="00B9318C"/>
    <w:rsid w:val="00B97C1A"/>
    <w:rsid w:val="00BA3887"/>
    <w:rsid w:val="00BA4703"/>
    <w:rsid w:val="00BA4D33"/>
    <w:rsid w:val="00BA6967"/>
    <w:rsid w:val="00BB1C14"/>
    <w:rsid w:val="00BB3907"/>
    <w:rsid w:val="00BB3F01"/>
    <w:rsid w:val="00BC47FB"/>
    <w:rsid w:val="00BD022F"/>
    <w:rsid w:val="00BE3EFE"/>
    <w:rsid w:val="00BE4F5E"/>
    <w:rsid w:val="00BE677E"/>
    <w:rsid w:val="00BF60EA"/>
    <w:rsid w:val="00BF63F4"/>
    <w:rsid w:val="00C036F9"/>
    <w:rsid w:val="00C053E5"/>
    <w:rsid w:val="00C061B4"/>
    <w:rsid w:val="00C12F26"/>
    <w:rsid w:val="00C149F0"/>
    <w:rsid w:val="00C16183"/>
    <w:rsid w:val="00C17D33"/>
    <w:rsid w:val="00C20687"/>
    <w:rsid w:val="00C217C7"/>
    <w:rsid w:val="00C23070"/>
    <w:rsid w:val="00C31063"/>
    <w:rsid w:val="00C43DC5"/>
    <w:rsid w:val="00C451A8"/>
    <w:rsid w:val="00C46674"/>
    <w:rsid w:val="00C52ED8"/>
    <w:rsid w:val="00C62AE9"/>
    <w:rsid w:val="00C62D86"/>
    <w:rsid w:val="00C67EF4"/>
    <w:rsid w:val="00C728BD"/>
    <w:rsid w:val="00C72AAD"/>
    <w:rsid w:val="00C768C3"/>
    <w:rsid w:val="00C7796D"/>
    <w:rsid w:val="00C77AA4"/>
    <w:rsid w:val="00C8317D"/>
    <w:rsid w:val="00C84F4A"/>
    <w:rsid w:val="00C85870"/>
    <w:rsid w:val="00C876CC"/>
    <w:rsid w:val="00C87795"/>
    <w:rsid w:val="00C87ABE"/>
    <w:rsid w:val="00C913AC"/>
    <w:rsid w:val="00C9175B"/>
    <w:rsid w:val="00C9214C"/>
    <w:rsid w:val="00C92571"/>
    <w:rsid w:val="00C93160"/>
    <w:rsid w:val="00CA0312"/>
    <w:rsid w:val="00CA3923"/>
    <w:rsid w:val="00CA7EF3"/>
    <w:rsid w:val="00CB098E"/>
    <w:rsid w:val="00CB46B3"/>
    <w:rsid w:val="00CB47BE"/>
    <w:rsid w:val="00CB54D5"/>
    <w:rsid w:val="00CB6D1D"/>
    <w:rsid w:val="00CB7F3D"/>
    <w:rsid w:val="00CC1E7D"/>
    <w:rsid w:val="00CC2447"/>
    <w:rsid w:val="00CC4B80"/>
    <w:rsid w:val="00CD2758"/>
    <w:rsid w:val="00CD2D16"/>
    <w:rsid w:val="00CD3961"/>
    <w:rsid w:val="00CD66F0"/>
    <w:rsid w:val="00CE1422"/>
    <w:rsid w:val="00CE15FA"/>
    <w:rsid w:val="00CE6D8E"/>
    <w:rsid w:val="00CF0199"/>
    <w:rsid w:val="00CF2849"/>
    <w:rsid w:val="00CF3001"/>
    <w:rsid w:val="00CF4B0E"/>
    <w:rsid w:val="00D0017F"/>
    <w:rsid w:val="00D01062"/>
    <w:rsid w:val="00D01E8C"/>
    <w:rsid w:val="00D0625F"/>
    <w:rsid w:val="00D120C8"/>
    <w:rsid w:val="00D2305D"/>
    <w:rsid w:val="00D2306A"/>
    <w:rsid w:val="00D24023"/>
    <w:rsid w:val="00D305B6"/>
    <w:rsid w:val="00D425A1"/>
    <w:rsid w:val="00D44104"/>
    <w:rsid w:val="00D44331"/>
    <w:rsid w:val="00D45A3B"/>
    <w:rsid w:val="00D45BB2"/>
    <w:rsid w:val="00D45BEC"/>
    <w:rsid w:val="00D45D5C"/>
    <w:rsid w:val="00D47B55"/>
    <w:rsid w:val="00D516D3"/>
    <w:rsid w:val="00D52F82"/>
    <w:rsid w:val="00D539B1"/>
    <w:rsid w:val="00D63C28"/>
    <w:rsid w:val="00D6686F"/>
    <w:rsid w:val="00D67998"/>
    <w:rsid w:val="00D71F08"/>
    <w:rsid w:val="00D735C0"/>
    <w:rsid w:val="00D75F14"/>
    <w:rsid w:val="00D82DB5"/>
    <w:rsid w:val="00D868B8"/>
    <w:rsid w:val="00D94EAB"/>
    <w:rsid w:val="00D9523C"/>
    <w:rsid w:val="00D9558A"/>
    <w:rsid w:val="00DA006F"/>
    <w:rsid w:val="00DA208A"/>
    <w:rsid w:val="00DA5889"/>
    <w:rsid w:val="00DA7DEA"/>
    <w:rsid w:val="00DB0216"/>
    <w:rsid w:val="00DB0E6C"/>
    <w:rsid w:val="00DB0F4E"/>
    <w:rsid w:val="00DB5355"/>
    <w:rsid w:val="00DB67EA"/>
    <w:rsid w:val="00DC33F8"/>
    <w:rsid w:val="00DC3927"/>
    <w:rsid w:val="00DC64E8"/>
    <w:rsid w:val="00DC6D97"/>
    <w:rsid w:val="00DD2B95"/>
    <w:rsid w:val="00DD3A06"/>
    <w:rsid w:val="00DD3F63"/>
    <w:rsid w:val="00DD6553"/>
    <w:rsid w:val="00DE0C15"/>
    <w:rsid w:val="00DE2BBA"/>
    <w:rsid w:val="00DF0B61"/>
    <w:rsid w:val="00DF25CB"/>
    <w:rsid w:val="00DF483D"/>
    <w:rsid w:val="00DF53C4"/>
    <w:rsid w:val="00E0026A"/>
    <w:rsid w:val="00E04E7E"/>
    <w:rsid w:val="00E06D12"/>
    <w:rsid w:val="00E06E75"/>
    <w:rsid w:val="00E07388"/>
    <w:rsid w:val="00E14848"/>
    <w:rsid w:val="00E32410"/>
    <w:rsid w:val="00E351D9"/>
    <w:rsid w:val="00E43EE8"/>
    <w:rsid w:val="00E44311"/>
    <w:rsid w:val="00E4587B"/>
    <w:rsid w:val="00E4595C"/>
    <w:rsid w:val="00E54566"/>
    <w:rsid w:val="00E54A2B"/>
    <w:rsid w:val="00E56DB6"/>
    <w:rsid w:val="00E56F39"/>
    <w:rsid w:val="00E6031C"/>
    <w:rsid w:val="00E6133F"/>
    <w:rsid w:val="00E624F1"/>
    <w:rsid w:val="00E62A0F"/>
    <w:rsid w:val="00E653FC"/>
    <w:rsid w:val="00E65998"/>
    <w:rsid w:val="00E7091F"/>
    <w:rsid w:val="00E70947"/>
    <w:rsid w:val="00E72EC3"/>
    <w:rsid w:val="00E73AB7"/>
    <w:rsid w:val="00E76448"/>
    <w:rsid w:val="00E82E57"/>
    <w:rsid w:val="00E84E76"/>
    <w:rsid w:val="00E862E0"/>
    <w:rsid w:val="00E86C5C"/>
    <w:rsid w:val="00E90DA4"/>
    <w:rsid w:val="00E91F13"/>
    <w:rsid w:val="00E925DE"/>
    <w:rsid w:val="00E93778"/>
    <w:rsid w:val="00E95F88"/>
    <w:rsid w:val="00E968E4"/>
    <w:rsid w:val="00E96F07"/>
    <w:rsid w:val="00EA0986"/>
    <w:rsid w:val="00EA1388"/>
    <w:rsid w:val="00EA2FC8"/>
    <w:rsid w:val="00EA38EF"/>
    <w:rsid w:val="00EA4182"/>
    <w:rsid w:val="00EB13AF"/>
    <w:rsid w:val="00EB14D5"/>
    <w:rsid w:val="00EB1ABF"/>
    <w:rsid w:val="00EB2D6F"/>
    <w:rsid w:val="00EB2E09"/>
    <w:rsid w:val="00EB4E2A"/>
    <w:rsid w:val="00EB779B"/>
    <w:rsid w:val="00EB7E8A"/>
    <w:rsid w:val="00EC0768"/>
    <w:rsid w:val="00EC24AA"/>
    <w:rsid w:val="00EC39AF"/>
    <w:rsid w:val="00ED0BBD"/>
    <w:rsid w:val="00ED216F"/>
    <w:rsid w:val="00ED229C"/>
    <w:rsid w:val="00ED5CBF"/>
    <w:rsid w:val="00ED74BC"/>
    <w:rsid w:val="00EE0D14"/>
    <w:rsid w:val="00EE335C"/>
    <w:rsid w:val="00EE341C"/>
    <w:rsid w:val="00EE5948"/>
    <w:rsid w:val="00EE5BB9"/>
    <w:rsid w:val="00EF0889"/>
    <w:rsid w:val="00EF48BC"/>
    <w:rsid w:val="00EF79BF"/>
    <w:rsid w:val="00F07452"/>
    <w:rsid w:val="00F07EFF"/>
    <w:rsid w:val="00F10E27"/>
    <w:rsid w:val="00F14E96"/>
    <w:rsid w:val="00F212F9"/>
    <w:rsid w:val="00F26A3A"/>
    <w:rsid w:val="00F2713D"/>
    <w:rsid w:val="00F27D17"/>
    <w:rsid w:val="00F27DE8"/>
    <w:rsid w:val="00F37FE8"/>
    <w:rsid w:val="00F40B4A"/>
    <w:rsid w:val="00F4319C"/>
    <w:rsid w:val="00F4501D"/>
    <w:rsid w:val="00F45338"/>
    <w:rsid w:val="00F46A38"/>
    <w:rsid w:val="00F52246"/>
    <w:rsid w:val="00F66E25"/>
    <w:rsid w:val="00F802D9"/>
    <w:rsid w:val="00F809AF"/>
    <w:rsid w:val="00F83110"/>
    <w:rsid w:val="00F84492"/>
    <w:rsid w:val="00F84BF2"/>
    <w:rsid w:val="00F87F9F"/>
    <w:rsid w:val="00F91F38"/>
    <w:rsid w:val="00F93046"/>
    <w:rsid w:val="00FA0237"/>
    <w:rsid w:val="00FA341B"/>
    <w:rsid w:val="00FA3CF7"/>
    <w:rsid w:val="00FA6616"/>
    <w:rsid w:val="00FB0D90"/>
    <w:rsid w:val="00FB2D90"/>
    <w:rsid w:val="00FB653F"/>
    <w:rsid w:val="00FB66EF"/>
    <w:rsid w:val="00FB7005"/>
    <w:rsid w:val="00FC7490"/>
    <w:rsid w:val="00FC7853"/>
    <w:rsid w:val="00FD0EC6"/>
    <w:rsid w:val="00FD58B7"/>
    <w:rsid w:val="00FE014F"/>
    <w:rsid w:val="00FE1783"/>
    <w:rsid w:val="00FE4141"/>
    <w:rsid w:val="00FF30CF"/>
    <w:rsid w:val="00FF5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BA"/>
    <w:pPr>
      <w:spacing w:after="120"/>
    </w:pPr>
  </w:style>
  <w:style w:type="paragraph" w:styleId="Heading1">
    <w:name w:val="heading 1"/>
    <w:basedOn w:val="Normal"/>
    <w:next w:val="Normal"/>
    <w:link w:val="Heading1Char"/>
    <w:qFormat/>
    <w:rsid w:val="00732F9E"/>
    <w:pPr>
      <w:keepNext/>
      <w:keepLines/>
      <w:pageBreakBefore/>
      <w:numPr>
        <w:numId w:val="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0C2D"/>
    <w:pPr>
      <w:keepNext/>
      <w:keepLines/>
      <w:numPr>
        <w:ilvl w:val="1"/>
        <w:numId w:val="4"/>
      </w:numP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24F1"/>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624F1"/>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F7A8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624F1"/>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24F1"/>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24F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24F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15FA"/>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CE15FA"/>
    <w:rPr>
      <w:rFonts w:eastAsiaTheme="majorEastAsia" w:cstheme="majorBidi"/>
      <w:spacing w:val="-10"/>
      <w:kern w:val="28"/>
      <w:sz w:val="36"/>
      <w:szCs w:val="56"/>
    </w:rPr>
  </w:style>
  <w:style w:type="character" w:customStyle="1" w:styleId="Heading1Char">
    <w:name w:val="Heading 1 Char"/>
    <w:basedOn w:val="DefaultParagraphFont"/>
    <w:link w:val="Heading1"/>
    <w:rsid w:val="00732F9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3815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151C"/>
    <w:rPr>
      <w:rFonts w:eastAsiaTheme="minorEastAsia"/>
      <w:color w:val="5A5A5A" w:themeColor="text1" w:themeTint="A5"/>
      <w:spacing w:val="15"/>
    </w:rPr>
  </w:style>
  <w:style w:type="character" w:styleId="SubtleEmphasis">
    <w:name w:val="Subtle Emphasis"/>
    <w:basedOn w:val="DefaultParagraphFont"/>
    <w:uiPriority w:val="19"/>
    <w:qFormat/>
    <w:rsid w:val="0038151C"/>
    <w:rPr>
      <w:i/>
      <w:iCs/>
      <w:color w:val="404040" w:themeColor="text1" w:themeTint="BF"/>
    </w:rPr>
  </w:style>
  <w:style w:type="character" w:styleId="Strong">
    <w:name w:val="Strong"/>
    <w:basedOn w:val="DefaultParagraphFont"/>
    <w:uiPriority w:val="99"/>
    <w:qFormat/>
    <w:rsid w:val="0038151C"/>
    <w:rPr>
      <w:b/>
      <w:bCs/>
    </w:rPr>
  </w:style>
  <w:style w:type="paragraph" w:styleId="ListParagraph">
    <w:name w:val="List Paragraph"/>
    <w:basedOn w:val="Normal"/>
    <w:link w:val="ListParagraphChar"/>
    <w:uiPriority w:val="34"/>
    <w:qFormat/>
    <w:rsid w:val="00057CAF"/>
    <w:pPr>
      <w:numPr>
        <w:numId w:val="2"/>
      </w:numPr>
      <w:contextualSpacing/>
    </w:pPr>
  </w:style>
  <w:style w:type="character" w:customStyle="1" w:styleId="Heading2Char">
    <w:name w:val="Heading 2 Char"/>
    <w:basedOn w:val="DefaultParagraphFont"/>
    <w:link w:val="Heading2"/>
    <w:uiPriority w:val="9"/>
    <w:rsid w:val="001E0C2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E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E68"/>
  </w:style>
  <w:style w:type="paragraph" w:styleId="Footer">
    <w:name w:val="footer"/>
    <w:basedOn w:val="Normal"/>
    <w:link w:val="FooterChar"/>
    <w:uiPriority w:val="99"/>
    <w:unhideWhenUsed/>
    <w:rsid w:val="006E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E68"/>
  </w:style>
  <w:style w:type="table" w:styleId="TableGrid">
    <w:name w:val="Table Grid"/>
    <w:basedOn w:val="TableNormal"/>
    <w:uiPriority w:val="59"/>
    <w:rsid w:val="00277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qFormat/>
    <w:rsid w:val="00501E57"/>
    <w:pPr>
      <w:keepNext/>
      <w:spacing w:after="200" w:line="240" w:lineRule="auto"/>
    </w:pPr>
    <w:rPr>
      <w:b/>
      <w:iCs/>
      <w:color w:val="0070C0"/>
      <w:szCs w:val="18"/>
    </w:rPr>
  </w:style>
  <w:style w:type="character" w:styleId="Hyperlink">
    <w:name w:val="Hyperlink"/>
    <w:basedOn w:val="DefaultParagraphFont"/>
    <w:uiPriority w:val="99"/>
    <w:unhideWhenUsed/>
    <w:rsid w:val="00501E57"/>
    <w:rPr>
      <w:color w:val="0563C1" w:themeColor="hyperlink"/>
      <w:u w:val="single"/>
    </w:rPr>
  </w:style>
  <w:style w:type="character" w:styleId="FollowedHyperlink">
    <w:name w:val="FollowedHyperlink"/>
    <w:basedOn w:val="DefaultParagraphFont"/>
    <w:uiPriority w:val="99"/>
    <w:semiHidden/>
    <w:unhideWhenUsed/>
    <w:rsid w:val="000239FD"/>
    <w:rPr>
      <w:color w:val="954F72" w:themeColor="followedHyperlink"/>
      <w:u w:val="single"/>
    </w:rPr>
  </w:style>
  <w:style w:type="paragraph" w:customStyle="1" w:styleId="TextinTab">
    <w:name w:val="Text in Tab"/>
    <w:basedOn w:val="Normal"/>
    <w:link w:val="TextinTabChar"/>
    <w:qFormat/>
    <w:rsid w:val="00500175"/>
    <w:pPr>
      <w:spacing w:after="60" w:line="240" w:lineRule="auto"/>
    </w:pPr>
    <w:rPr>
      <w:sz w:val="20"/>
      <w:szCs w:val="20"/>
    </w:rPr>
  </w:style>
  <w:style w:type="paragraph" w:customStyle="1" w:styleId="EinzinTab">
    <w:name w:val="Einz in Tab"/>
    <w:basedOn w:val="ListParagraph"/>
    <w:link w:val="EinzinTabChar"/>
    <w:qFormat/>
    <w:rsid w:val="00500175"/>
    <w:pPr>
      <w:numPr>
        <w:numId w:val="1"/>
      </w:numPr>
      <w:spacing w:after="60" w:line="240" w:lineRule="auto"/>
    </w:pPr>
    <w:rPr>
      <w:sz w:val="20"/>
    </w:rPr>
  </w:style>
  <w:style w:type="character" w:customStyle="1" w:styleId="TextinTabChar">
    <w:name w:val="Text in Tab Char"/>
    <w:basedOn w:val="DefaultParagraphFont"/>
    <w:link w:val="TextinTab"/>
    <w:rsid w:val="00500175"/>
    <w:rPr>
      <w:sz w:val="20"/>
      <w:szCs w:val="20"/>
    </w:rPr>
  </w:style>
  <w:style w:type="character" w:customStyle="1" w:styleId="ListParagraphChar">
    <w:name w:val="List Paragraph Char"/>
    <w:basedOn w:val="DefaultParagraphFont"/>
    <w:link w:val="ListParagraph"/>
    <w:uiPriority w:val="34"/>
    <w:rsid w:val="00500175"/>
  </w:style>
  <w:style w:type="character" w:customStyle="1" w:styleId="EinzinTabChar">
    <w:name w:val="Einz in Tab Char"/>
    <w:basedOn w:val="ListParagraphChar"/>
    <w:link w:val="EinzinTab"/>
    <w:rsid w:val="00500175"/>
    <w:rPr>
      <w:sz w:val="20"/>
    </w:rPr>
  </w:style>
  <w:style w:type="paragraph" w:styleId="BalloonText">
    <w:name w:val="Balloon Text"/>
    <w:basedOn w:val="Normal"/>
    <w:link w:val="BalloonTextChar"/>
    <w:uiPriority w:val="99"/>
    <w:semiHidden/>
    <w:unhideWhenUsed/>
    <w:rsid w:val="00E96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E4"/>
    <w:rPr>
      <w:rFonts w:ascii="Segoe UI" w:hAnsi="Segoe UI" w:cs="Segoe UI"/>
      <w:sz w:val="18"/>
      <w:szCs w:val="18"/>
    </w:rPr>
  </w:style>
  <w:style w:type="paragraph" w:styleId="TOCHeading">
    <w:name w:val="TOC Heading"/>
    <w:basedOn w:val="Heading1"/>
    <w:next w:val="Normal"/>
    <w:uiPriority w:val="39"/>
    <w:unhideWhenUsed/>
    <w:qFormat/>
    <w:rsid w:val="007840FF"/>
    <w:pPr>
      <w:numPr>
        <w:numId w:val="0"/>
      </w:numPr>
      <w:spacing w:after="0"/>
      <w:outlineLvl w:val="9"/>
    </w:pPr>
  </w:style>
  <w:style w:type="paragraph" w:styleId="TOC1">
    <w:name w:val="toc 1"/>
    <w:basedOn w:val="Normal"/>
    <w:next w:val="Normal"/>
    <w:autoRedefine/>
    <w:uiPriority w:val="39"/>
    <w:unhideWhenUsed/>
    <w:rsid w:val="007840FF"/>
    <w:pPr>
      <w:spacing w:after="100"/>
    </w:pPr>
  </w:style>
  <w:style w:type="paragraph" w:styleId="TOC2">
    <w:name w:val="toc 2"/>
    <w:basedOn w:val="Normal"/>
    <w:next w:val="Normal"/>
    <w:autoRedefine/>
    <w:uiPriority w:val="39"/>
    <w:unhideWhenUsed/>
    <w:rsid w:val="005E680C"/>
    <w:pPr>
      <w:tabs>
        <w:tab w:val="left" w:pos="880"/>
        <w:tab w:val="right" w:leader="dot" w:pos="9350"/>
      </w:tabs>
      <w:spacing w:after="100"/>
    </w:pPr>
  </w:style>
  <w:style w:type="paragraph" w:styleId="FootnoteText">
    <w:name w:val="footnote text"/>
    <w:basedOn w:val="Normal"/>
    <w:link w:val="FootnoteTextChar"/>
    <w:uiPriority w:val="99"/>
    <w:unhideWhenUsed/>
    <w:rsid w:val="00892863"/>
    <w:pPr>
      <w:spacing w:after="0" w:line="240" w:lineRule="auto"/>
    </w:pPr>
    <w:rPr>
      <w:sz w:val="20"/>
      <w:szCs w:val="20"/>
    </w:rPr>
  </w:style>
  <w:style w:type="character" w:customStyle="1" w:styleId="FootnoteTextChar">
    <w:name w:val="Footnote Text Char"/>
    <w:basedOn w:val="DefaultParagraphFont"/>
    <w:link w:val="FootnoteText"/>
    <w:uiPriority w:val="99"/>
    <w:rsid w:val="00892863"/>
    <w:rPr>
      <w:sz w:val="20"/>
      <w:szCs w:val="20"/>
    </w:rPr>
  </w:style>
  <w:style w:type="character" w:styleId="FootnoteReference">
    <w:name w:val="footnote reference"/>
    <w:basedOn w:val="DefaultParagraphFont"/>
    <w:uiPriority w:val="99"/>
    <w:semiHidden/>
    <w:unhideWhenUsed/>
    <w:rsid w:val="00892863"/>
    <w:rPr>
      <w:vertAlign w:val="superscript"/>
    </w:rPr>
  </w:style>
  <w:style w:type="paragraph" w:customStyle="1" w:styleId="Normbeforelist">
    <w:name w:val="Norm before list"/>
    <w:basedOn w:val="Normal"/>
    <w:link w:val="NormbeforelistChar"/>
    <w:qFormat/>
    <w:rsid w:val="00E62A0F"/>
    <w:pPr>
      <w:spacing w:after="0"/>
    </w:pPr>
  </w:style>
  <w:style w:type="character" w:customStyle="1" w:styleId="NormbeforelistChar">
    <w:name w:val="Norm before list Char"/>
    <w:basedOn w:val="DefaultParagraphFont"/>
    <w:link w:val="Normbeforelist"/>
    <w:rsid w:val="00E62A0F"/>
  </w:style>
  <w:style w:type="paragraph" w:customStyle="1" w:styleId="comment">
    <w:name w:val="comment"/>
    <w:basedOn w:val="ListParagraph"/>
    <w:link w:val="commentChar"/>
    <w:qFormat/>
    <w:rsid w:val="00920A4C"/>
    <w:pPr>
      <w:numPr>
        <w:numId w:val="3"/>
      </w:numPr>
    </w:pPr>
    <w:rPr>
      <w:color w:val="0070C0"/>
    </w:rPr>
  </w:style>
  <w:style w:type="character" w:customStyle="1" w:styleId="commentChar">
    <w:name w:val="comment Char"/>
    <w:basedOn w:val="ListParagraphChar"/>
    <w:link w:val="comment"/>
    <w:rsid w:val="00920A4C"/>
    <w:rPr>
      <w:color w:val="0070C0"/>
    </w:rPr>
  </w:style>
  <w:style w:type="character" w:customStyle="1" w:styleId="Heading3Char">
    <w:name w:val="Heading 3 Char"/>
    <w:basedOn w:val="DefaultParagraphFont"/>
    <w:link w:val="Heading3"/>
    <w:uiPriority w:val="9"/>
    <w:rsid w:val="00E624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624F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F7A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624F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624F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624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24F1"/>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EB2E09"/>
    <w:pPr>
      <w:spacing w:after="100"/>
      <w:ind w:left="440"/>
    </w:pPr>
  </w:style>
  <w:style w:type="paragraph" w:customStyle="1" w:styleId="Legende">
    <w:name w:val="Legende"/>
    <w:basedOn w:val="Normal"/>
    <w:link w:val="LegendeZchn"/>
    <w:qFormat/>
    <w:rsid w:val="00D868B8"/>
    <w:pPr>
      <w:spacing w:before="120" w:line="288" w:lineRule="auto"/>
      <w:jc w:val="both"/>
    </w:pPr>
    <w:rPr>
      <w:rFonts w:ascii="Arial" w:hAnsi="Arial"/>
      <w:i/>
      <w:color w:val="808080" w:themeColor="background1" w:themeShade="80"/>
      <w:sz w:val="18"/>
      <w:lang w:val="de-CH"/>
    </w:rPr>
  </w:style>
  <w:style w:type="character" w:customStyle="1" w:styleId="LegendeZchn">
    <w:name w:val="Legende Zchn"/>
    <w:basedOn w:val="DefaultParagraphFont"/>
    <w:link w:val="Legende"/>
    <w:rsid w:val="00D868B8"/>
    <w:rPr>
      <w:rFonts w:ascii="Arial" w:hAnsi="Arial"/>
      <w:i/>
      <w:color w:val="808080" w:themeColor="background1" w:themeShade="80"/>
      <w:sz w:val="18"/>
      <w:lang w:val="de-CH"/>
    </w:rPr>
  </w:style>
  <w:style w:type="paragraph" w:customStyle="1" w:styleId="tabellentext">
    <w:name w:val="tabellentext"/>
    <w:basedOn w:val="Normal"/>
    <w:link w:val="tabellentextZchn"/>
    <w:qFormat/>
    <w:rsid w:val="00D24023"/>
    <w:pPr>
      <w:spacing w:before="60" w:after="60" w:line="240" w:lineRule="auto"/>
    </w:pPr>
    <w:rPr>
      <w:rFonts w:cstheme="minorHAnsi"/>
      <w:sz w:val="20"/>
      <w:lang w:val="de-CH" w:eastAsia="de-CH"/>
    </w:rPr>
  </w:style>
  <w:style w:type="character" w:customStyle="1" w:styleId="tabellentextZchn">
    <w:name w:val="tabellentext Zchn"/>
    <w:basedOn w:val="DefaultParagraphFont"/>
    <w:link w:val="tabellentext"/>
    <w:rsid w:val="00D24023"/>
    <w:rPr>
      <w:rFonts w:cstheme="minorHAnsi"/>
      <w:sz w:val="20"/>
      <w:lang w:val="de-CH" w:eastAsia="de-CH"/>
    </w:rPr>
  </w:style>
  <w:style w:type="paragraph" w:customStyle="1" w:styleId="Zwischentitel">
    <w:name w:val="Zwischentitel"/>
    <w:basedOn w:val="NoSpacing"/>
    <w:link w:val="ZwischentitelZchn"/>
    <w:qFormat/>
    <w:rsid w:val="00A653E8"/>
    <w:pPr>
      <w:keepNext/>
      <w:spacing w:before="240" w:after="120" w:line="360" w:lineRule="auto"/>
      <w:jc w:val="both"/>
    </w:pPr>
    <w:rPr>
      <w:rFonts w:ascii="Arial" w:hAnsi="Arial"/>
      <w:b/>
      <w:lang w:val="de-CH"/>
    </w:rPr>
  </w:style>
  <w:style w:type="character" w:customStyle="1" w:styleId="ZwischentitelZchn">
    <w:name w:val="Zwischentitel Zchn"/>
    <w:basedOn w:val="DefaultParagraphFont"/>
    <w:link w:val="Zwischentitel"/>
    <w:rsid w:val="00A653E8"/>
    <w:rPr>
      <w:rFonts w:ascii="Arial" w:hAnsi="Arial"/>
      <w:b/>
      <w:lang w:val="de-CH"/>
    </w:rPr>
  </w:style>
  <w:style w:type="paragraph" w:styleId="NoSpacing">
    <w:name w:val="No Spacing"/>
    <w:aliases w:val="Fussnote"/>
    <w:link w:val="NoSpacingChar"/>
    <w:uiPriority w:val="99"/>
    <w:qFormat/>
    <w:rsid w:val="00A653E8"/>
    <w:pPr>
      <w:spacing w:after="0" w:line="240" w:lineRule="auto"/>
    </w:pPr>
  </w:style>
  <w:style w:type="paragraph" w:styleId="NormalWeb">
    <w:name w:val="Normal (Web)"/>
    <w:basedOn w:val="Normal"/>
    <w:uiPriority w:val="99"/>
    <w:unhideWhenUsed/>
    <w:rsid w:val="00614E7C"/>
    <w:pPr>
      <w:spacing w:before="100" w:beforeAutospacing="1" w:after="100" w:afterAutospacing="1" w:line="240" w:lineRule="auto"/>
    </w:pPr>
    <w:rPr>
      <w:rFonts w:ascii="Times New Roman" w:eastAsiaTheme="minorEastAsia" w:hAnsi="Times New Roman" w:cs="Times New Roman"/>
      <w:sz w:val="24"/>
      <w:szCs w:val="24"/>
    </w:rPr>
  </w:style>
  <w:style w:type="paragraph" w:styleId="Bibliography">
    <w:name w:val="Bibliography"/>
    <w:basedOn w:val="Normal"/>
    <w:next w:val="Normal"/>
    <w:uiPriority w:val="37"/>
    <w:unhideWhenUsed/>
    <w:rsid w:val="007F0774"/>
    <w:pPr>
      <w:tabs>
        <w:tab w:val="left" w:pos="504"/>
      </w:tabs>
      <w:spacing w:after="0" w:line="240" w:lineRule="auto"/>
      <w:ind w:left="504" w:hanging="504"/>
    </w:pPr>
  </w:style>
  <w:style w:type="character" w:styleId="CommentReference">
    <w:name w:val="annotation reference"/>
    <w:basedOn w:val="DefaultParagraphFont"/>
    <w:uiPriority w:val="99"/>
    <w:semiHidden/>
    <w:unhideWhenUsed/>
    <w:rsid w:val="00427E9A"/>
    <w:rPr>
      <w:sz w:val="16"/>
      <w:szCs w:val="16"/>
    </w:rPr>
  </w:style>
  <w:style w:type="paragraph" w:styleId="CommentText">
    <w:name w:val="annotation text"/>
    <w:basedOn w:val="Normal"/>
    <w:link w:val="CommentTextChar"/>
    <w:uiPriority w:val="99"/>
    <w:unhideWhenUsed/>
    <w:rsid w:val="00427E9A"/>
    <w:pPr>
      <w:spacing w:line="240" w:lineRule="auto"/>
    </w:pPr>
    <w:rPr>
      <w:sz w:val="20"/>
      <w:szCs w:val="20"/>
    </w:rPr>
  </w:style>
  <w:style w:type="character" w:customStyle="1" w:styleId="CommentTextChar">
    <w:name w:val="Comment Text Char"/>
    <w:basedOn w:val="DefaultParagraphFont"/>
    <w:link w:val="CommentText"/>
    <w:uiPriority w:val="99"/>
    <w:rsid w:val="00427E9A"/>
    <w:rPr>
      <w:sz w:val="20"/>
      <w:szCs w:val="20"/>
    </w:rPr>
  </w:style>
  <w:style w:type="paragraph" w:styleId="CommentSubject">
    <w:name w:val="annotation subject"/>
    <w:basedOn w:val="CommentText"/>
    <w:next w:val="CommentText"/>
    <w:link w:val="CommentSubjectChar"/>
    <w:uiPriority w:val="99"/>
    <w:semiHidden/>
    <w:unhideWhenUsed/>
    <w:rsid w:val="00427E9A"/>
    <w:rPr>
      <w:b/>
      <w:bCs/>
    </w:rPr>
  </w:style>
  <w:style w:type="character" w:customStyle="1" w:styleId="CommentSubjectChar">
    <w:name w:val="Comment Subject Char"/>
    <w:basedOn w:val="CommentTextChar"/>
    <w:link w:val="CommentSubject"/>
    <w:uiPriority w:val="99"/>
    <w:semiHidden/>
    <w:rsid w:val="00427E9A"/>
    <w:rPr>
      <w:b/>
      <w:bCs/>
      <w:sz w:val="20"/>
      <w:szCs w:val="20"/>
    </w:rPr>
  </w:style>
  <w:style w:type="paragraph" w:styleId="Revision">
    <w:name w:val="Revision"/>
    <w:hidden/>
    <w:uiPriority w:val="99"/>
    <w:semiHidden/>
    <w:rsid w:val="00CB6D1D"/>
    <w:pPr>
      <w:spacing w:after="0" w:line="240" w:lineRule="auto"/>
    </w:pPr>
  </w:style>
  <w:style w:type="paragraph" w:customStyle="1" w:styleId="EndNoteBibliographyTitle">
    <w:name w:val="EndNote Bibliography Title"/>
    <w:basedOn w:val="Normal"/>
    <w:link w:val="EndNoteBibliographyTitleZchn"/>
    <w:rsid w:val="00A918D9"/>
    <w:pPr>
      <w:spacing w:after="0"/>
      <w:jc w:val="center"/>
    </w:pPr>
    <w:rPr>
      <w:rFonts w:ascii="Calibri" w:hAnsi="Calibri" w:cs="Calibri"/>
      <w:noProof/>
    </w:rPr>
  </w:style>
  <w:style w:type="character" w:customStyle="1" w:styleId="EndNoteBibliographyTitleZchn">
    <w:name w:val="EndNote Bibliography Title Zchn"/>
    <w:basedOn w:val="DefaultParagraphFont"/>
    <w:link w:val="EndNoteBibliographyTitle"/>
    <w:rsid w:val="00A918D9"/>
    <w:rPr>
      <w:rFonts w:ascii="Calibri" w:hAnsi="Calibri" w:cs="Calibri"/>
      <w:noProof/>
    </w:rPr>
  </w:style>
  <w:style w:type="paragraph" w:customStyle="1" w:styleId="EndNoteBibliography">
    <w:name w:val="EndNote Bibliography"/>
    <w:basedOn w:val="Normal"/>
    <w:link w:val="EndNoteBibliographyZchn"/>
    <w:rsid w:val="00A918D9"/>
    <w:pPr>
      <w:spacing w:line="240" w:lineRule="auto"/>
    </w:pPr>
    <w:rPr>
      <w:rFonts w:ascii="Calibri" w:hAnsi="Calibri" w:cs="Calibri"/>
      <w:noProof/>
    </w:rPr>
  </w:style>
  <w:style w:type="character" w:customStyle="1" w:styleId="EndNoteBibliographyZchn">
    <w:name w:val="EndNote Bibliography Zchn"/>
    <w:basedOn w:val="DefaultParagraphFont"/>
    <w:link w:val="EndNoteBibliography"/>
    <w:rsid w:val="00A918D9"/>
    <w:rPr>
      <w:rFonts w:ascii="Calibri" w:hAnsi="Calibri" w:cs="Calibri"/>
      <w:noProof/>
    </w:rPr>
  </w:style>
  <w:style w:type="character" w:customStyle="1" w:styleId="st">
    <w:name w:val="st"/>
    <w:basedOn w:val="DefaultParagraphFont"/>
    <w:rsid w:val="001E0C2D"/>
  </w:style>
  <w:style w:type="paragraph" w:customStyle="1" w:styleId="Punkte">
    <w:name w:val="Punkte"/>
    <w:basedOn w:val="ListParagraph"/>
    <w:link w:val="PunkteZchn"/>
    <w:qFormat/>
    <w:rsid w:val="00CD2758"/>
    <w:pPr>
      <w:numPr>
        <w:numId w:val="5"/>
      </w:numPr>
      <w:spacing w:line="360" w:lineRule="auto"/>
      <w:jc w:val="both"/>
    </w:pPr>
    <w:rPr>
      <w:rFonts w:ascii="Arial" w:hAnsi="Arial" w:cs="Arial"/>
      <w:lang w:val="de-CH"/>
    </w:rPr>
  </w:style>
  <w:style w:type="character" w:customStyle="1" w:styleId="PunkteZchn">
    <w:name w:val="Punkte Zchn"/>
    <w:basedOn w:val="DefaultParagraphFont"/>
    <w:link w:val="Punkte"/>
    <w:rsid w:val="00CD2758"/>
    <w:rPr>
      <w:rFonts w:ascii="Arial" w:hAnsi="Arial" w:cs="Arial"/>
      <w:lang w:val="de-CH"/>
    </w:rPr>
  </w:style>
  <w:style w:type="paragraph" w:customStyle="1" w:styleId="ListemitNummern">
    <w:name w:val="Liste mit Nummern"/>
    <w:basedOn w:val="Punkte"/>
    <w:qFormat/>
    <w:rsid w:val="00CD2758"/>
    <w:pPr>
      <w:numPr>
        <w:numId w:val="6"/>
      </w:numPr>
    </w:pPr>
  </w:style>
  <w:style w:type="table" w:customStyle="1" w:styleId="Tabellenraster1">
    <w:name w:val="Tabellenraster1"/>
    <w:basedOn w:val="TableNormal"/>
    <w:next w:val="TableGrid"/>
    <w:rsid w:val="00CD2758"/>
    <w:pPr>
      <w:spacing w:after="0" w:line="240" w:lineRule="auto"/>
    </w:pPr>
    <w:rPr>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iche">
    <w:name w:val="Striche"/>
    <w:basedOn w:val="Normal"/>
    <w:rsid w:val="00CD2758"/>
    <w:pPr>
      <w:numPr>
        <w:numId w:val="7"/>
      </w:numPr>
      <w:spacing w:line="360" w:lineRule="auto"/>
      <w:jc w:val="both"/>
    </w:pPr>
    <w:rPr>
      <w:rFonts w:ascii="Arial" w:eastAsia="Times New Roman" w:hAnsi="Arial" w:cs="Times New Roman"/>
      <w:szCs w:val="24"/>
      <w:lang w:val="de-CH" w:eastAsia="de-DE"/>
    </w:rPr>
  </w:style>
  <w:style w:type="paragraph" w:customStyle="1" w:styleId="Pfleile">
    <w:name w:val="Pfleile"/>
    <w:basedOn w:val="Punkte"/>
    <w:link w:val="PfleileZchn"/>
    <w:qFormat/>
    <w:rsid w:val="00CD2758"/>
    <w:pPr>
      <w:numPr>
        <w:ilvl w:val="1"/>
      </w:numPr>
      <w:spacing w:line="312" w:lineRule="auto"/>
      <w:jc w:val="left"/>
    </w:pPr>
  </w:style>
  <w:style w:type="character" w:customStyle="1" w:styleId="PfleileZchn">
    <w:name w:val="Pfleile Zchn"/>
    <w:basedOn w:val="PunkteZchn"/>
    <w:link w:val="Pfleile"/>
    <w:rsid w:val="00CD2758"/>
    <w:rPr>
      <w:rFonts w:ascii="Arial" w:hAnsi="Arial" w:cs="Arial"/>
      <w:lang w:val="de-CH"/>
    </w:rPr>
  </w:style>
  <w:style w:type="paragraph" w:customStyle="1" w:styleId="berschrit1ohne">
    <w:name w:val="Überschrit 1_ohne"/>
    <w:basedOn w:val="Heading1"/>
    <w:qFormat/>
    <w:rsid w:val="00CD2758"/>
    <w:pPr>
      <w:numPr>
        <w:numId w:val="0"/>
      </w:numPr>
      <w:spacing w:before="0" w:after="240" w:line="360" w:lineRule="auto"/>
      <w:jc w:val="both"/>
    </w:pPr>
    <w:rPr>
      <w:rFonts w:ascii="Arial" w:hAnsi="Arial"/>
      <w:b/>
      <w:bCs/>
      <w:color w:val="auto"/>
      <w:sz w:val="28"/>
      <w:szCs w:val="28"/>
      <w:lang w:val="de-CH"/>
    </w:rPr>
  </w:style>
  <w:style w:type="character" w:customStyle="1" w:styleId="NoSpacingChar">
    <w:name w:val="No Spacing Char"/>
    <w:aliases w:val="Fussnote Char"/>
    <w:basedOn w:val="DefaultParagraphFont"/>
    <w:link w:val="NoSpacing"/>
    <w:uiPriority w:val="99"/>
    <w:rsid w:val="00CD2758"/>
  </w:style>
  <w:style w:type="paragraph" w:customStyle="1" w:styleId="berschrift2ohne">
    <w:name w:val="Überschrift 2_ohne"/>
    <w:basedOn w:val="Heading2"/>
    <w:qFormat/>
    <w:rsid w:val="00CD2758"/>
    <w:pPr>
      <w:numPr>
        <w:ilvl w:val="0"/>
        <w:numId w:val="0"/>
      </w:numPr>
      <w:spacing w:line="360" w:lineRule="auto"/>
      <w:jc w:val="both"/>
    </w:pPr>
    <w:rPr>
      <w:rFonts w:ascii="Arial" w:hAnsi="Arial"/>
      <w:b/>
      <w:bCs/>
      <w:color w:val="auto"/>
      <w:lang w:val="de-CH"/>
    </w:rPr>
  </w:style>
  <w:style w:type="paragraph" w:customStyle="1" w:styleId="CV">
    <w:name w:val="CV"/>
    <w:basedOn w:val="Normal"/>
    <w:uiPriority w:val="99"/>
    <w:rsid w:val="00CD2758"/>
    <w:pPr>
      <w:pBdr>
        <w:top w:val="single" w:sz="8" w:space="1" w:color="003366"/>
        <w:bottom w:val="single" w:sz="8" w:space="1" w:color="003366"/>
      </w:pBdr>
      <w:spacing w:before="60" w:after="60" w:line="240" w:lineRule="auto"/>
    </w:pPr>
    <w:rPr>
      <w:rFonts w:ascii="Times" w:eastAsia="Times New Roman" w:hAnsi="Times" w:cs="Times New Roman"/>
      <w:sz w:val="20"/>
      <w:szCs w:val="20"/>
      <w:lang w:val="de-CH" w:eastAsia="de-CH"/>
    </w:rPr>
  </w:style>
  <w:style w:type="paragraph" w:customStyle="1" w:styleId="berschriftblau">
    <w:name w:val="Überschrift blau"/>
    <w:basedOn w:val="Normal"/>
    <w:next w:val="Normal"/>
    <w:uiPriority w:val="99"/>
    <w:qFormat/>
    <w:rsid w:val="00CD2758"/>
    <w:pPr>
      <w:keepNext/>
      <w:keepLines/>
      <w:spacing w:before="240" w:after="0" w:line="312" w:lineRule="auto"/>
      <w:outlineLvl w:val="3"/>
    </w:pPr>
    <w:rPr>
      <w:rFonts w:ascii="Times" w:eastAsia="Times New Roman" w:hAnsi="Times" w:cs="Times New Roman"/>
      <w:b/>
      <w:color w:val="44546A" w:themeColor="text2"/>
      <w:lang w:val="de-CH" w:eastAsia="de-CH"/>
    </w:rPr>
  </w:style>
  <w:style w:type="character" w:customStyle="1" w:styleId="BodyTextChar">
    <w:name w:val="Body Text Char"/>
    <w:aliases w:val="Adresseindruck Char"/>
    <w:basedOn w:val="DefaultParagraphFont"/>
    <w:link w:val="BodyText"/>
    <w:locked/>
    <w:rsid w:val="00CD2758"/>
    <w:rPr>
      <w:rFonts w:ascii="Arial" w:hAnsi="Arial" w:cs="Arial"/>
      <w:spacing w:val="4"/>
      <w:sz w:val="17"/>
      <w:lang w:val="en-GB" w:eastAsia="de-DE"/>
    </w:rPr>
  </w:style>
  <w:style w:type="paragraph" w:styleId="BodyText">
    <w:name w:val="Body Text"/>
    <w:aliases w:val="Adresseindruck"/>
    <w:basedOn w:val="Normal"/>
    <w:link w:val="BodyTextChar"/>
    <w:unhideWhenUsed/>
    <w:rsid w:val="00CD2758"/>
    <w:pPr>
      <w:spacing w:after="0" w:line="200" w:lineRule="exact"/>
      <w:ind w:right="11"/>
    </w:pPr>
    <w:rPr>
      <w:rFonts w:ascii="Arial" w:hAnsi="Arial" w:cs="Arial"/>
      <w:spacing w:val="4"/>
      <w:sz w:val="17"/>
      <w:lang w:val="en-GB" w:eastAsia="de-DE"/>
    </w:rPr>
  </w:style>
  <w:style w:type="character" w:customStyle="1" w:styleId="TextkrperZchn1">
    <w:name w:val="Textkörper Zchn1"/>
    <w:basedOn w:val="DefaultParagraphFont"/>
    <w:uiPriority w:val="99"/>
    <w:semiHidden/>
    <w:rsid w:val="00CD2758"/>
  </w:style>
  <w:style w:type="table" w:customStyle="1" w:styleId="Tabellenraster2">
    <w:name w:val="Tabellenraster2"/>
    <w:basedOn w:val="TableNormal"/>
    <w:rsid w:val="00CD2758"/>
    <w:pPr>
      <w:spacing w:after="0" w:line="240" w:lineRule="auto"/>
    </w:pPr>
    <w:rPr>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
    <w:name w:val="liste"/>
    <w:basedOn w:val="Punkte"/>
    <w:link w:val="listeZchn"/>
    <w:qFormat/>
    <w:rsid w:val="00CD2758"/>
    <w:pPr>
      <w:numPr>
        <w:numId w:val="0"/>
      </w:numPr>
    </w:pPr>
  </w:style>
  <w:style w:type="character" w:customStyle="1" w:styleId="listeZchn">
    <w:name w:val="liste Zchn"/>
    <w:basedOn w:val="PunkteZchn"/>
    <w:link w:val="liste"/>
    <w:rsid w:val="00CD2758"/>
    <w:rPr>
      <w:rFonts w:ascii="Arial" w:hAnsi="Arial" w:cs="Arial"/>
      <w:lang w:val="de-CH"/>
    </w:rPr>
  </w:style>
  <w:style w:type="table" w:styleId="LightShading">
    <w:name w:val="Light Shading"/>
    <w:basedOn w:val="TableNormal"/>
    <w:uiPriority w:val="60"/>
    <w:rsid w:val="00CD2758"/>
    <w:pPr>
      <w:spacing w:after="0" w:line="240" w:lineRule="auto"/>
    </w:pPr>
    <w:rPr>
      <w:color w:val="000000" w:themeColor="text1" w:themeShade="BF"/>
      <w:lang w:val="de-C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styleId="TableofFigures">
    <w:name w:val="table of figures"/>
    <w:basedOn w:val="Normal"/>
    <w:next w:val="Normal"/>
    <w:uiPriority w:val="99"/>
    <w:unhideWhenUsed/>
    <w:rsid w:val="00CD2758"/>
    <w:pPr>
      <w:spacing w:after="0" w:line="360" w:lineRule="auto"/>
      <w:ind w:left="1134" w:hanging="1134"/>
    </w:pPr>
    <w:rPr>
      <w:rFonts w:ascii="Arial" w:hAnsi="Arial"/>
      <w:lang w:val="de-CH"/>
    </w:rPr>
  </w:style>
  <w:style w:type="paragraph" w:customStyle="1" w:styleId="polyStandard">
    <w:name w:val="poly_Standard"/>
    <w:qFormat/>
    <w:rsid w:val="00CD2758"/>
    <w:pPr>
      <w:spacing w:before="120" w:after="120" w:line="312" w:lineRule="auto"/>
      <w:jc w:val="both"/>
    </w:pPr>
    <w:rPr>
      <w:rFonts w:ascii="Times" w:eastAsia="Times New Roman" w:hAnsi="Times" w:cs="Times New Roman"/>
      <w:lang w:val="de-CH" w:eastAsia="de-CH"/>
    </w:rPr>
  </w:style>
  <w:style w:type="paragraph" w:customStyle="1" w:styleId="polyQuelle">
    <w:name w:val="poly_Quelle"/>
    <w:basedOn w:val="Normal"/>
    <w:next w:val="Normal"/>
    <w:rsid w:val="00CD2758"/>
    <w:pPr>
      <w:tabs>
        <w:tab w:val="left" w:pos="851"/>
      </w:tabs>
      <w:spacing w:before="120" w:after="480" w:line="240" w:lineRule="auto"/>
      <w:ind w:left="851" w:hanging="851"/>
    </w:pPr>
    <w:rPr>
      <w:rFonts w:ascii="Times" w:eastAsia="Times New Roman" w:hAnsi="Times" w:cs="Times New Roman"/>
      <w:sz w:val="18"/>
      <w:lang w:val="de-CH" w:eastAsia="de-CH"/>
    </w:rPr>
  </w:style>
  <w:style w:type="paragraph" w:customStyle="1" w:styleId="polyAbbZusammenfassung">
    <w:name w:val="poly_Abb_Zusammenfassung"/>
    <w:basedOn w:val="polyStandard"/>
    <w:next w:val="polyQuelle"/>
    <w:rsid w:val="00CD2758"/>
    <w:pPr>
      <w:keepNext/>
      <w:keepLines/>
      <w:pBdr>
        <w:bottom w:val="single" w:sz="4" w:space="1" w:color="2E74B5" w:themeColor="accent1" w:themeShade="BF"/>
      </w:pBdr>
      <w:spacing w:after="60" w:line="264" w:lineRule="auto"/>
    </w:pPr>
    <w:rPr>
      <w:i/>
      <w:sz w:val="20"/>
    </w:rPr>
  </w:style>
  <w:style w:type="paragraph" w:customStyle="1" w:styleId="polyAbbildung">
    <w:name w:val="poly_Abbildung"/>
    <w:basedOn w:val="polyStandard"/>
    <w:next w:val="polyAbbZusammenfassung"/>
    <w:rsid w:val="00CD2758"/>
    <w:pPr>
      <w:keepNext/>
      <w:keepLines/>
    </w:pPr>
  </w:style>
  <w:style w:type="paragraph" w:customStyle="1" w:styleId="polyberschrift1">
    <w:name w:val="poly_Überschrift 1"/>
    <w:next w:val="polyStandard"/>
    <w:rsid w:val="00CD2758"/>
    <w:pPr>
      <w:keepNext/>
      <w:keepLines/>
      <w:numPr>
        <w:numId w:val="8"/>
      </w:numPr>
      <w:spacing w:before="160" w:line="312" w:lineRule="auto"/>
      <w:contextualSpacing/>
      <w:outlineLvl w:val="0"/>
    </w:pPr>
    <w:rPr>
      <w:rFonts w:ascii="HelveticaNeueLT Std" w:eastAsia="Times New Roman" w:hAnsi="HelveticaNeueLT Std" w:cs="Times New Roman"/>
      <w:color w:val="808080" w:themeColor="background1" w:themeShade="80"/>
      <w:sz w:val="28"/>
      <w:szCs w:val="24"/>
      <w:lang w:val="de-CH" w:eastAsia="de-CH"/>
    </w:rPr>
  </w:style>
  <w:style w:type="paragraph" w:customStyle="1" w:styleId="polyberschrift2">
    <w:name w:val="poly_Überschrift 2"/>
    <w:basedOn w:val="polyStandard"/>
    <w:next w:val="polyStandard"/>
    <w:rsid w:val="00CD2758"/>
    <w:pPr>
      <w:keepNext/>
      <w:keepLines/>
      <w:numPr>
        <w:ilvl w:val="1"/>
        <w:numId w:val="8"/>
      </w:numPr>
      <w:spacing w:before="480"/>
      <w:jc w:val="left"/>
      <w:outlineLvl w:val="1"/>
    </w:pPr>
    <w:rPr>
      <w:b/>
      <w:color w:val="808080" w:themeColor="background1" w:themeShade="80"/>
      <w:sz w:val="24"/>
    </w:rPr>
  </w:style>
  <w:style w:type="paragraph" w:customStyle="1" w:styleId="polyberschrift3">
    <w:name w:val="poly_Überschrift 3"/>
    <w:basedOn w:val="polyStandard"/>
    <w:next w:val="polyStandard"/>
    <w:rsid w:val="00CD2758"/>
    <w:pPr>
      <w:keepNext/>
      <w:keepLines/>
      <w:numPr>
        <w:ilvl w:val="2"/>
        <w:numId w:val="8"/>
      </w:numPr>
      <w:tabs>
        <w:tab w:val="left" w:pos="851"/>
      </w:tabs>
      <w:spacing w:before="360"/>
      <w:jc w:val="left"/>
      <w:outlineLvl w:val="2"/>
    </w:pPr>
    <w:rPr>
      <w:b/>
      <w:i/>
      <w:color w:val="808080" w:themeColor="background1" w:themeShade="80"/>
    </w:rPr>
  </w:style>
  <w:style w:type="paragraph" w:customStyle="1" w:styleId="polyberschrift4">
    <w:name w:val="poly_Überschrift 4"/>
    <w:basedOn w:val="polyStandard"/>
    <w:next w:val="polyStandard"/>
    <w:rsid w:val="00CD2758"/>
    <w:pPr>
      <w:keepNext/>
      <w:keepLines/>
      <w:spacing w:before="240" w:after="0"/>
      <w:jc w:val="left"/>
      <w:outlineLvl w:val="3"/>
    </w:pPr>
    <w:rPr>
      <w:b/>
      <w:color w:val="808080" w:themeColor="background1" w:themeShade="80"/>
    </w:rPr>
  </w:style>
  <w:style w:type="paragraph" w:customStyle="1" w:styleId="polyTabTextlinks">
    <w:name w:val="poly_Tab_Text_links"/>
    <w:basedOn w:val="polyStandard"/>
    <w:rsid w:val="00CD2758"/>
    <w:pPr>
      <w:keepNext/>
      <w:spacing w:before="60" w:after="60" w:line="240" w:lineRule="auto"/>
      <w:jc w:val="left"/>
    </w:pPr>
    <w:rPr>
      <w:rFonts w:ascii="HelveticaNeueLT Std Cn" w:hAnsi="HelveticaNeueLT Std Cn"/>
      <w:sz w:val="18"/>
    </w:rPr>
  </w:style>
  <w:style w:type="paragraph" w:customStyle="1" w:styleId="polyTabSpaltentitel">
    <w:name w:val="poly_Tab_Spaltentitel"/>
    <w:basedOn w:val="polyStandard"/>
    <w:next w:val="polyTabTextlinks"/>
    <w:rsid w:val="00CD2758"/>
    <w:pPr>
      <w:keepNext/>
      <w:spacing w:line="240" w:lineRule="auto"/>
      <w:jc w:val="center"/>
    </w:pPr>
    <w:rPr>
      <w:rFonts w:ascii="HelveticaNeueLT Std Med Cn" w:hAnsi="HelveticaNeueLT Std Med Cn"/>
      <w:sz w:val="18"/>
      <w:szCs w:val="21"/>
    </w:rPr>
  </w:style>
  <w:style w:type="paragraph" w:customStyle="1" w:styleId="polyTabTextzentriert">
    <w:name w:val="poly_Tab_Text_zentriert"/>
    <w:basedOn w:val="polyTabTextlinks"/>
    <w:rsid w:val="00CD2758"/>
    <w:pPr>
      <w:jc w:val="center"/>
    </w:pPr>
  </w:style>
  <w:style w:type="paragraph" w:customStyle="1" w:styleId="polyTabTextrechts">
    <w:name w:val="poly_Tab_Text_rechts"/>
    <w:basedOn w:val="polyTabTextlinks"/>
    <w:rsid w:val="00CD2758"/>
    <w:pPr>
      <w:jc w:val="right"/>
    </w:pPr>
  </w:style>
  <w:style w:type="paragraph" w:customStyle="1" w:styleId="polyTabFussnote">
    <w:name w:val="poly_Tab_Fussnote"/>
    <w:basedOn w:val="polyTabTextlinks"/>
    <w:next w:val="polyStandard"/>
    <w:rsid w:val="00CD2758"/>
    <w:pPr>
      <w:tabs>
        <w:tab w:val="left" w:pos="357"/>
      </w:tabs>
      <w:ind w:left="357" w:hanging="357"/>
    </w:pPr>
  </w:style>
  <w:style w:type="character" w:styleId="Emphasis">
    <w:name w:val="Emphasis"/>
    <w:basedOn w:val="DefaultParagraphFont"/>
    <w:uiPriority w:val="20"/>
    <w:qFormat/>
    <w:rsid w:val="00CD2758"/>
    <w:rPr>
      <w:i/>
      <w:iCs/>
    </w:rPr>
  </w:style>
  <w:style w:type="character" w:customStyle="1" w:styleId="apple-converted-space">
    <w:name w:val="apple-converted-space"/>
    <w:basedOn w:val="DefaultParagraphFont"/>
    <w:rsid w:val="00CD2758"/>
  </w:style>
  <w:style w:type="table" w:styleId="LightShading-Accent1">
    <w:name w:val="Light Shading Accent 1"/>
    <w:basedOn w:val="TableNormal"/>
    <w:uiPriority w:val="60"/>
    <w:rsid w:val="00CD2758"/>
    <w:pPr>
      <w:spacing w:after="0" w:line="240" w:lineRule="auto"/>
    </w:pPr>
    <w:rPr>
      <w:color w:val="2E74B5" w:themeColor="accent1" w:themeShade="BF"/>
      <w:lang w:val="de-DE"/>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HelleSchattierung-Akzent11">
    <w:name w:val="Helle Schattierung - Akzent 11"/>
    <w:basedOn w:val="TableNormal"/>
    <w:next w:val="LightShading-Accent1"/>
    <w:uiPriority w:val="60"/>
    <w:rsid w:val="00CD2758"/>
    <w:pPr>
      <w:spacing w:after="0" w:line="240" w:lineRule="auto"/>
    </w:pPr>
    <w:rPr>
      <w:color w:val="2E74B5" w:themeColor="accent1" w:themeShade="BF"/>
      <w:lang w:val="de-DE"/>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HelleSchattierung-Akzent12">
    <w:name w:val="Helle Schattierung - Akzent 12"/>
    <w:basedOn w:val="TableNormal"/>
    <w:next w:val="LightShading-Accent1"/>
    <w:uiPriority w:val="60"/>
    <w:rsid w:val="00CD2758"/>
    <w:pPr>
      <w:spacing w:after="0" w:line="240" w:lineRule="auto"/>
    </w:pPr>
    <w:rPr>
      <w:color w:val="2E74B5" w:themeColor="accent1" w:themeShade="BF"/>
      <w:lang w:val="de-DE"/>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HelleSchattierung-Akzent13">
    <w:name w:val="Helle Schattierung - Akzent 13"/>
    <w:basedOn w:val="TableNormal"/>
    <w:next w:val="LightShading-Accent1"/>
    <w:uiPriority w:val="60"/>
    <w:rsid w:val="00CD2758"/>
    <w:pPr>
      <w:spacing w:after="0" w:line="240" w:lineRule="auto"/>
    </w:pPr>
    <w:rPr>
      <w:color w:val="2E74B5" w:themeColor="accent1" w:themeShade="BF"/>
      <w:lang w:val="de-DE"/>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xl65">
    <w:name w:val="xl65"/>
    <w:basedOn w:val="Normal"/>
    <w:rsid w:val="00CD2758"/>
    <w:pPr>
      <w:shd w:val="clear" w:color="000000" w:fill="FFFF00"/>
      <w:spacing w:before="100" w:beforeAutospacing="1" w:after="100" w:afterAutospacing="1" w:line="240" w:lineRule="auto"/>
      <w:jc w:val="center"/>
      <w:textAlignment w:val="top"/>
    </w:pPr>
    <w:rPr>
      <w:rFonts w:ascii="Calibri" w:eastAsia="Times New Roman" w:hAnsi="Calibri" w:cs="Times New Roman"/>
      <w:color w:val="010202"/>
      <w:sz w:val="16"/>
      <w:szCs w:val="16"/>
      <w:lang w:val="de-CH" w:eastAsia="de-CH"/>
    </w:rPr>
  </w:style>
  <w:style w:type="paragraph" w:customStyle="1" w:styleId="xl66">
    <w:name w:val="xl66"/>
    <w:basedOn w:val="Normal"/>
    <w:rsid w:val="00CD2758"/>
    <w:pPr>
      <w:spacing w:before="100" w:beforeAutospacing="1" w:after="100" w:afterAutospacing="1" w:line="240" w:lineRule="auto"/>
      <w:jc w:val="center"/>
      <w:textAlignment w:val="top"/>
    </w:pPr>
    <w:rPr>
      <w:rFonts w:ascii="Calibri" w:eastAsia="Times New Roman" w:hAnsi="Calibri" w:cs="Times New Roman"/>
      <w:color w:val="FF0000"/>
      <w:sz w:val="16"/>
      <w:szCs w:val="16"/>
      <w:lang w:val="de-CH" w:eastAsia="de-CH"/>
    </w:rPr>
  </w:style>
  <w:style w:type="paragraph" w:customStyle="1" w:styleId="xl67">
    <w:name w:val="xl67"/>
    <w:basedOn w:val="Normal"/>
    <w:rsid w:val="00CD2758"/>
    <w:pPr>
      <w:spacing w:before="100" w:beforeAutospacing="1" w:after="100" w:afterAutospacing="1" w:line="240" w:lineRule="auto"/>
      <w:textAlignment w:val="top"/>
    </w:pPr>
    <w:rPr>
      <w:rFonts w:ascii="Calibri" w:eastAsia="Times New Roman" w:hAnsi="Calibri" w:cs="Times New Roman"/>
      <w:sz w:val="24"/>
      <w:szCs w:val="24"/>
      <w:lang w:val="de-CH" w:eastAsia="de-CH"/>
    </w:rPr>
  </w:style>
  <w:style w:type="paragraph" w:customStyle="1" w:styleId="xl68">
    <w:name w:val="xl68"/>
    <w:basedOn w:val="Normal"/>
    <w:rsid w:val="00CD2758"/>
    <w:pPr>
      <w:spacing w:before="100" w:beforeAutospacing="1" w:after="100" w:afterAutospacing="1" w:line="240" w:lineRule="auto"/>
      <w:jc w:val="center"/>
      <w:textAlignment w:val="top"/>
    </w:pPr>
    <w:rPr>
      <w:rFonts w:ascii="Calibri" w:eastAsia="Times New Roman" w:hAnsi="Calibri" w:cs="Times New Roman"/>
      <w:color w:val="010202"/>
      <w:sz w:val="16"/>
      <w:szCs w:val="16"/>
      <w:lang w:val="de-CH" w:eastAsia="de-CH"/>
    </w:rPr>
  </w:style>
  <w:style w:type="paragraph" w:customStyle="1" w:styleId="xl69">
    <w:name w:val="xl69"/>
    <w:basedOn w:val="Normal"/>
    <w:rsid w:val="00CD2758"/>
    <w:pPr>
      <w:spacing w:before="100" w:beforeAutospacing="1" w:after="100" w:afterAutospacing="1" w:line="240" w:lineRule="auto"/>
      <w:textAlignment w:val="top"/>
    </w:pPr>
    <w:rPr>
      <w:rFonts w:ascii="Calibri" w:eastAsia="Times New Roman" w:hAnsi="Calibri" w:cs="Times New Roman"/>
      <w:color w:val="FF0000"/>
      <w:sz w:val="24"/>
      <w:szCs w:val="24"/>
      <w:lang w:val="de-CH" w:eastAsia="de-CH"/>
    </w:rPr>
  </w:style>
  <w:style w:type="paragraph" w:customStyle="1" w:styleId="xl70">
    <w:name w:val="xl70"/>
    <w:basedOn w:val="Normal"/>
    <w:rsid w:val="00CD2758"/>
    <w:pPr>
      <w:spacing w:before="100" w:beforeAutospacing="1" w:after="100" w:afterAutospacing="1" w:line="240" w:lineRule="auto"/>
      <w:textAlignment w:val="top"/>
    </w:pPr>
    <w:rPr>
      <w:rFonts w:ascii="Calibri" w:eastAsia="Times New Roman" w:hAnsi="Calibri" w:cs="Times New Roman"/>
      <w:sz w:val="24"/>
      <w:szCs w:val="24"/>
      <w:lang w:val="de-CH" w:eastAsia="de-CH"/>
    </w:rPr>
  </w:style>
  <w:style w:type="paragraph" w:customStyle="1" w:styleId="xl71">
    <w:name w:val="xl71"/>
    <w:basedOn w:val="Normal"/>
    <w:rsid w:val="00CD2758"/>
    <w:pPr>
      <w:spacing w:before="100" w:beforeAutospacing="1" w:after="100" w:afterAutospacing="1" w:line="240" w:lineRule="auto"/>
      <w:jc w:val="center"/>
      <w:textAlignment w:val="top"/>
    </w:pPr>
    <w:rPr>
      <w:rFonts w:ascii="Calibri" w:eastAsia="Times New Roman" w:hAnsi="Calibri" w:cs="Times New Roman"/>
      <w:color w:val="010202"/>
      <w:sz w:val="16"/>
      <w:szCs w:val="16"/>
      <w:lang w:val="de-CH" w:eastAsia="de-CH"/>
    </w:rPr>
  </w:style>
  <w:style w:type="paragraph" w:customStyle="1" w:styleId="xl72">
    <w:name w:val="xl72"/>
    <w:basedOn w:val="Normal"/>
    <w:rsid w:val="00CD2758"/>
    <w:pPr>
      <w:shd w:val="clear" w:color="000000" w:fill="C4D79B"/>
      <w:spacing w:before="100" w:beforeAutospacing="1" w:after="100" w:afterAutospacing="1" w:line="240" w:lineRule="auto"/>
      <w:textAlignment w:val="top"/>
    </w:pPr>
    <w:rPr>
      <w:rFonts w:ascii="Calibri" w:eastAsia="Times New Roman" w:hAnsi="Calibri" w:cs="Times New Roman"/>
      <w:color w:val="010202"/>
      <w:sz w:val="16"/>
      <w:szCs w:val="16"/>
      <w:lang w:val="de-CH" w:eastAsia="de-CH"/>
    </w:rPr>
  </w:style>
  <w:style w:type="paragraph" w:customStyle="1" w:styleId="xl73">
    <w:name w:val="xl73"/>
    <w:basedOn w:val="Normal"/>
    <w:rsid w:val="00CD2758"/>
    <w:pPr>
      <w:shd w:val="clear" w:color="000000" w:fill="C4D79B"/>
      <w:spacing w:before="100" w:beforeAutospacing="1" w:after="100" w:afterAutospacing="1" w:line="240" w:lineRule="auto"/>
      <w:textAlignment w:val="center"/>
    </w:pPr>
    <w:rPr>
      <w:rFonts w:ascii="Calibri" w:eastAsia="Times New Roman" w:hAnsi="Calibri" w:cs="Times New Roman"/>
      <w:color w:val="010202"/>
      <w:sz w:val="16"/>
      <w:szCs w:val="16"/>
      <w:lang w:val="de-CH" w:eastAsia="de-CH"/>
    </w:rPr>
  </w:style>
  <w:style w:type="paragraph" w:customStyle="1" w:styleId="xl74">
    <w:name w:val="xl74"/>
    <w:basedOn w:val="Normal"/>
    <w:rsid w:val="00CD2758"/>
    <w:pPr>
      <w:shd w:val="clear" w:color="000000" w:fill="C4D79B"/>
      <w:spacing w:before="100" w:beforeAutospacing="1" w:after="100" w:afterAutospacing="1" w:line="240" w:lineRule="auto"/>
      <w:jc w:val="center"/>
      <w:textAlignment w:val="top"/>
    </w:pPr>
    <w:rPr>
      <w:rFonts w:ascii="Calibri" w:eastAsia="Times New Roman" w:hAnsi="Calibri" w:cs="Times New Roman"/>
      <w:color w:val="010202"/>
      <w:sz w:val="16"/>
      <w:szCs w:val="16"/>
      <w:lang w:val="de-CH" w:eastAsia="de-CH"/>
    </w:rPr>
  </w:style>
  <w:style w:type="paragraph" w:customStyle="1" w:styleId="xl75">
    <w:name w:val="xl75"/>
    <w:basedOn w:val="Normal"/>
    <w:rsid w:val="00CD2758"/>
    <w:pPr>
      <w:shd w:val="clear" w:color="000000" w:fill="C4D79B"/>
      <w:spacing w:before="100" w:beforeAutospacing="1" w:after="100" w:afterAutospacing="1" w:line="240" w:lineRule="auto"/>
      <w:jc w:val="center"/>
      <w:textAlignment w:val="top"/>
    </w:pPr>
    <w:rPr>
      <w:rFonts w:ascii="Calibri" w:eastAsia="Times New Roman" w:hAnsi="Calibri" w:cs="Times New Roman"/>
      <w:sz w:val="24"/>
      <w:szCs w:val="24"/>
      <w:lang w:val="de-CH" w:eastAsia="de-CH"/>
    </w:rPr>
  </w:style>
  <w:style w:type="paragraph" w:customStyle="1" w:styleId="xl76">
    <w:name w:val="xl76"/>
    <w:basedOn w:val="Normal"/>
    <w:rsid w:val="00CD2758"/>
    <w:pPr>
      <w:spacing w:before="100" w:beforeAutospacing="1" w:after="100" w:afterAutospacing="1" w:line="240" w:lineRule="auto"/>
      <w:textAlignment w:val="top"/>
    </w:pPr>
    <w:rPr>
      <w:rFonts w:ascii="Calibri" w:eastAsia="Times New Roman" w:hAnsi="Calibri" w:cs="Times New Roman"/>
      <w:sz w:val="16"/>
      <w:szCs w:val="16"/>
      <w:lang w:val="de-CH" w:eastAsia="de-CH"/>
    </w:rPr>
  </w:style>
  <w:style w:type="paragraph" w:customStyle="1" w:styleId="xl77">
    <w:name w:val="xl77"/>
    <w:basedOn w:val="Normal"/>
    <w:rsid w:val="00CD2758"/>
    <w:pPr>
      <w:shd w:val="clear" w:color="000000" w:fill="C4D79B"/>
      <w:spacing w:before="100" w:beforeAutospacing="1" w:after="100" w:afterAutospacing="1" w:line="240" w:lineRule="auto"/>
      <w:jc w:val="center"/>
      <w:textAlignment w:val="top"/>
    </w:pPr>
    <w:rPr>
      <w:rFonts w:ascii="Calibri" w:eastAsia="Times New Roman" w:hAnsi="Calibri" w:cs="Times New Roman"/>
      <w:color w:val="FF0000"/>
      <w:sz w:val="16"/>
      <w:szCs w:val="16"/>
      <w:lang w:val="de-CH" w:eastAsia="de-CH"/>
    </w:rPr>
  </w:style>
  <w:style w:type="paragraph" w:customStyle="1" w:styleId="xl78">
    <w:name w:val="xl78"/>
    <w:basedOn w:val="Normal"/>
    <w:rsid w:val="00CD2758"/>
    <w:pPr>
      <w:shd w:val="clear" w:color="000000" w:fill="B8CCE4"/>
      <w:spacing w:before="100" w:beforeAutospacing="1" w:after="100" w:afterAutospacing="1" w:line="240" w:lineRule="auto"/>
      <w:jc w:val="center"/>
      <w:textAlignment w:val="top"/>
    </w:pPr>
    <w:rPr>
      <w:rFonts w:ascii="Calibri" w:eastAsia="Times New Roman" w:hAnsi="Calibri" w:cs="Times New Roman"/>
      <w:color w:val="FF0000"/>
      <w:sz w:val="24"/>
      <w:szCs w:val="24"/>
      <w:lang w:val="de-CH" w:eastAsia="de-CH"/>
    </w:rPr>
  </w:style>
  <w:style w:type="paragraph" w:customStyle="1" w:styleId="xl79">
    <w:name w:val="xl79"/>
    <w:basedOn w:val="Normal"/>
    <w:rsid w:val="00CD2758"/>
    <w:pPr>
      <w:shd w:val="clear" w:color="000000" w:fill="FABF8F"/>
      <w:spacing w:before="100" w:beforeAutospacing="1" w:after="100" w:afterAutospacing="1" w:line="240" w:lineRule="auto"/>
      <w:jc w:val="center"/>
      <w:textAlignment w:val="top"/>
    </w:pPr>
    <w:rPr>
      <w:rFonts w:ascii="Calibri" w:eastAsia="Times New Roman" w:hAnsi="Calibri" w:cs="Times New Roman"/>
      <w:color w:val="FF0000"/>
      <w:sz w:val="24"/>
      <w:szCs w:val="24"/>
      <w:lang w:val="de-CH" w:eastAsia="de-CH"/>
    </w:rPr>
  </w:style>
  <w:style w:type="paragraph" w:customStyle="1" w:styleId="xl80">
    <w:name w:val="xl80"/>
    <w:basedOn w:val="Normal"/>
    <w:rsid w:val="00CD2758"/>
    <w:pPr>
      <w:shd w:val="clear" w:color="000000" w:fill="C4D79B"/>
      <w:spacing w:before="100" w:beforeAutospacing="1" w:after="100" w:afterAutospacing="1" w:line="240" w:lineRule="auto"/>
      <w:jc w:val="center"/>
      <w:textAlignment w:val="top"/>
    </w:pPr>
    <w:rPr>
      <w:rFonts w:ascii="Calibri" w:eastAsia="Times New Roman" w:hAnsi="Calibri" w:cs="Times New Roman"/>
      <w:color w:val="FF0000"/>
      <w:sz w:val="24"/>
      <w:szCs w:val="24"/>
      <w:lang w:val="de-CH" w:eastAsia="de-CH"/>
    </w:rPr>
  </w:style>
  <w:style w:type="paragraph" w:customStyle="1" w:styleId="xl81">
    <w:name w:val="xl81"/>
    <w:basedOn w:val="Normal"/>
    <w:rsid w:val="00CD2758"/>
    <w:pPr>
      <w:spacing w:before="100" w:beforeAutospacing="1" w:after="100" w:afterAutospacing="1" w:line="240" w:lineRule="auto"/>
      <w:textAlignment w:val="top"/>
    </w:pPr>
    <w:rPr>
      <w:rFonts w:ascii="Calibri" w:eastAsia="Times New Roman" w:hAnsi="Calibri" w:cs="Times New Roman"/>
      <w:sz w:val="16"/>
      <w:szCs w:val="16"/>
      <w:lang w:val="de-CH" w:eastAsia="de-CH"/>
    </w:rPr>
  </w:style>
  <w:style w:type="paragraph" w:customStyle="1" w:styleId="xl82">
    <w:name w:val="xl82"/>
    <w:basedOn w:val="Normal"/>
    <w:rsid w:val="00CD2758"/>
    <w:pPr>
      <w:shd w:val="clear" w:color="000000" w:fill="FFFF00"/>
      <w:spacing w:before="100" w:beforeAutospacing="1" w:after="100" w:afterAutospacing="1" w:line="240" w:lineRule="auto"/>
      <w:textAlignment w:val="top"/>
    </w:pPr>
    <w:rPr>
      <w:rFonts w:ascii="Calibri" w:eastAsia="Times New Roman" w:hAnsi="Calibri" w:cs="Times New Roman"/>
      <w:sz w:val="16"/>
      <w:szCs w:val="16"/>
      <w:lang w:val="de-CH" w:eastAsia="de-CH"/>
    </w:rPr>
  </w:style>
  <w:style w:type="paragraph" w:customStyle="1" w:styleId="xl83">
    <w:name w:val="xl83"/>
    <w:basedOn w:val="Normal"/>
    <w:rsid w:val="00CD2758"/>
    <w:pPr>
      <w:shd w:val="clear" w:color="000000" w:fill="92CDDC"/>
      <w:spacing w:before="100" w:beforeAutospacing="1" w:after="100" w:afterAutospacing="1" w:line="240" w:lineRule="auto"/>
      <w:textAlignment w:val="top"/>
    </w:pPr>
    <w:rPr>
      <w:rFonts w:ascii="Calibri" w:eastAsia="Times New Roman" w:hAnsi="Calibri" w:cs="Times New Roman"/>
      <w:sz w:val="16"/>
      <w:szCs w:val="16"/>
      <w:lang w:val="de-CH" w:eastAsia="de-CH"/>
    </w:rPr>
  </w:style>
  <w:style w:type="paragraph" w:customStyle="1" w:styleId="xl84">
    <w:name w:val="xl84"/>
    <w:basedOn w:val="Normal"/>
    <w:rsid w:val="00CD2758"/>
    <w:pPr>
      <w:shd w:val="clear" w:color="000000" w:fill="DAEEF3"/>
      <w:spacing w:before="100" w:beforeAutospacing="1" w:after="100" w:afterAutospacing="1" w:line="240" w:lineRule="auto"/>
      <w:textAlignment w:val="top"/>
    </w:pPr>
    <w:rPr>
      <w:rFonts w:ascii="Calibri" w:eastAsia="Times New Roman" w:hAnsi="Calibri" w:cs="Times New Roman"/>
      <w:sz w:val="16"/>
      <w:szCs w:val="16"/>
      <w:lang w:val="de-CH" w:eastAsia="de-CH"/>
    </w:rPr>
  </w:style>
  <w:style w:type="paragraph" w:customStyle="1" w:styleId="xl85">
    <w:name w:val="xl85"/>
    <w:basedOn w:val="Normal"/>
    <w:rsid w:val="00CD2758"/>
    <w:pPr>
      <w:shd w:val="clear" w:color="000000" w:fill="FFFF00"/>
      <w:spacing w:before="100" w:beforeAutospacing="1" w:after="100" w:afterAutospacing="1" w:line="240" w:lineRule="auto"/>
      <w:textAlignment w:val="top"/>
    </w:pPr>
    <w:rPr>
      <w:rFonts w:ascii="Calibri" w:eastAsia="Times New Roman" w:hAnsi="Calibri" w:cs="Times New Roman"/>
      <w:sz w:val="16"/>
      <w:szCs w:val="16"/>
      <w:lang w:val="de-CH" w:eastAsia="de-CH"/>
    </w:rPr>
  </w:style>
  <w:style w:type="paragraph" w:customStyle="1" w:styleId="xl86">
    <w:name w:val="xl86"/>
    <w:basedOn w:val="Normal"/>
    <w:rsid w:val="00CD2758"/>
    <w:pPr>
      <w:shd w:val="clear" w:color="000000" w:fill="DAEEF3"/>
      <w:spacing w:before="100" w:beforeAutospacing="1" w:after="100" w:afterAutospacing="1" w:line="240" w:lineRule="auto"/>
      <w:textAlignment w:val="top"/>
    </w:pPr>
    <w:rPr>
      <w:rFonts w:ascii="Calibri" w:eastAsia="Times New Roman" w:hAnsi="Calibri" w:cs="Times New Roman"/>
      <w:sz w:val="16"/>
      <w:szCs w:val="16"/>
      <w:lang w:val="de-CH" w:eastAsia="de-CH"/>
    </w:rPr>
  </w:style>
  <w:style w:type="paragraph" w:customStyle="1" w:styleId="xl87">
    <w:name w:val="xl87"/>
    <w:basedOn w:val="Normal"/>
    <w:rsid w:val="00CD2758"/>
    <w:pPr>
      <w:shd w:val="clear" w:color="000000" w:fill="B8CCE4"/>
      <w:spacing w:before="100" w:beforeAutospacing="1" w:after="100" w:afterAutospacing="1" w:line="240" w:lineRule="auto"/>
      <w:textAlignment w:val="top"/>
    </w:pPr>
    <w:rPr>
      <w:rFonts w:ascii="Calibri" w:eastAsia="Times New Roman" w:hAnsi="Calibri" w:cs="Times New Roman"/>
      <w:sz w:val="24"/>
      <w:szCs w:val="24"/>
      <w:lang w:val="de-CH" w:eastAsia="de-CH"/>
    </w:rPr>
  </w:style>
  <w:style w:type="paragraph" w:customStyle="1" w:styleId="xl88">
    <w:name w:val="xl88"/>
    <w:basedOn w:val="Normal"/>
    <w:rsid w:val="00CD2758"/>
    <w:pPr>
      <w:shd w:val="clear" w:color="000000" w:fill="FABF8F"/>
      <w:spacing w:before="100" w:beforeAutospacing="1" w:after="100" w:afterAutospacing="1" w:line="240" w:lineRule="auto"/>
      <w:textAlignment w:val="top"/>
    </w:pPr>
    <w:rPr>
      <w:rFonts w:ascii="Calibri" w:eastAsia="Times New Roman" w:hAnsi="Calibri" w:cs="Times New Roman"/>
      <w:sz w:val="24"/>
      <w:szCs w:val="24"/>
      <w:lang w:val="de-CH" w:eastAsia="de-CH"/>
    </w:rPr>
  </w:style>
  <w:style w:type="paragraph" w:customStyle="1" w:styleId="xl89">
    <w:name w:val="xl89"/>
    <w:basedOn w:val="Normal"/>
    <w:rsid w:val="00CD2758"/>
    <w:pPr>
      <w:shd w:val="clear" w:color="000000" w:fill="B8CCE4"/>
      <w:spacing w:before="100" w:beforeAutospacing="1" w:after="100" w:afterAutospacing="1" w:line="240" w:lineRule="auto"/>
      <w:textAlignment w:val="top"/>
    </w:pPr>
    <w:rPr>
      <w:rFonts w:ascii="Calibri" w:eastAsia="Times New Roman" w:hAnsi="Calibri" w:cs="Times New Roman"/>
      <w:sz w:val="24"/>
      <w:szCs w:val="24"/>
      <w:lang w:val="de-CH" w:eastAsia="de-CH"/>
    </w:rPr>
  </w:style>
  <w:style w:type="paragraph" w:customStyle="1" w:styleId="xl90">
    <w:name w:val="xl90"/>
    <w:basedOn w:val="Normal"/>
    <w:rsid w:val="00CD2758"/>
    <w:pPr>
      <w:shd w:val="clear" w:color="000000" w:fill="FABF8F"/>
      <w:spacing w:before="100" w:beforeAutospacing="1" w:after="100" w:afterAutospacing="1" w:line="240" w:lineRule="auto"/>
      <w:textAlignment w:val="top"/>
    </w:pPr>
    <w:rPr>
      <w:rFonts w:ascii="Calibri" w:eastAsia="Times New Roman" w:hAnsi="Calibri" w:cs="Times New Roman"/>
      <w:sz w:val="24"/>
      <w:szCs w:val="24"/>
      <w:lang w:val="de-CH" w:eastAsia="de-CH"/>
    </w:rPr>
  </w:style>
  <w:style w:type="paragraph" w:customStyle="1" w:styleId="NummerierteAufzhlung">
    <w:name w:val="Nummerierte Aufzählung"/>
    <w:basedOn w:val="Normal"/>
    <w:link w:val="NummerierteAufzhlungZchn"/>
    <w:rsid w:val="00CD2758"/>
    <w:pPr>
      <w:numPr>
        <w:numId w:val="9"/>
      </w:numPr>
      <w:spacing w:line="360" w:lineRule="auto"/>
      <w:jc w:val="both"/>
    </w:pPr>
    <w:rPr>
      <w:rFonts w:ascii="Arial" w:hAnsi="Arial"/>
      <w:lang w:val="de-CH"/>
    </w:rPr>
  </w:style>
  <w:style w:type="paragraph" w:customStyle="1" w:styleId="Anhang">
    <w:name w:val="Anhang"/>
    <w:basedOn w:val="NummerierteAufzhlung"/>
    <w:link w:val="AnhangZchn"/>
    <w:qFormat/>
    <w:rsid w:val="00CD2758"/>
    <w:pPr>
      <w:pageBreakBefore/>
      <w:numPr>
        <w:numId w:val="11"/>
      </w:numPr>
      <w:ind w:left="1701" w:hanging="1701"/>
      <w:jc w:val="left"/>
    </w:pPr>
    <w:rPr>
      <w:b/>
      <w:sz w:val="28"/>
    </w:rPr>
  </w:style>
  <w:style w:type="character" w:customStyle="1" w:styleId="NummerierteAufzhlungZchn">
    <w:name w:val="Nummerierte Aufzählung Zchn"/>
    <w:basedOn w:val="DefaultParagraphFont"/>
    <w:link w:val="NummerierteAufzhlung"/>
    <w:rsid w:val="00CD2758"/>
    <w:rPr>
      <w:rFonts w:ascii="Arial" w:hAnsi="Arial"/>
      <w:lang w:val="de-CH"/>
    </w:rPr>
  </w:style>
  <w:style w:type="character" w:customStyle="1" w:styleId="AnhangZchn">
    <w:name w:val="Anhang Zchn"/>
    <w:basedOn w:val="NummerierteAufzhlungZchn"/>
    <w:link w:val="Anhang"/>
    <w:rsid w:val="00CD2758"/>
    <w:rPr>
      <w:rFonts w:ascii="Arial" w:hAnsi="Arial"/>
      <w:b/>
      <w:sz w:val="28"/>
      <w:lang w:val="de-CH"/>
    </w:rPr>
  </w:style>
  <w:style w:type="paragraph" w:styleId="Quote">
    <w:name w:val="Quote"/>
    <w:basedOn w:val="Normal"/>
    <w:next w:val="Normal"/>
    <w:link w:val="QuoteChar"/>
    <w:uiPriority w:val="29"/>
    <w:qFormat/>
    <w:rsid w:val="00CD2758"/>
    <w:pPr>
      <w:spacing w:line="360" w:lineRule="auto"/>
      <w:jc w:val="both"/>
    </w:pPr>
    <w:rPr>
      <w:rFonts w:asciiTheme="minorBidi" w:hAnsiTheme="minorBidi" w:cs="Arial"/>
      <w:i/>
      <w:iCs/>
      <w:color w:val="000000" w:themeColor="text1"/>
      <w:lang w:val="de-CH"/>
    </w:rPr>
  </w:style>
  <w:style w:type="character" w:customStyle="1" w:styleId="QuoteChar">
    <w:name w:val="Quote Char"/>
    <w:basedOn w:val="DefaultParagraphFont"/>
    <w:link w:val="Quote"/>
    <w:uiPriority w:val="29"/>
    <w:rsid w:val="00CD2758"/>
    <w:rPr>
      <w:rFonts w:asciiTheme="minorBidi" w:hAnsiTheme="minorBidi" w:cs="Arial"/>
      <w:i/>
      <w:iCs/>
      <w:color w:val="000000" w:themeColor="text1"/>
      <w:lang w:val="de-CH"/>
    </w:rPr>
  </w:style>
  <w:style w:type="character" w:styleId="BookTitle">
    <w:name w:val="Book Title"/>
    <w:basedOn w:val="DefaultParagraphFont"/>
    <w:uiPriority w:val="33"/>
    <w:qFormat/>
    <w:rsid w:val="00CD2758"/>
    <w:rPr>
      <w:b/>
      <w:bCs/>
      <w:smallCaps/>
      <w:spacing w:val="5"/>
    </w:rPr>
  </w:style>
  <w:style w:type="character" w:styleId="IntenseReference">
    <w:name w:val="Intense Reference"/>
    <w:basedOn w:val="DefaultParagraphFont"/>
    <w:uiPriority w:val="32"/>
    <w:qFormat/>
    <w:rsid w:val="00CD2758"/>
    <w:rPr>
      <w:b/>
      <w:bCs/>
      <w:smallCaps/>
      <w:color w:val="ED7D31" w:themeColor="accent2"/>
      <w:spacing w:val="5"/>
      <w:u w:val="single"/>
    </w:rPr>
  </w:style>
  <w:style w:type="character" w:styleId="SubtleReference">
    <w:name w:val="Subtle Reference"/>
    <w:basedOn w:val="DefaultParagraphFont"/>
    <w:uiPriority w:val="31"/>
    <w:qFormat/>
    <w:rsid w:val="00CD2758"/>
    <w:rPr>
      <w:smallCaps/>
      <w:color w:val="ED7D31" w:themeColor="accent2"/>
      <w:u w:val="single"/>
    </w:rPr>
  </w:style>
  <w:style w:type="paragraph" w:styleId="IntenseQuote">
    <w:name w:val="Intense Quote"/>
    <w:basedOn w:val="Normal"/>
    <w:next w:val="Normal"/>
    <w:link w:val="IntenseQuoteChar"/>
    <w:uiPriority w:val="30"/>
    <w:qFormat/>
    <w:rsid w:val="00CD2758"/>
    <w:pPr>
      <w:pBdr>
        <w:bottom w:val="single" w:sz="4" w:space="4" w:color="5B9BD5" w:themeColor="accent1"/>
      </w:pBdr>
      <w:spacing w:before="200" w:after="280" w:line="360" w:lineRule="auto"/>
      <w:ind w:left="936" w:right="936"/>
      <w:jc w:val="both"/>
    </w:pPr>
    <w:rPr>
      <w:rFonts w:ascii="Arial" w:hAnsi="Arial"/>
      <w:b/>
      <w:bCs/>
      <w:i/>
      <w:iCs/>
      <w:color w:val="5B9BD5" w:themeColor="accent1"/>
      <w:lang w:val="de-CH"/>
    </w:rPr>
  </w:style>
  <w:style w:type="character" w:customStyle="1" w:styleId="IntenseQuoteChar">
    <w:name w:val="Intense Quote Char"/>
    <w:basedOn w:val="DefaultParagraphFont"/>
    <w:link w:val="IntenseQuote"/>
    <w:uiPriority w:val="30"/>
    <w:rsid w:val="00CD2758"/>
    <w:rPr>
      <w:rFonts w:ascii="Arial" w:hAnsi="Arial"/>
      <w:b/>
      <w:bCs/>
      <w:i/>
      <w:iCs/>
      <w:color w:val="5B9BD5" w:themeColor="accent1"/>
      <w:lang w:val="de-CH"/>
    </w:rPr>
  </w:style>
  <w:style w:type="character" w:styleId="IntenseEmphasis">
    <w:name w:val="Intense Emphasis"/>
    <w:basedOn w:val="DefaultParagraphFont"/>
    <w:uiPriority w:val="21"/>
    <w:qFormat/>
    <w:rsid w:val="00CD2758"/>
    <w:rPr>
      <w:b/>
      <w:bCs/>
      <w:i/>
      <w:iCs/>
      <w:color w:val="5B9BD5" w:themeColor="accent1"/>
    </w:rPr>
  </w:style>
  <w:style w:type="paragraph" w:styleId="EndnoteText">
    <w:name w:val="endnote text"/>
    <w:basedOn w:val="Normal"/>
    <w:link w:val="EndnoteTextChar"/>
    <w:uiPriority w:val="99"/>
    <w:semiHidden/>
    <w:unhideWhenUsed/>
    <w:rsid w:val="00CD2758"/>
    <w:pPr>
      <w:spacing w:after="0" w:line="240" w:lineRule="auto"/>
      <w:jc w:val="both"/>
    </w:pPr>
    <w:rPr>
      <w:rFonts w:ascii="Arial" w:hAnsi="Arial"/>
      <w:sz w:val="20"/>
      <w:szCs w:val="20"/>
      <w:lang w:val="de-CH"/>
    </w:rPr>
  </w:style>
  <w:style w:type="character" w:customStyle="1" w:styleId="EndnoteTextChar">
    <w:name w:val="Endnote Text Char"/>
    <w:basedOn w:val="DefaultParagraphFont"/>
    <w:link w:val="EndnoteText"/>
    <w:uiPriority w:val="99"/>
    <w:semiHidden/>
    <w:rsid w:val="00CD2758"/>
    <w:rPr>
      <w:rFonts w:ascii="Arial" w:hAnsi="Arial"/>
      <w:sz w:val="20"/>
      <w:szCs w:val="20"/>
      <w:lang w:val="de-CH"/>
    </w:rPr>
  </w:style>
  <w:style w:type="character" w:styleId="EndnoteReference">
    <w:name w:val="endnote reference"/>
    <w:basedOn w:val="DefaultParagraphFont"/>
    <w:uiPriority w:val="99"/>
    <w:semiHidden/>
    <w:unhideWhenUsed/>
    <w:rsid w:val="00CD2758"/>
    <w:rPr>
      <w:vertAlign w:val="superscript"/>
    </w:rPr>
  </w:style>
  <w:style w:type="table" w:customStyle="1" w:styleId="HelleSchattierung1">
    <w:name w:val="Helle Schattierung1"/>
    <w:basedOn w:val="TableNormal"/>
    <w:uiPriority w:val="60"/>
    <w:rsid w:val="00CD2758"/>
    <w:pPr>
      <w:spacing w:after="0" w:line="240" w:lineRule="auto"/>
    </w:pPr>
    <w:rPr>
      <w:color w:val="000000" w:themeColor="text1" w:themeShade="BF"/>
      <w:lang w:val="de-C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numbering" w:customStyle="1" w:styleId="Formatvorlage1">
    <w:name w:val="Formatvorlage1"/>
    <w:uiPriority w:val="99"/>
    <w:rsid w:val="00CD2758"/>
    <w:pPr>
      <w:numPr>
        <w:numId w:val="10"/>
      </w:numPr>
    </w:pPr>
  </w:style>
  <w:style w:type="paragraph" w:customStyle="1" w:styleId="Tabellen-Titel">
    <w:name w:val="Tabellen-Titel"/>
    <w:basedOn w:val="Caption"/>
    <w:link w:val="Tabellen-TitelZchn"/>
    <w:qFormat/>
    <w:rsid w:val="00CD2758"/>
    <w:pPr>
      <w:keepNext w:val="0"/>
      <w:keepLines/>
      <w:widowControl w:val="0"/>
      <w:spacing w:after="120" w:line="264" w:lineRule="auto"/>
      <w:ind w:left="1134" w:hanging="1134"/>
    </w:pPr>
    <w:rPr>
      <w:lang w:val="de-CH"/>
    </w:rPr>
  </w:style>
  <w:style w:type="paragraph" w:customStyle="1" w:styleId="ersterZwischentitel">
    <w:name w:val="erster Zwischentitel"/>
    <w:basedOn w:val="Zwischentitel"/>
    <w:link w:val="ersterZwischentitelZchn"/>
    <w:qFormat/>
    <w:rsid w:val="00CD2758"/>
    <w:rPr>
      <w:sz w:val="24"/>
      <w:szCs w:val="26"/>
    </w:rPr>
  </w:style>
  <w:style w:type="character" w:customStyle="1" w:styleId="CaptionChar">
    <w:name w:val="Caption Char"/>
    <w:basedOn w:val="DefaultParagraphFont"/>
    <w:link w:val="Caption"/>
    <w:uiPriority w:val="35"/>
    <w:rsid w:val="00CD2758"/>
    <w:rPr>
      <w:b/>
      <w:iCs/>
      <w:color w:val="0070C0"/>
      <w:szCs w:val="18"/>
    </w:rPr>
  </w:style>
  <w:style w:type="character" w:customStyle="1" w:styleId="Tabellen-TitelZchn">
    <w:name w:val="Tabellen-Titel Zchn"/>
    <w:basedOn w:val="CaptionChar"/>
    <w:link w:val="Tabellen-Titel"/>
    <w:rsid w:val="00CD2758"/>
    <w:rPr>
      <w:b/>
      <w:iCs/>
      <w:color w:val="0070C0"/>
      <w:szCs w:val="18"/>
      <w:lang w:val="de-CH"/>
    </w:rPr>
  </w:style>
  <w:style w:type="character" w:customStyle="1" w:styleId="ersterZwischentitelZchn">
    <w:name w:val="erster Zwischentitel Zchn"/>
    <w:basedOn w:val="ZwischentitelZchn"/>
    <w:link w:val="ersterZwischentitel"/>
    <w:rsid w:val="00CD2758"/>
    <w:rPr>
      <w:rFonts w:ascii="Arial" w:hAnsi="Arial"/>
      <w:b/>
      <w:sz w:val="24"/>
      <w:szCs w:val="26"/>
      <w:lang w:val="de-CH"/>
    </w:rPr>
  </w:style>
  <w:style w:type="paragraph" w:customStyle="1" w:styleId="nachTabelleStandard">
    <w:name w:val="nach Tabelle Standard"/>
    <w:basedOn w:val="Normal"/>
    <w:link w:val="nachTabelleStandardZchn"/>
    <w:qFormat/>
    <w:rsid w:val="00CD2758"/>
    <w:pPr>
      <w:spacing w:before="240" w:line="360" w:lineRule="auto"/>
      <w:jc w:val="both"/>
    </w:pPr>
    <w:rPr>
      <w:rFonts w:ascii="Arial" w:hAnsi="Arial"/>
      <w:lang w:val="de-CH"/>
    </w:rPr>
  </w:style>
  <w:style w:type="character" w:customStyle="1" w:styleId="nachTabelleStandardZchn">
    <w:name w:val="nach Tabelle Standard Zchn"/>
    <w:basedOn w:val="DefaultParagraphFont"/>
    <w:link w:val="nachTabelleStandard"/>
    <w:rsid w:val="00CD2758"/>
    <w:rPr>
      <w:rFonts w:ascii="Arial" w:hAnsi="Arial"/>
      <w:lang w:val="de-CH"/>
    </w:rPr>
  </w:style>
  <w:style w:type="paragraph" w:customStyle="1" w:styleId="msonormal0">
    <w:name w:val="msonormal"/>
    <w:basedOn w:val="Normal"/>
    <w:rsid w:val="005E0C2C"/>
    <w:pPr>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r="http://schemas.openxmlformats.org/officeDocument/2006/relationships" xmlns:w="http://schemas.openxmlformats.org/wordprocessingml/2006/main">
  <w:divs>
    <w:div w:id="2518578">
      <w:bodyDiv w:val="1"/>
      <w:marLeft w:val="0"/>
      <w:marRight w:val="0"/>
      <w:marTop w:val="0"/>
      <w:marBottom w:val="0"/>
      <w:divBdr>
        <w:top w:val="none" w:sz="0" w:space="0" w:color="auto"/>
        <w:left w:val="none" w:sz="0" w:space="0" w:color="auto"/>
        <w:bottom w:val="none" w:sz="0" w:space="0" w:color="auto"/>
        <w:right w:val="none" w:sz="0" w:space="0" w:color="auto"/>
      </w:divBdr>
    </w:div>
    <w:div w:id="92870356">
      <w:bodyDiv w:val="1"/>
      <w:marLeft w:val="0"/>
      <w:marRight w:val="0"/>
      <w:marTop w:val="0"/>
      <w:marBottom w:val="0"/>
      <w:divBdr>
        <w:top w:val="none" w:sz="0" w:space="0" w:color="auto"/>
        <w:left w:val="none" w:sz="0" w:space="0" w:color="auto"/>
        <w:bottom w:val="none" w:sz="0" w:space="0" w:color="auto"/>
        <w:right w:val="none" w:sz="0" w:space="0" w:color="auto"/>
      </w:divBdr>
    </w:div>
    <w:div w:id="130832156">
      <w:bodyDiv w:val="1"/>
      <w:marLeft w:val="0"/>
      <w:marRight w:val="0"/>
      <w:marTop w:val="0"/>
      <w:marBottom w:val="0"/>
      <w:divBdr>
        <w:top w:val="none" w:sz="0" w:space="0" w:color="auto"/>
        <w:left w:val="none" w:sz="0" w:space="0" w:color="auto"/>
        <w:bottom w:val="none" w:sz="0" w:space="0" w:color="auto"/>
        <w:right w:val="none" w:sz="0" w:space="0" w:color="auto"/>
      </w:divBdr>
    </w:div>
    <w:div w:id="313531759">
      <w:bodyDiv w:val="1"/>
      <w:marLeft w:val="0"/>
      <w:marRight w:val="0"/>
      <w:marTop w:val="0"/>
      <w:marBottom w:val="0"/>
      <w:divBdr>
        <w:top w:val="none" w:sz="0" w:space="0" w:color="auto"/>
        <w:left w:val="none" w:sz="0" w:space="0" w:color="auto"/>
        <w:bottom w:val="none" w:sz="0" w:space="0" w:color="auto"/>
        <w:right w:val="none" w:sz="0" w:space="0" w:color="auto"/>
      </w:divBdr>
    </w:div>
    <w:div w:id="357044562">
      <w:bodyDiv w:val="1"/>
      <w:marLeft w:val="0"/>
      <w:marRight w:val="0"/>
      <w:marTop w:val="0"/>
      <w:marBottom w:val="0"/>
      <w:divBdr>
        <w:top w:val="none" w:sz="0" w:space="0" w:color="auto"/>
        <w:left w:val="none" w:sz="0" w:space="0" w:color="auto"/>
        <w:bottom w:val="none" w:sz="0" w:space="0" w:color="auto"/>
        <w:right w:val="none" w:sz="0" w:space="0" w:color="auto"/>
      </w:divBdr>
    </w:div>
    <w:div w:id="416755341">
      <w:bodyDiv w:val="1"/>
      <w:marLeft w:val="0"/>
      <w:marRight w:val="0"/>
      <w:marTop w:val="0"/>
      <w:marBottom w:val="0"/>
      <w:divBdr>
        <w:top w:val="none" w:sz="0" w:space="0" w:color="auto"/>
        <w:left w:val="none" w:sz="0" w:space="0" w:color="auto"/>
        <w:bottom w:val="none" w:sz="0" w:space="0" w:color="auto"/>
        <w:right w:val="none" w:sz="0" w:space="0" w:color="auto"/>
      </w:divBdr>
    </w:div>
    <w:div w:id="431050163">
      <w:bodyDiv w:val="1"/>
      <w:marLeft w:val="0"/>
      <w:marRight w:val="0"/>
      <w:marTop w:val="0"/>
      <w:marBottom w:val="0"/>
      <w:divBdr>
        <w:top w:val="none" w:sz="0" w:space="0" w:color="auto"/>
        <w:left w:val="none" w:sz="0" w:space="0" w:color="auto"/>
        <w:bottom w:val="none" w:sz="0" w:space="0" w:color="auto"/>
        <w:right w:val="none" w:sz="0" w:space="0" w:color="auto"/>
      </w:divBdr>
    </w:div>
    <w:div w:id="439303822">
      <w:bodyDiv w:val="1"/>
      <w:marLeft w:val="0"/>
      <w:marRight w:val="0"/>
      <w:marTop w:val="0"/>
      <w:marBottom w:val="0"/>
      <w:divBdr>
        <w:top w:val="none" w:sz="0" w:space="0" w:color="auto"/>
        <w:left w:val="none" w:sz="0" w:space="0" w:color="auto"/>
        <w:bottom w:val="none" w:sz="0" w:space="0" w:color="auto"/>
        <w:right w:val="none" w:sz="0" w:space="0" w:color="auto"/>
      </w:divBdr>
    </w:div>
    <w:div w:id="507839109">
      <w:bodyDiv w:val="1"/>
      <w:marLeft w:val="0"/>
      <w:marRight w:val="0"/>
      <w:marTop w:val="0"/>
      <w:marBottom w:val="0"/>
      <w:divBdr>
        <w:top w:val="none" w:sz="0" w:space="0" w:color="auto"/>
        <w:left w:val="none" w:sz="0" w:space="0" w:color="auto"/>
        <w:bottom w:val="none" w:sz="0" w:space="0" w:color="auto"/>
        <w:right w:val="none" w:sz="0" w:space="0" w:color="auto"/>
      </w:divBdr>
    </w:div>
    <w:div w:id="684406953">
      <w:bodyDiv w:val="1"/>
      <w:marLeft w:val="0"/>
      <w:marRight w:val="0"/>
      <w:marTop w:val="0"/>
      <w:marBottom w:val="0"/>
      <w:divBdr>
        <w:top w:val="none" w:sz="0" w:space="0" w:color="auto"/>
        <w:left w:val="none" w:sz="0" w:space="0" w:color="auto"/>
        <w:bottom w:val="none" w:sz="0" w:space="0" w:color="auto"/>
        <w:right w:val="none" w:sz="0" w:space="0" w:color="auto"/>
      </w:divBdr>
    </w:div>
    <w:div w:id="732502859">
      <w:bodyDiv w:val="1"/>
      <w:marLeft w:val="0"/>
      <w:marRight w:val="0"/>
      <w:marTop w:val="0"/>
      <w:marBottom w:val="0"/>
      <w:divBdr>
        <w:top w:val="none" w:sz="0" w:space="0" w:color="auto"/>
        <w:left w:val="none" w:sz="0" w:space="0" w:color="auto"/>
        <w:bottom w:val="none" w:sz="0" w:space="0" w:color="auto"/>
        <w:right w:val="none" w:sz="0" w:space="0" w:color="auto"/>
      </w:divBdr>
    </w:div>
    <w:div w:id="752161008">
      <w:bodyDiv w:val="1"/>
      <w:marLeft w:val="0"/>
      <w:marRight w:val="0"/>
      <w:marTop w:val="0"/>
      <w:marBottom w:val="0"/>
      <w:divBdr>
        <w:top w:val="none" w:sz="0" w:space="0" w:color="auto"/>
        <w:left w:val="none" w:sz="0" w:space="0" w:color="auto"/>
        <w:bottom w:val="none" w:sz="0" w:space="0" w:color="auto"/>
        <w:right w:val="none" w:sz="0" w:space="0" w:color="auto"/>
      </w:divBdr>
      <w:divsChild>
        <w:div w:id="748776055">
          <w:marLeft w:val="0"/>
          <w:marRight w:val="0"/>
          <w:marTop w:val="0"/>
          <w:marBottom w:val="0"/>
          <w:divBdr>
            <w:top w:val="none" w:sz="0" w:space="0" w:color="auto"/>
            <w:left w:val="none" w:sz="0" w:space="0" w:color="auto"/>
            <w:bottom w:val="none" w:sz="0" w:space="0" w:color="auto"/>
            <w:right w:val="none" w:sz="0" w:space="0" w:color="auto"/>
          </w:divBdr>
        </w:div>
        <w:div w:id="127744665">
          <w:marLeft w:val="0"/>
          <w:marRight w:val="0"/>
          <w:marTop w:val="0"/>
          <w:marBottom w:val="0"/>
          <w:divBdr>
            <w:top w:val="none" w:sz="0" w:space="0" w:color="auto"/>
            <w:left w:val="none" w:sz="0" w:space="0" w:color="auto"/>
            <w:bottom w:val="none" w:sz="0" w:space="0" w:color="auto"/>
            <w:right w:val="none" w:sz="0" w:space="0" w:color="auto"/>
          </w:divBdr>
        </w:div>
        <w:div w:id="105467666">
          <w:marLeft w:val="0"/>
          <w:marRight w:val="0"/>
          <w:marTop w:val="0"/>
          <w:marBottom w:val="0"/>
          <w:divBdr>
            <w:top w:val="none" w:sz="0" w:space="0" w:color="auto"/>
            <w:left w:val="none" w:sz="0" w:space="0" w:color="auto"/>
            <w:bottom w:val="none" w:sz="0" w:space="0" w:color="auto"/>
            <w:right w:val="none" w:sz="0" w:space="0" w:color="auto"/>
          </w:divBdr>
        </w:div>
        <w:div w:id="158037469">
          <w:marLeft w:val="0"/>
          <w:marRight w:val="0"/>
          <w:marTop w:val="0"/>
          <w:marBottom w:val="0"/>
          <w:divBdr>
            <w:top w:val="none" w:sz="0" w:space="0" w:color="auto"/>
            <w:left w:val="none" w:sz="0" w:space="0" w:color="auto"/>
            <w:bottom w:val="none" w:sz="0" w:space="0" w:color="auto"/>
            <w:right w:val="none" w:sz="0" w:space="0" w:color="auto"/>
          </w:divBdr>
        </w:div>
        <w:div w:id="1561793251">
          <w:marLeft w:val="0"/>
          <w:marRight w:val="0"/>
          <w:marTop w:val="0"/>
          <w:marBottom w:val="0"/>
          <w:divBdr>
            <w:top w:val="none" w:sz="0" w:space="0" w:color="auto"/>
            <w:left w:val="none" w:sz="0" w:space="0" w:color="auto"/>
            <w:bottom w:val="none" w:sz="0" w:space="0" w:color="auto"/>
            <w:right w:val="none" w:sz="0" w:space="0" w:color="auto"/>
          </w:divBdr>
        </w:div>
      </w:divsChild>
    </w:div>
    <w:div w:id="887884896">
      <w:bodyDiv w:val="1"/>
      <w:marLeft w:val="0"/>
      <w:marRight w:val="0"/>
      <w:marTop w:val="0"/>
      <w:marBottom w:val="0"/>
      <w:divBdr>
        <w:top w:val="none" w:sz="0" w:space="0" w:color="auto"/>
        <w:left w:val="none" w:sz="0" w:space="0" w:color="auto"/>
        <w:bottom w:val="none" w:sz="0" w:space="0" w:color="auto"/>
        <w:right w:val="none" w:sz="0" w:space="0" w:color="auto"/>
      </w:divBdr>
    </w:div>
    <w:div w:id="940189029">
      <w:bodyDiv w:val="1"/>
      <w:marLeft w:val="0"/>
      <w:marRight w:val="0"/>
      <w:marTop w:val="0"/>
      <w:marBottom w:val="0"/>
      <w:divBdr>
        <w:top w:val="none" w:sz="0" w:space="0" w:color="auto"/>
        <w:left w:val="none" w:sz="0" w:space="0" w:color="auto"/>
        <w:bottom w:val="none" w:sz="0" w:space="0" w:color="auto"/>
        <w:right w:val="none" w:sz="0" w:space="0" w:color="auto"/>
      </w:divBdr>
    </w:div>
    <w:div w:id="1026637797">
      <w:bodyDiv w:val="1"/>
      <w:marLeft w:val="0"/>
      <w:marRight w:val="0"/>
      <w:marTop w:val="0"/>
      <w:marBottom w:val="0"/>
      <w:divBdr>
        <w:top w:val="none" w:sz="0" w:space="0" w:color="auto"/>
        <w:left w:val="none" w:sz="0" w:space="0" w:color="auto"/>
        <w:bottom w:val="none" w:sz="0" w:space="0" w:color="auto"/>
        <w:right w:val="none" w:sz="0" w:space="0" w:color="auto"/>
      </w:divBdr>
    </w:div>
    <w:div w:id="1185362797">
      <w:bodyDiv w:val="1"/>
      <w:marLeft w:val="0"/>
      <w:marRight w:val="0"/>
      <w:marTop w:val="0"/>
      <w:marBottom w:val="0"/>
      <w:divBdr>
        <w:top w:val="none" w:sz="0" w:space="0" w:color="auto"/>
        <w:left w:val="none" w:sz="0" w:space="0" w:color="auto"/>
        <w:bottom w:val="none" w:sz="0" w:space="0" w:color="auto"/>
        <w:right w:val="none" w:sz="0" w:space="0" w:color="auto"/>
      </w:divBdr>
    </w:div>
    <w:div w:id="1222014150">
      <w:bodyDiv w:val="1"/>
      <w:marLeft w:val="0"/>
      <w:marRight w:val="0"/>
      <w:marTop w:val="0"/>
      <w:marBottom w:val="0"/>
      <w:divBdr>
        <w:top w:val="none" w:sz="0" w:space="0" w:color="auto"/>
        <w:left w:val="none" w:sz="0" w:space="0" w:color="auto"/>
        <w:bottom w:val="none" w:sz="0" w:space="0" w:color="auto"/>
        <w:right w:val="none" w:sz="0" w:space="0" w:color="auto"/>
      </w:divBdr>
      <w:divsChild>
        <w:div w:id="1940748525">
          <w:marLeft w:val="0"/>
          <w:marRight w:val="0"/>
          <w:marTop w:val="0"/>
          <w:marBottom w:val="0"/>
          <w:divBdr>
            <w:top w:val="none" w:sz="0" w:space="0" w:color="auto"/>
            <w:left w:val="none" w:sz="0" w:space="0" w:color="auto"/>
            <w:bottom w:val="none" w:sz="0" w:space="0" w:color="auto"/>
            <w:right w:val="none" w:sz="0" w:space="0" w:color="auto"/>
          </w:divBdr>
        </w:div>
      </w:divsChild>
    </w:div>
    <w:div w:id="1287854249">
      <w:bodyDiv w:val="1"/>
      <w:marLeft w:val="0"/>
      <w:marRight w:val="0"/>
      <w:marTop w:val="0"/>
      <w:marBottom w:val="0"/>
      <w:divBdr>
        <w:top w:val="none" w:sz="0" w:space="0" w:color="auto"/>
        <w:left w:val="none" w:sz="0" w:space="0" w:color="auto"/>
        <w:bottom w:val="none" w:sz="0" w:space="0" w:color="auto"/>
        <w:right w:val="none" w:sz="0" w:space="0" w:color="auto"/>
      </w:divBdr>
    </w:div>
    <w:div w:id="1440875154">
      <w:bodyDiv w:val="1"/>
      <w:marLeft w:val="0"/>
      <w:marRight w:val="0"/>
      <w:marTop w:val="0"/>
      <w:marBottom w:val="0"/>
      <w:divBdr>
        <w:top w:val="none" w:sz="0" w:space="0" w:color="auto"/>
        <w:left w:val="none" w:sz="0" w:space="0" w:color="auto"/>
        <w:bottom w:val="none" w:sz="0" w:space="0" w:color="auto"/>
        <w:right w:val="none" w:sz="0" w:space="0" w:color="auto"/>
      </w:divBdr>
    </w:div>
    <w:div w:id="1456288464">
      <w:bodyDiv w:val="1"/>
      <w:marLeft w:val="0"/>
      <w:marRight w:val="0"/>
      <w:marTop w:val="0"/>
      <w:marBottom w:val="0"/>
      <w:divBdr>
        <w:top w:val="none" w:sz="0" w:space="0" w:color="auto"/>
        <w:left w:val="none" w:sz="0" w:space="0" w:color="auto"/>
        <w:bottom w:val="none" w:sz="0" w:space="0" w:color="auto"/>
        <w:right w:val="none" w:sz="0" w:space="0" w:color="auto"/>
      </w:divBdr>
    </w:div>
    <w:div w:id="1536582802">
      <w:bodyDiv w:val="1"/>
      <w:marLeft w:val="0"/>
      <w:marRight w:val="0"/>
      <w:marTop w:val="0"/>
      <w:marBottom w:val="0"/>
      <w:divBdr>
        <w:top w:val="none" w:sz="0" w:space="0" w:color="auto"/>
        <w:left w:val="none" w:sz="0" w:space="0" w:color="auto"/>
        <w:bottom w:val="none" w:sz="0" w:space="0" w:color="auto"/>
        <w:right w:val="none" w:sz="0" w:space="0" w:color="auto"/>
      </w:divBdr>
    </w:div>
    <w:div w:id="1580945771">
      <w:bodyDiv w:val="1"/>
      <w:marLeft w:val="0"/>
      <w:marRight w:val="0"/>
      <w:marTop w:val="0"/>
      <w:marBottom w:val="0"/>
      <w:divBdr>
        <w:top w:val="none" w:sz="0" w:space="0" w:color="auto"/>
        <w:left w:val="none" w:sz="0" w:space="0" w:color="auto"/>
        <w:bottom w:val="none" w:sz="0" w:space="0" w:color="auto"/>
        <w:right w:val="none" w:sz="0" w:space="0" w:color="auto"/>
      </w:divBdr>
    </w:div>
    <w:div w:id="1828207928">
      <w:bodyDiv w:val="1"/>
      <w:marLeft w:val="0"/>
      <w:marRight w:val="0"/>
      <w:marTop w:val="0"/>
      <w:marBottom w:val="0"/>
      <w:divBdr>
        <w:top w:val="none" w:sz="0" w:space="0" w:color="auto"/>
        <w:left w:val="none" w:sz="0" w:space="0" w:color="auto"/>
        <w:bottom w:val="none" w:sz="0" w:space="0" w:color="auto"/>
        <w:right w:val="none" w:sz="0" w:space="0" w:color="auto"/>
      </w:divBdr>
    </w:div>
    <w:div w:id="1848861940">
      <w:bodyDiv w:val="1"/>
      <w:marLeft w:val="0"/>
      <w:marRight w:val="0"/>
      <w:marTop w:val="0"/>
      <w:marBottom w:val="0"/>
      <w:divBdr>
        <w:top w:val="none" w:sz="0" w:space="0" w:color="auto"/>
        <w:left w:val="none" w:sz="0" w:space="0" w:color="auto"/>
        <w:bottom w:val="none" w:sz="0" w:space="0" w:color="auto"/>
        <w:right w:val="none" w:sz="0" w:space="0" w:color="auto"/>
      </w:divBdr>
    </w:div>
    <w:div w:id="1881746960">
      <w:bodyDiv w:val="1"/>
      <w:marLeft w:val="0"/>
      <w:marRight w:val="0"/>
      <w:marTop w:val="0"/>
      <w:marBottom w:val="0"/>
      <w:divBdr>
        <w:top w:val="none" w:sz="0" w:space="0" w:color="auto"/>
        <w:left w:val="none" w:sz="0" w:space="0" w:color="auto"/>
        <w:bottom w:val="none" w:sz="0" w:space="0" w:color="auto"/>
        <w:right w:val="none" w:sz="0" w:space="0" w:color="auto"/>
      </w:divBdr>
    </w:div>
    <w:div w:id="1901669040">
      <w:bodyDiv w:val="1"/>
      <w:marLeft w:val="0"/>
      <w:marRight w:val="0"/>
      <w:marTop w:val="0"/>
      <w:marBottom w:val="0"/>
      <w:divBdr>
        <w:top w:val="none" w:sz="0" w:space="0" w:color="auto"/>
        <w:left w:val="none" w:sz="0" w:space="0" w:color="auto"/>
        <w:bottom w:val="none" w:sz="0" w:space="0" w:color="auto"/>
        <w:right w:val="none" w:sz="0" w:space="0" w:color="auto"/>
      </w:divBdr>
    </w:div>
    <w:div w:id="20092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s.admin.ch/bfs/de/home/statistiken/gesundheit/erhebungen/sg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C1DDC-1CF5-498C-9055-082D7FEB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5221</Words>
  <Characters>29765</Characters>
  <Application>Microsoft Office Word</Application>
  <DocSecurity>0</DocSecurity>
  <Lines>248</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Washington</Company>
  <LinksUpToDate>false</LinksUpToDate>
  <CharactersWithSpaces>34917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Wieser</dc:creator>
  <cp:lastModifiedBy>0014360</cp:lastModifiedBy>
  <cp:revision>6</cp:revision>
  <cp:lastPrinted>2017-05-30T16:42:00Z</cp:lastPrinted>
  <dcterms:created xsi:type="dcterms:W3CDTF">2017-12-28T16:02:00Z</dcterms:created>
  <dcterms:modified xsi:type="dcterms:W3CDTF">2018-02-17T11:26:00Z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id="UgdYnU3H"/&gt;&lt;style id="http://www.zotero.org/styles/the-european-journal-of-health-economics" hasBibliography="1" bibliographyStyleHasBeenSet="1"/&gt;&lt;prefs&gt;&lt;pref name="fieldType" value="Field"/&gt;&lt;</vt:lpwstr>
  </property>
  <property fmtid="{D5CDD505-2E9C-101B-9397-08002B2CF9AE}" pid="3" name="ZOTERO_PREF_2">
    <vt:lpwstr>pref name="storeReferences" value="true"/&gt;&lt;pref name="automaticJournalAbbreviations" value="true"/&gt;&lt;pref name="noteType" value=""/&gt;&lt;/prefs&gt;&lt;/data&gt;</vt:lpwstr>
  </property>
</Properties>
</file>