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7C75" w14:textId="77777777" w:rsidR="009D0930" w:rsidRPr="00815D6B" w:rsidRDefault="009D0930" w:rsidP="009D0930">
      <w:pPr>
        <w:spacing w:line="480" w:lineRule="auto"/>
        <w:rPr>
          <w:rFonts w:ascii="Times New Roman" w:hAnsi="Times New Roman"/>
          <w:b/>
          <w:bCs/>
          <w:noProof/>
          <w:color w:val="000000" w:themeColor="text1"/>
          <w:sz w:val="20"/>
        </w:rPr>
      </w:pPr>
      <w:r w:rsidRPr="00815D6B">
        <w:rPr>
          <w:rFonts w:ascii="Times New Roman" w:hAnsi="Times New Roman"/>
          <w:b/>
          <w:bCs/>
          <w:noProof/>
          <w:color w:val="000000" w:themeColor="text1"/>
          <w:sz w:val="20"/>
        </w:rPr>
        <w:t>Title: Simultaneous Regulation of Ferroptosis Suppressor Protein 1 and Glutathione Peroxidase 4 as a New Therapeutic Strategy of Ferroptosis for Esophage</w:t>
      </w:r>
      <w:bookmarkStart w:id="0" w:name="_GoBack"/>
      <w:bookmarkEnd w:id="0"/>
      <w:r w:rsidRPr="00815D6B">
        <w:rPr>
          <w:rFonts w:ascii="Times New Roman" w:hAnsi="Times New Roman"/>
          <w:b/>
          <w:bCs/>
          <w:noProof/>
          <w:color w:val="000000" w:themeColor="text1"/>
          <w:sz w:val="20"/>
        </w:rPr>
        <w:t>al Squamous Cell Carcinoma</w:t>
      </w:r>
    </w:p>
    <w:p w14:paraId="401170F7" w14:textId="77777777" w:rsidR="009D0930" w:rsidRPr="00815D6B" w:rsidRDefault="009D0930" w:rsidP="009D0930">
      <w:pPr>
        <w:spacing w:line="480" w:lineRule="auto"/>
        <w:rPr>
          <w:rFonts w:ascii="Times New Roman" w:hAnsi="Times New Roman"/>
          <w:b/>
          <w:bCs/>
          <w:noProof/>
          <w:color w:val="000000" w:themeColor="text1"/>
          <w:sz w:val="20"/>
        </w:rPr>
      </w:pPr>
    </w:p>
    <w:p w14:paraId="7827931C" w14:textId="77777777" w:rsidR="009D0930" w:rsidRPr="00815D6B" w:rsidRDefault="009D0930" w:rsidP="009D0930">
      <w:pPr>
        <w:spacing w:line="480" w:lineRule="auto"/>
        <w:rPr>
          <w:rFonts w:ascii="Times New Roman" w:hAnsi="Times New Roman"/>
          <w:b/>
          <w:bCs/>
          <w:noProof/>
          <w:color w:val="000000" w:themeColor="text1"/>
          <w:sz w:val="20"/>
        </w:rPr>
      </w:pPr>
      <w:r w:rsidRPr="00815D6B">
        <w:rPr>
          <w:rFonts w:ascii="Times New Roman" w:hAnsi="Times New Roman"/>
          <w:b/>
          <w:bCs/>
          <w:noProof/>
          <w:color w:val="000000" w:themeColor="text1"/>
          <w:sz w:val="20"/>
        </w:rPr>
        <w:t xml:space="preserve">Journal name: </w:t>
      </w:r>
      <w:r w:rsidRPr="00D2297D">
        <w:rPr>
          <w:rFonts w:ascii="Times New Roman" w:hAnsi="Times New Roman"/>
          <w:b/>
          <w:bCs/>
          <w:i/>
          <w:noProof/>
          <w:color w:val="000000" w:themeColor="text1"/>
          <w:sz w:val="20"/>
        </w:rPr>
        <w:t>Esophagus</w:t>
      </w:r>
    </w:p>
    <w:p w14:paraId="2143A225" w14:textId="77777777" w:rsidR="009D0930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3AB01A6B" w14:textId="77777777" w:rsidR="009D0930" w:rsidRPr="00815D6B" w:rsidRDefault="009D0930" w:rsidP="009D0930">
      <w:pPr>
        <w:spacing w:line="480" w:lineRule="auto"/>
        <w:rPr>
          <w:rFonts w:ascii="Times New Roman" w:hAnsi="Times New Roman"/>
          <w:b/>
          <w:bCs/>
          <w:noProof/>
          <w:color w:val="000000" w:themeColor="text1"/>
          <w:sz w:val="20"/>
        </w:rPr>
      </w:pPr>
      <w:r w:rsidRPr="00815D6B">
        <w:rPr>
          <w:rFonts w:ascii="Times New Roman" w:hAnsi="Times New Roman"/>
          <w:b/>
          <w:bCs/>
          <w:noProof/>
          <w:color w:val="000000" w:themeColor="text1"/>
          <w:sz w:val="20"/>
        </w:rPr>
        <w:t>Wataru Miyauchi¹, Yuji Shishido¹, Yoshiaki Matsumi², Tomoyuki Matsunaga¹, Masahiro Makinoya¹, Shota Shimizu¹, Kozo Miyatani¹, Teruhisa Sakamoto¹, Yoshihisa Umekita</w:t>
      </w:r>
      <w:r w:rsidRPr="00D2297D">
        <w:rPr>
          <w:rFonts w:ascii="Times New Roman" w:hAnsi="Times New Roman"/>
          <w:b/>
          <w:color w:val="000000" w:themeColor="text1"/>
          <w:sz w:val="20"/>
          <w:vertAlign w:val="superscript"/>
        </w:rPr>
        <w:t>3</w:t>
      </w:r>
      <w:r w:rsidRPr="00815D6B">
        <w:rPr>
          <w:rFonts w:ascii="Times New Roman" w:hAnsi="Times New Roman"/>
          <w:b/>
          <w:bCs/>
          <w:noProof/>
          <w:color w:val="000000" w:themeColor="text1"/>
          <w:sz w:val="20"/>
        </w:rPr>
        <w:t>, Toshimichi Hasegawa¹, and Yoshiyuki Fujiwara¹</w:t>
      </w:r>
    </w:p>
    <w:p w14:paraId="10F23E76" w14:textId="77777777" w:rsidR="009D0930" w:rsidRPr="00A8759A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  <w:r w:rsidRPr="00D2297D">
        <w:rPr>
          <w:rFonts w:ascii="Times New Roman" w:hAnsi="Times New Roman"/>
          <w:color w:val="000000" w:themeColor="text1"/>
          <w:sz w:val="20"/>
          <w:vertAlign w:val="superscript"/>
        </w:rPr>
        <w:t>1</w:t>
      </w:r>
      <w:r w:rsidRPr="00A8759A">
        <w:rPr>
          <w:rFonts w:ascii="Times New Roman" w:hAnsi="Times New Roman"/>
          <w:noProof/>
          <w:color w:val="000000" w:themeColor="text1"/>
          <w:sz w:val="20"/>
        </w:rPr>
        <w:t xml:space="preserve"> Division of Gastrointestinal and Pediatric Surgery, Department of Surgery, Faculty of Medicine, Tottori University, Yonago, Japan</w:t>
      </w:r>
    </w:p>
    <w:p w14:paraId="3852E233" w14:textId="77777777" w:rsidR="009D0930" w:rsidRPr="00A8759A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  <w:r w:rsidRPr="00D2297D">
        <w:rPr>
          <w:rFonts w:ascii="Times New Roman" w:hAnsi="Times New Roman"/>
          <w:color w:val="000000" w:themeColor="text1"/>
          <w:sz w:val="20"/>
          <w:vertAlign w:val="superscript"/>
        </w:rPr>
        <w:t>2</w:t>
      </w:r>
      <w:r w:rsidRPr="00A8759A">
        <w:rPr>
          <w:rFonts w:ascii="Times New Roman" w:hAnsi="Times New Roman"/>
          <w:noProof/>
          <w:color w:val="000000" w:themeColor="text1"/>
          <w:sz w:val="20"/>
        </w:rPr>
        <w:t xml:space="preserve"> Division of Chemical Biology, Technical Department, Tottori University, Yonago, Japan</w:t>
      </w:r>
    </w:p>
    <w:p w14:paraId="5EBC943E" w14:textId="77777777" w:rsidR="009D0930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  <w:r w:rsidRPr="00D2297D">
        <w:rPr>
          <w:rFonts w:ascii="Times New Roman" w:hAnsi="Times New Roman"/>
          <w:color w:val="000000" w:themeColor="text1"/>
          <w:sz w:val="20"/>
          <w:vertAlign w:val="superscript"/>
        </w:rPr>
        <w:t>3</w:t>
      </w:r>
      <w:r w:rsidRPr="00A8759A">
        <w:rPr>
          <w:rFonts w:ascii="Times New Roman" w:hAnsi="Times New Roman"/>
          <w:noProof/>
          <w:color w:val="000000" w:themeColor="text1"/>
          <w:sz w:val="20"/>
        </w:rPr>
        <w:t xml:space="preserve"> Division of Organ Pathology, Department of Pathology, Faculty of Medicine, Tottori University, Yonago, Japan</w:t>
      </w:r>
    </w:p>
    <w:p w14:paraId="039006F0" w14:textId="77777777" w:rsidR="009D0930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4766D4B1" w14:textId="77777777" w:rsidR="009D0930" w:rsidRPr="00815D6B" w:rsidRDefault="009D0930" w:rsidP="009D0930">
      <w:pPr>
        <w:spacing w:line="480" w:lineRule="auto"/>
        <w:rPr>
          <w:rFonts w:ascii="Times New Roman" w:hAnsi="Times New Roman"/>
          <w:b/>
          <w:bCs/>
          <w:noProof/>
          <w:color w:val="000000" w:themeColor="text1"/>
          <w:sz w:val="20"/>
        </w:rPr>
      </w:pPr>
      <w:r w:rsidRPr="00815D6B">
        <w:rPr>
          <w:rFonts w:ascii="Times New Roman" w:hAnsi="Times New Roman"/>
          <w:b/>
          <w:bCs/>
          <w:noProof/>
          <w:color w:val="000000" w:themeColor="text1"/>
          <w:sz w:val="20"/>
        </w:rPr>
        <w:t>Corresponding Author</w:t>
      </w:r>
    </w:p>
    <w:p w14:paraId="4EFA6A49" w14:textId="77777777" w:rsidR="009D0930" w:rsidRPr="00A8759A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  <w:r w:rsidRPr="00A8759A">
        <w:rPr>
          <w:rFonts w:ascii="Times New Roman" w:hAnsi="Times New Roman"/>
          <w:noProof/>
          <w:color w:val="000000" w:themeColor="text1"/>
          <w:sz w:val="20"/>
        </w:rPr>
        <w:t>Wataru Miyauchi, MD</w:t>
      </w:r>
    </w:p>
    <w:p w14:paraId="77CC4024" w14:textId="77777777" w:rsidR="009D0930" w:rsidRPr="00A8759A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  <w:r w:rsidRPr="00A8759A">
        <w:rPr>
          <w:rFonts w:ascii="Times New Roman" w:hAnsi="Times New Roman"/>
          <w:noProof/>
          <w:color w:val="000000" w:themeColor="text1"/>
          <w:sz w:val="20"/>
        </w:rPr>
        <w:t>Division of Gastrointestinal and Pediatric Surgery, Department of Surgery, School of Medicine, Faculty of Medicine, Tottori University, 36-1, Nishi-cho, Yonago, Tottori, 683-8504, Japan</w:t>
      </w:r>
    </w:p>
    <w:p w14:paraId="71C5AC2C" w14:textId="24F94DEA" w:rsidR="009D0930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  <w:r w:rsidRPr="00A8759A">
        <w:rPr>
          <w:rFonts w:ascii="Times New Roman" w:hAnsi="Times New Roman"/>
          <w:noProof/>
          <w:color w:val="000000" w:themeColor="text1"/>
          <w:sz w:val="20"/>
        </w:rPr>
        <w:t xml:space="preserve">Email: </w:t>
      </w:r>
      <w:hyperlink r:id="rId10" w:history="1">
        <w:r w:rsidR="00EA6F88" w:rsidRPr="007B75A8">
          <w:rPr>
            <w:rStyle w:val="Hyperlink"/>
            <w:rFonts w:ascii="Times New Roman" w:hAnsi="Times New Roman"/>
            <w:noProof/>
            <w:sz w:val="20"/>
          </w:rPr>
          <w:t>wmiyauchi@tottori-u.ac.jp</w:t>
        </w:r>
      </w:hyperlink>
    </w:p>
    <w:p w14:paraId="0056A819" w14:textId="77777777" w:rsidR="00EA6F88" w:rsidRPr="00EA6F88" w:rsidRDefault="00EA6F88" w:rsidP="009D0930">
      <w:pPr>
        <w:spacing w:line="480" w:lineRule="auto"/>
        <w:rPr>
          <w:rFonts w:ascii="Times New Roman" w:hAnsi="Times New Roman"/>
          <w:color w:val="000000" w:themeColor="text1"/>
          <w:sz w:val="20"/>
        </w:rPr>
      </w:pPr>
    </w:p>
    <w:p w14:paraId="41349E49" w14:textId="42527FA3" w:rsidR="009A3575" w:rsidRPr="00580915" w:rsidRDefault="00C10D44" w:rsidP="00D2297D">
      <w:pPr>
        <w:spacing w:line="480" w:lineRule="auto"/>
        <w:jc w:val="center"/>
        <w:rPr>
          <w:rFonts w:ascii="Times New Roman" w:hAnsi="Times New Roman"/>
          <w:b/>
          <w:noProof/>
          <w:sz w:val="20"/>
        </w:rPr>
      </w:pPr>
      <w:r>
        <w:rPr>
          <w:rFonts w:ascii="Times New Roman" w:hAnsi="Times New Roman" w:hint="eastAsia"/>
          <w:b/>
          <w:noProof/>
          <w:sz w:val="20"/>
        </w:rPr>
        <w:lastRenderedPageBreak/>
        <w:t>Online Resource</w:t>
      </w:r>
      <w:r w:rsidR="009F2A20">
        <w:rPr>
          <w:rFonts w:ascii="Times New Roman" w:hAnsi="Times New Roman"/>
          <w:b/>
          <w:noProof/>
          <w:sz w:val="20"/>
        </w:rPr>
        <w:t xml:space="preserve"> </w:t>
      </w:r>
    </w:p>
    <w:p w14:paraId="57E90DFC" w14:textId="77777777" w:rsidR="00721306" w:rsidRPr="00580915" w:rsidRDefault="00721306" w:rsidP="00D2297D">
      <w:pPr>
        <w:spacing w:line="480" w:lineRule="auto"/>
        <w:rPr>
          <w:rFonts w:ascii="Times New Roman" w:hAnsi="Times New Roman"/>
          <w:b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b/>
          <w:noProof/>
          <w:color w:val="000000" w:themeColor="text1"/>
          <w:sz w:val="20"/>
        </w:rPr>
        <w:t>MATERIALS AND METHODS</w:t>
      </w:r>
    </w:p>
    <w:p w14:paraId="22CA618D" w14:textId="6FC0B627" w:rsidR="00721306" w:rsidRPr="00580915" w:rsidRDefault="00072748" w:rsidP="00D2297D">
      <w:pPr>
        <w:spacing w:line="480" w:lineRule="auto"/>
        <w:rPr>
          <w:rFonts w:ascii="Times New Roman" w:hAnsi="Times New Roman"/>
          <w:b/>
          <w:i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 xml:space="preserve">List </w:t>
      </w:r>
      <w:r w:rsidR="00A90BCF"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 xml:space="preserve">of antibodies and </w:t>
      </w:r>
      <w:r w:rsidR="00A90BCF">
        <w:rPr>
          <w:rFonts w:ascii="Times New Roman" w:hAnsi="Times New Roman" w:cs="Times New Roman"/>
          <w:b/>
          <w:bCs/>
          <w:i/>
          <w:noProof/>
          <w:color w:val="000000" w:themeColor="text1"/>
          <w:sz w:val="20"/>
          <w:szCs w:val="20"/>
        </w:rPr>
        <w:t>r</w:t>
      </w:r>
      <w:r w:rsidR="00A90BCF"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>eagents</w:t>
      </w:r>
    </w:p>
    <w:p w14:paraId="4E7C744D" w14:textId="3A5D74A3" w:rsidR="002228A8" w:rsidRPr="00580915" w:rsidRDefault="00721306" w:rsidP="00D2297D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ab/>
      </w:r>
      <w:r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>The primary antibodies</w:t>
      </w:r>
      <w:r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563877">
        <w:rPr>
          <w:rFonts w:ascii="Times New Roman" w:hAnsi="Times New Roman" w:cs="Times New Roman"/>
          <w:noProof/>
          <w:color w:val="000000" w:themeColor="text1"/>
          <w:sz w:val="20"/>
          <w:szCs w:val="20"/>
          <w:shd w:val="clear" w:color="auto" w:fill="FFFFFF"/>
        </w:rPr>
        <w:t>that we</w:t>
      </w:r>
      <w:r w:rsidR="00563877"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 xml:space="preserve"> used </w:t>
      </w:r>
      <w:r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>were</w:t>
      </w:r>
      <w:r w:rsidR="00614FF3"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 xml:space="preserve"> FSP1 (</w:t>
      </w:r>
      <w:r w:rsidR="0038082A"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 xml:space="preserve">20886; </w:t>
      </w:r>
      <w:r w:rsidR="00614FF3" w:rsidRPr="00580915">
        <w:rPr>
          <w:rFonts w:ascii="Times New Roman" w:hAnsi="Times New Roman"/>
          <w:noProof/>
          <w:sz w:val="20"/>
        </w:rPr>
        <w:t>ProteinTech Group, Chicago, IL, USA</w:t>
      </w:r>
      <w:r w:rsidR="00614FF3"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 xml:space="preserve">), </w:t>
      </w:r>
      <w:r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>GPX4 (ab125066; Abcam, Cambridge, UK)</w:t>
      </w:r>
      <w:r w:rsidR="00C969FF"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 xml:space="preserve">, and 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>β-actin (ACTB) (47778; Santa Cruz Biotechnology</w:t>
      </w:r>
      <w:r w:rsidR="00140C24" w:rsidRPr="00580915">
        <w:rPr>
          <w:rFonts w:ascii="Times New Roman" w:hAnsi="Times New Roman"/>
          <w:noProof/>
          <w:sz w:val="20"/>
        </w:rPr>
        <w:t>, Dallas, TX, USA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>)</w:t>
      </w:r>
      <w:r w:rsidRPr="00580915">
        <w:rPr>
          <w:rFonts w:ascii="Times New Roman" w:hAnsi="Times New Roman"/>
          <w:noProof/>
          <w:color w:val="000000" w:themeColor="text1"/>
          <w:sz w:val="20"/>
          <w:shd w:val="clear" w:color="auto" w:fill="FFFFFF"/>
        </w:rPr>
        <w:t xml:space="preserve">. 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>RPMI 1640 medium</w:t>
      </w:r>
      <w:r w:rsidR="00511715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>w</w:t>
      </w:r>
      <w:r w:rsidR="00511715" w:rsidRPr="00580915">
        <w:rPr>
          <w:rFonts w:ascii="Times New Roman" w:hAnsi="Times New Roman"/>
          <w:noProof/>
          <w:color w:val="000000" w:themeColor="text1"/>
          <w:sz w:val="20"/>
        </w:rPr>
        <w:t>as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 xml:space="preserve"> purchased fr</w:t>
      </w:r>
      <w:r w:rsidR="00C969FF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o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 xml:space="preserve">m Thermo Fisher Scientific (MA, USA). </w:t>
      </w:r>
      <w:r w:rsidR="00321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Moreover, w</w:t>
      </w:r>
      <w:r w:rsidR="00E401CB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e purchased 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 xml:space="preserve">10% fetal bovine serum from </w:t>
      </w:r>
      <w:r w:rsidR="00331A05" w:rsidRPr="00580915">
        <w:rPr>
          <w:rFonts w:ascii="Times New Roman" w:hAnsi="Times New Roman"/>
          <w:noProof/>
          <w:color w:val="000000" w:themeColor="text1"/>
          <w:sz w:val="20"/>
        </w:rPr>
        <w:t xml:space="preserve">Cosmo Bio 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>(</w:t>
      </w:r>
      <w:r w:rsidR="00331A05" w:rsidRPr="00580915">
        <w:rPr>
          <w:rFonts w:ascii="Times New Roman" w:hAnsi="Times New Roman"/>
          <w:noProof/>
          <w:color w:val="000000" w:themeColor="text1"/>
          <w:sz w:val="20"/>
        </w:rPr>
        <w:t>Tokyo</w:t>
      </w:r>
      <w:r w:rsidR="00C969FF" w:rsidRPr="00580915">
        <w:rPr>
          <w:rFonts w:ascii="Times New Roman" w:hAnsi="Times New Roman"/>
          <w:noProof/>
          <w:color w:val="000000" w:themeColor="text1"/>
          <w:sz w:val="20"/>
        </w:rPr>
        <w:t xml:space="preserve">, </w:t>
      </w:r>
      <w:r w:rsidR="009F49CE" w:rsidRPr="00580915">
        <w:rPr>
          <w:rFonts w:ascii="Times New Roman" w:hAnsi="Times New Roman"/>
          <w:noProof/>
          <w:color w:val="000000" w:themeColor="text1"/>
          <w:sz w:val="20"/>
        </w:rPr>
        <w:t>J</w:t>
      </w:r>
      <w:r w:rsidR="00331A05" w:rsidRPr="00580915">
        <w:rPr>
          <w:rFonts w:ascii="Times New Roman" w:hAnsi="Times New Roman"/>
          <w:noProof/>
          <w:color w:val="000000" w:themeColor="text1"/>
          <w:sz w:val="20"/>
        </w:rPr>
        <w:t>apan</w:t>
      </w:r>
      <w:r w:rsidR="00C969FF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6A1130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58593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and d</w:t>
      </w:r>
      <w:r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imethyl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 sulfoxide (DMSO) from Nacalai Tesque (Kyoto, Japan). </w:t>
      </w:r>
      <w:r w:rsidR="00E401CB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We </w:t>
      </w:r>
      <w:r w:rsidR="00D463D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also </w:t>
      </w:r>
      <w:r w:rsidR="00E401CB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purchased 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1 × protease inhibitor and Phosphatase Inhibitor Cocktail I from Roche (Basel, Switzerland). </w:t>
      </w:r>
      <w:r w:rsidR="00080DF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Furthermore, </w:t>
      </w:r>
      <w:r w:rsidR="00E86B22" w:rsidRPr="00580915">
        <w:rPr>
          <w:rFonts w:ascii="Times New Roman" w:hAnsi="Times New Roman"/>
          <w:noProof/>
          <w:color w:val="000000" w:themeColor="text1"/>
          <w:sz w:val="20"/>
        </w:rPr>
        <w:t>Bradford Protein Assay was purchased</w:t>
      </w:r>
      <w:r w:rsidR="0062170D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E86B22" w:rsidRPr="00580915">
        <w:rPr>
          <w:rFonts w:ascii="Times New Roman" w:hAnsi="Times New Roman"/>
          <w:noProof/>
          <w:color w:val="000000" w:themeColor="text1"/>
          <w:sz w:val="20"/>
        </w:rPr>
        <w:t>from Bio-Rad (CA, USA</w:t>
      </w:r>
      <w:r w:rsidR="00E86B22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080DF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and</w:t>
      </w:r>
      <w:r w:rsidR="00E86B22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45174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the</w:t>
      </w:r>
      <w:r w:rsidR="00E401CB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996BE0" w:rsidRPr="00580915">
        <w:rPr>
          <w:rFonts w:ascii="Times New Roman" w:hAnsi="Times New Roman"/>
          <w:noProof/>
          <w:color w:val="000000" w:themeColor="text1"/>
          <w:sz w:val="20"/>
        </w:rPr>
        <w:t>Cell Counting Kit-8 (CCK8) was purchased from Dojindo (Tokyo, Japan).</w:t>
      </w:r>
    </w:p>
    <w:p w14:paraId="7BF7296E" w14:textId="7F082FA8" w:rsidR="00585BB4" w:rsidRPr="00580915" w:rsidRDefault="00401AE1" w:rsidP="00D2297D">
      <w:pPr>
        <w:spacing w:line="480" w:lineRule="auto"/>
        <w:ind w:firstLine="840"/>
        <w:rPr>
          <w:rFonts w:ascii="Times New Roman" w:hAnsi="Times New Roman"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FSP1 and </w:t>
      </w:r>
      <w:r w:rsidR="00475CED" w:rsidRPr="00580915">
        <w:rPr>
          <w:rFonts w:ascii="Times New Roman" w:hAnsi="Times New Roman"/>
          <w:noProof/>
          <w:color w:val="000000" w:themeColor="text1"/>
          <w:sz w:val="20"/>
        </w:rPr>
        <w:t>GPX4</w:t>
      </w:r>
      <w:r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43013F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inhibitors</w:t>
      </w:r>
      <w:r w:rsidR="0043013F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were iFSP1 (7162; </w:t>
      </w:r>
      <w:r w:rsidRPr="00580915">
        <w:rPr>
          <w:rFonts w:ascii="Times New Roman" w:hAnsi="Times New Roman"/>
          <w:noProof/>
          <w:sz w:val="20"/>
        </w:rPr>
        <w:t>R&amp;D System, Minneapolis, MN, USA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) and </w:t>
      </w:r>
      <w:bookmarkStart w:id="1" w:name="_Hlk112338739"/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(1S, 3R)-RSL3 </w:t>
      </w:r>
      <w:bookmarkEnd w:id="1"/>
      <w:r w:rsidRPr="00580915">
        <w:rPr>
          <w:rFonts w:ascii="Times New Roman" w:hAnsi="Times New Roman"/>
          <w:noProof/>
          <w:color w:val="000000" w:themeColor="text1"/>
          <w:sz w:val="20"/>
        </w:rPr>
        <w:t>(RSL3; 19288</w:t>
      </w:r>
      <w:r w:rsidR="00A450FF" w:rsidRPr="00580915">
        <w:rPr>
          <w:rFonts w:ascii="Times New Roman" w:hAnsi="Times New Roman"/>
          <w:noProof/>
          <w:sz w:val="20"/>
        </w:rPr>
        <w:t>; Cayman Chemical, Michigan, USA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>), respectively.</w:t>
      </w:r>
      <w:r w:rsidR="0043013F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867B0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Moreover, l</w:t>
      </w:r>
      <w:r w:rsidR="00585B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iporoxstatin-1 (Lipro-1; 17730; </w:t>
      </w:r>
      <w:r w:rsidR="00585BB4" w:rsidRPr="00580915">
        <w:rPr>
          <w:rFonts w:ascii="Times New Roman" w:hAnsi="Times New Roman"/>
          <w:noProof/>
          <w:sz w:val="20"/>
          <w:szCs w:val="20"/>
        </w:rPr>
        <w:t xml:space="preserve">Cayman Chemical, </w:t>
      </w:r>
      <w:r w:rsidR="00585BB4" w:rsidRPr="00580915">
        <w:rPr>
          <w:rFonts w:ascii="Times New Roman" w:hAnsi="Times New Roman" w:cs="Times New Roman"/>
          <w:noProof/>
          <w:sz w:val="20"/>
          <w:szCs w:val="20"/>
        </w:rPr>
        <w:t>Ann Arbor, MI</w:t>
      </w:r>
      <w:r w:rsidR="00585BB4" w:rsidRPr="00580915">
        <w:rPr>
          <w:rFonts w:ascii="Times New Roman" w:hAnsi="Times New Roman"/>
          <w:noProof/>
          <w:sz w:val="20"/>
          <w:szCs w:val="20"/>
        </w:rPr>
        <w:t>, USA</w:t>
      </w:r>
      <w:r w:rsidR="00585B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) was used </w:t>
      </w:r>
      <w:r w:rsidR="0043013F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to inhibit</w:t>
      </w:r>
      <w:r w:rsidR="00585B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ferroptosis, </w:t>
      </w:r>
      <w:r w:rsidR="0001394F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Z-VAD-FMK Caspase Inhibitor VI (Z-VAD; S8102; Selleckchem, Houston, TX, USA)</w:t>
      </w:r>
      <w:r w:rsidR="00585B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867B0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was used to</w:t>
      </w:r>
      <w:r w:rsidR="00867B03" w:rsidRPr="00867B03">
        <w:rPr>
          <w:noProof/>
        </w:rPr>
        <w:t xml:space="preserve"> </w:t>
      </w:r>
      <w:r w:rsidR="00867B03" w:rsidRPr="00867B0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inhibit</w:t>
      </w:r>
      <w:r w:rsidR="00585B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apoptosis, and </w:t>
      </w:r>
      <w:r w:rsidR="0045174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necrostatin-1</w:t>
      </w:r>
      <w:r w:rsidR="00585B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D900FC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(Necro-1</w:t>
      </w:r>
      <w:r w:rsidR="007F4D2B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; n9037;</w:t>
      </w:r>
      <w:r w:rsidR="00D900FC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Sigma-Aldrich</w:t>
      </w:r>
      <w:r w:rsidR="00331A05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St Louis, MO, USA</w:t>
      </w:r>
      <w:r w:rsidR="00D900FC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) </w:t>
      </w:r>
      <w:r w:rsidR="00867B0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was used to</w:t>
      </w:r>
      <w:r w:rsidR="00867B03" w:rsidRPr="00867B03">
        <w:rPr>
          <w:noProof/>
        </w:rPr>
        <w:t xml:space="preserve"> </w:t>
      </w:r>
      <w:r w:rsidR="00867B03" w:rsidRPr="00867B0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inhibit</w:t>
      </w:r>
      <w:r w:rsidR="00867B03" w:rsidRPr="0006015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585B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necrosis.</w:t>
      </w:r>
    </w:p>
    <w:p w14:paraId="6235A163" w14:textId="77777777" w:rsidR="00E4468D" w:rsidRPr="00580915" w:rsidRDefault="00E4468D" w:rsidP="00D2297D">
      <w:pPr>
        <w:spacing w:line="480" w:lineRule="auto"/>
        <w:rPr>
          <w:rFonts w:ascii="Times New Roman" w:hAnsi="Times New Roman"/>
          <w:i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>Immunohistochemical analysis</w:t>
      </w:r>
    </w:p>
    <w:p w14:paraId="092FF591" w14:textId="7F997824" w:rsidR="00721306" w:rsidRPr="00580915" w:rsidRDefault="00E4468D" w:rsidP="00D2297D">
      <w:pPr>
        <w:spacing w:line="480" w:lineRule="auto"/>
        <w:ind w:firstLine="840"/>
        <w:rPr>
          <w:rFonts w:ascii="Times New Roman" w:hAnsi="Times New Roman"/>
          <w:noProof/>
          <w:color w:val="000000" w:themeColor="text1"/>
          <w:kern w:val="0"/>
          <w:sz w:val="20"/>
        </w:rPr>
      </w:pPr>
      <w:r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Immunohistochemi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cal analyses were</w:t>
      </w:r>
      <w:r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performed according to standard protocols. </w:t>
      </w:r>
      <w:r w:rsidR="00247E9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Briefly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>, formalin-fixed</w:t>
      </w:r>
      <w:r w:rsidR="00A35E1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30676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and</w:t>
      </w:r>
      <w:r w:rsidR="00A35E12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paraffin-embedded tissue </w:t>
      </w:r>
      <w:r w:rsidR="001E40C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samples were</w:t>
      </w:r>
      <w:r w:rsidR="001E40CC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processed </w:t>
      </w:r>
      <w:r w:rsidR="0045174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into</w:t>
      </w:r>
      <w:r w:rsidR="0030676C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>4-µm thick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slices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. After deparaffinizing the tissue blocks, 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we </w:t>
      </w:r>
      <w:r w:rsidR="00991AB4" w:rsidRPr="00580915">
        <w:rPr>
          <w:rFonts w:ascii="Times New Roman" w:hAnsi="Times New Roman"/>
          <w:noProof/>
          <w:color w:val="000000" w:themeColor="text1"/>
          <w:sz w:val="20"/>
        </w:rPr>
        <w:t xml:space="preserve">retrieved 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the </w:t>
      </w:r>
      <w:r w:rsidR="009717D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antigens 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using a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 microwave oven for 15 minutes in 10-mM citrate buffer (pH</w:t>
      </w:r>
      <w:r w:rsidR="00A75E5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:</w:t>
      </w:r>
      <w:r w:rsidR="009717D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 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>6.0</w:t>
      </w:r>
      <w:r w:rsidR="009717D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 The tissue blocks were</w:t>
      </w:r>
      <w:r w:rsidR="00991AB4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991AB4" w:rsidRPr="00580915">
        <w:rPr>
          <w:rFonts w:ascii="Times New Roman" w:hAnsi="Times New Roman"/>
          <w:noProof/>
          <w:color w:val="000000" w:themeColor="text1"/>
          <w:sz w:val="20"/>
        </w:rPr>
        <w:lastRenderedPageBreak/>
        <w:t xml:space="preserve">then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subjected to endogenous peroxidase blockade using 3% hydrogen peroxide for 30 minutes and 10% Block-Ace (DS Pharma Biomedical, Osaka, Japan) for 30 minutes. </w:t>
      </w:r>
      <w:r w:rsidR="00A75E5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P</w:t>
      </w:r>
      <w:r w:rsidR="009717D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rimary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 antibodies against FSP1 or GPX4 were used at </w:t>
      </w:r>
      <w:r w:rsidR="0045174B">
        <w:rPr>
          <w:rFonts w:ascii="Times New Roman" w:hAnsi="Times New Roman"/>
          <w:noProof/>
          <w:color w:val="000000" w:themeColor="text1"/>
          <w:sz w:val="20"/>
        </w:rPr>
        <w:t>dilutions</w:t>
      </w:r>
      <w:r w:rsidR="0045174B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of 1:1000 and 1:400, respectively. 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The specimens</w:t>
      </w:r>
      <w:r w:rsidR="00991AB4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were incubated with primary antibodies overnight at 4°C. The slides were exposed to </w:t>
      </w:r>
      <w:r w:rsidR="009717D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the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>secondary antibody, EnVision (DAKO, Tokyo, Japan</w:t>
      </w:r>
      <w:r w:rsidR="009717D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),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 and </w:t>
      </w:r>
      <w:r w:rsidR="0023194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they were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 xml:space="preserve">counterstained </w:t>
      </w:r>
      <w:r w:rsidR="00BC033D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using</w:t>
      </w:r>
      <w:r w:rsidR="00BC033D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9717D4" w:rsidRPr="00580915">
        <w:rPr>
          <w:rFonts w:ascii="Times New Roman" w:hAnsi="Times New Roman"/>
          <w:noProof/>
          <w:color w:val="000000" w:themeColor="text1"/>
          <w:sz w:val="20"/>
        </w:rPr>
        <w:t>hematoxylin. Color development was performed using DAB Peroxidase Substrate Kit (Vector Laboratories, Newark, CA, USA).</w:t>
      </w:r>
    </w:p>
    <w:p w14:paraId="0A01EABF" w14:textId="77777777" w:rsidR="00E3530A" w:rsidRPr="00580915" w:rsidRDefault="00E3530A" w:rsidP="00D2297D">
      <w:pPr>
        <w:spacing w:line="480" w:lineRule="auto"/>
        <w:rPr>
          <w:rFonts w:ascii="Times New Roman" w:hAnsi="Times New Roman"/>
          <w:b/>
          <w:i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>Cell lines and cell culture</w:t>
      </w:r>
    </w:p>
    <w:p w14:paraId="6BFEA649" w14:textId="1811216A" w:rsidR="00786775" w:rsidRDefault="00786775" w:rsidP="00D2297D">
      <w:pPr>
        <w:spacing w:line="480" w:lineRule="auto"/>
        <w:ind w:firstLine="840"/>
        <w:rPr>
          <w:rFonts w:ascii="Times New Roman" w:hAnsi="Times New Roman"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Three human </w:t>
      </w:r>
      <w:r w:rsidR="00F1657B" w:rsidRPr="00F1657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esophageal squamous cell carcinoma</w:t>
      </w:r>
      <w:r w:rsidR="00F1657B" w:rsidRPr="00580915">
        <w:rPr>
          <w:rFonts w:ascii="Times New Roman" w:hAnsi="Times New Roman"/>
          <w:noProof/>
          <w:color w:val="000000" w:themeColor="text1"/>
          <w:sz w:val="20"/>
        </w:rPr>
        <w:t xml:space="preserve"> cell 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>lines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—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>KYSE30, KYSE510, and KYSE520</w:t>
      </w:r>
      <w:r w:rsidR="00991AB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—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were purchased from the Japanese Collection of </w:t>
      </w:r>
      <w:r w:rsidR="0050108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the 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>Research Bioresources Cell Bank (Ibaraki, Japan)</w:t>
      </w:r>
    </w:p>
    <w:p w14:paraId="10567BB2" w14:textId="1A9EF8D7" w:rsidR="004739F4" w:rsidRPr="00490C59" w:rsidRDefault="004739F4" w:rsidP="00E3530A">
      <w:pPr>
        <w:spacing w:line="480" w:lineRule="auto"/>
        <w:ind w:firstLine="840"/>
        <w:rPr>
          <w:rFonts w:ascii="Times New Roman" w:hAnsi="Times New Roman"/>
          <w:noProof/>
          <w:color w:val="000000" w:themeColor="text1"/>
          <w:sz w:val="20"/>
          <w:u w:val="single"/>
        </w:rPr>
      </w:pPr>
      <w:r w:rsidRPr="00490C59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Clinical information on </w:t>
      </w:r>
      <w:r w:rsidR="009D0930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these </w:t>
      </w:r>
      <w:r w:rsidRPr="00490C59">
        <w:rPr>
          <w:rFonts w:ascii="Times New Roman" w:hAnsi="Times New Roman"/>
          <w:noProof/>
          <w:color w:val="000000" w:themeColor="text1"/>
          <w:sz w:val="20"/>
          <w:u w:val="single"/>
        </w:rPr>
        <w:t>cell lines is summarized in Table</w:t>
      </w:r>
      <w:r w:rsidR="009D0930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</w:t>
      </w:r>
      <w:r w:rsidR="007C693F" w:rsidRPr="00490C59">
        <w:rPr>
          <w:rFonts w:ascii="Times New Roman" w:hAnsi="Times New Roman"/>
          <w:noProof/>
          <w:color w:val="000000" w:themeColor="text1"/>
          <w:sz w:val="20"/>
          <w:u w:val="single"/>
        </w:rPr>
        <w:t>S</w:t>
      </w:r>
      <w:r w:rsidRPr="00490C59">
        <w:rPr>
          <w:rFonts w:ascii="Times New Roman" w:hAnsi="Times New Roman"/>
          <w:noProof/>
          <w:color w:val="000000" w:themeColor="text1"/>
          <w:sz w:val="20"/>
          <w:u w:val="single"/>
        </w:rPr>
        <w:t>1.</w:t>
      </w:r>
    </w:p>
    <w:p w14:paraId="77D4271A" w14:textId="3F873567" w:rsidR="00C969FF" w:rsidRPr="00580915" w:rsidRDefault="00C969FF" w:rsidP="00D2297D">
      <w:pPr>
        <w:spacing w:line="480" w:lineRule="auto"/>
        <w:rPr>
          <w:rFonts w:ascii="Times New Roman" w:hAnsi="Times New Roman"/>
          <w:noProof/>
          <w:sz w:val="20"/>
        </w:rPr>
      </w:pPr>
      <w:r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 xml:space="preserve">Western </w:t>
      </w:r>
      <w:r w:rsidR="0045174B">
        <w:rPr>
          <w:rFonts w:ascii="Times New Roman" w:hAnsi="Times New Roman"/>
          <w:b/>
          <w:i/>
          <w:noProof/>
          <w:color w:val="000000" w:themeColor="text1"/>
          <w:sz w:val="20"/>
        </w:rPr>
        <w:t>blot</w:t>
      </w:r>
      <w:r w:rsidR="0045174B"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 xml:space="preserve"> </w:t>
      </w:r>
      <w:r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>analysis</w:t>
      </w:r>
    </w:p>
    <w:p w14:paraId="151C40A7" w14:textId="5C7FE7E5" w:rsidR="00E3530A" w:rsidRPr="00580915" w:rsidRDefault="00C969FF" w:rsidP="00D2297D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noProof/>
          <w:sz w:val="20"/>
        </w:rPr>
        <w:tab/>
      </w:r>
      <w:r w:rsidR="00A22B92" w:rsidRPr="00580915">
        <w:rPr>
          <w:rFonts w:ascii="Times New Roman" w:hAnsi="Times New Roman" w:cs="Times New Roman"/>
          <w:noProof/>
          <w:sz w:val="20"/>
          <w:szCs w:val="20"/>
        </w:rPr>
        <w:t>The cells</w:t>
      </w:r>
      <w:r w:rsidR="00A22B92" w:rsidRPr="00580915">
        <w:rPr>
          <w:rFonts w:ascii="Times New Roman" w:hAnsi="Times New Roman"/>
          <w:noProof/>
          <w:sz w:val="20"/>
        </w:rPr>
        <w:t xml:space="preserve"> </w:t>
      </w:r>
      <w:r w:rsidR="00140C24" w:rsidRPr="00580915">
        <w:rPr>
          <w:rFonts w:ascii="Times New Roman" w:hAnsi="Times New Roman"/>
          <w:noProof/>
          <w:sz w:val="20"/>
        </w:rPr>
        <w:t>were lysed in RIPA buffer containing 1 × protease inhibitor</w:t>
      </w:r>
      <w:r w:rsidR="00140C24" w:rsidRPr="00580915">
        <w:rPr>
          <w:rFonts w:ascii="Times New Roman" w:hAnsi="Times New Roman" w:cs="Times New Roman"/>
          <w:noProof/>
          <w:sz w:val="20"/>
          <w:szCs w:val="20"/>
        </w:rPr>
        <w:t>,</w:t>
      </w:r>
      <w:r w:rsidR="00140C24" w:rsidRPr="00580915">
        <w:rPr>
          <w:rFonts w:ascii="Times New Roman" w:hAnsi="Times New Roman"/>
          <w:noProof/>
          <w:sz w:val="20"/>
        </w:rPr>
        <w:t xml:space="preserve"> and Phosphatase Inhibitor Cocktail I. </w:t>
      </w:r>
      <w:r w:rsidR="00A22B92" w:rsidRPr="00580915">
        <w:rPr>
          <w:rFonts w:ascii="Times New Roman" w:hAnsi="Times New Roman" w:cs="Times New Roman"/>
          <w:noProof/>
          <w:sz w:val="20"/>
          <w:szCs w:val="20"/>
        </w:rPr>
        <w:t>We determined the protein</w:t>
      </w:r>
      <w:r w:rsidR="00A22B92" w:rsidRPr="00580915">
        <w:rPr>
          <w:rFonts w:ascii="Times New Roman" w:hAnsi="Times New Roman"/>
          <w:noProof/>
          <w:sz w:val="20"/>
        </w:rPr>
        <w:t xml:space="preserve"> </w:t>
      </w:r>
      <w:r w:rsidR="00140C24" w:rsidRPr="00580915">
        <w:rPr>
          <w:rFonts w:ascii="Times New Roman" w:hAnsi="Times New Roman"/>
          <w:noProof/>
          <w:sz w:val="20"/>
        </w:rPr>
        <w:t xml:space="preserve">concentrations using </w:t>
      </w:r>
      <w:r w:rsidR="00C55090">
        <w:rPr>
          <w:rFonts w:ascii="Times New Roman" w:hAnsi="Times New Roman" w:cs="Times New Roman"/>
          <w:noProof/>
          <w:sz w:val="20"/>
          <w:szCs w:val="20"/>
        </w:rPr>
        <w:t>the</w:t>
      </w:r>
      <w:r w:rsidR="00C55090" w:rsidRPr="00580915">
        <w:rPr>
          <w:rFonts w:ascii="Times New Roman" w:hAnsi="Times New Roman"/>
          <w:noProof/>
          <w:sz w:val="20"/>
        </w:rPr>
        <w:t xml:space="preserve"> </w:t>
      </w:r>
      <w:r w:rsidR="00140C24" w:rsidRPr="00580915">
        <w:rPr>
          <w:rFonts w:ascii="Times New Roman" w:hAnsi="Times New Roman"/>
          <w:noProof/>
          <w:sz w:val="20"/>
        </w:rPr>
        <w:t>Bradford protein assay. Proteins were separated by 12% Mini-PROTEAN TGX Precast Gels (Bio-Rad, Hercules, CA, USA</w:t>
      </w:r>
      <w:r w:rsidR="00140C24" w:rsidRPr="00580915">
        <w:rPr>
          <w:rFonts w:ascii="Times New Roman" w:hAnsi="Times New Roman" w:cs="Times New Roman"/>
          <w:noProof/>
          <w:sz w:val="20"/>
          <w:szCs w:val="20"/>
        </w:rPr>
        <w:t>)</w:t>
      </w:r>
      <w:r w:rsidR="00C55090">
        <w:rPr>
          <w:rFonts w:ascii="Times New Roman" w:hAnsi="Times New Roman" w:cs="Times New Roman"/>
          <w:noProof/>
          <w:sz w:val="20"/>
          <w:szCs w:val="20"/>
        </w:rPr>
        <w:t>. They were</w:t>
      </w:r>
      <w:r w:rsidR="00C55090" w:rsidRPr="00580915">
        <w:rPr>
          <w:rFonts w:ascii="Times New Roman" w:hAnsi="Times New Roman"/>
          <w:noProof/>
          <w:sz w:val="20"/>
        </w:rPr>
        <w:t xml:space="preserve"> then </w:t>
      </w:r>
      <w:r w:rsidR="00140C24" w:rsidRPr="00580915">
        <w:rPr>
          <w:rFonts w:ascii="Times New Roman" w:hAnsi="Times New Roman"/>
          <w:noProof/>
          <w:sz w:val="20"/>
        </w:rPr>
        <w:t xml:space="preserve">transferred to a 0.2-µm polyvinylidene difluoride membrane (Bio-Rad). After blocking for 1 hour at room temperature </w:t>
      </w:r>
      <w:r w:rsidR="00AA5E9E" w:rsidRPr="00580915">
        <w:rPr>
          <w:rFonts w:ascii="Times New Roman" w:hAnsi="Times New Roman" w:cs="Times New Roman"/>
          <w:noProof/>
          <w:sz w:val="20"/>
          <w:szCs w:val="20"/>
        </w:rPr>
        <w:t>with</w:t>
      </w:r>
      <w:r w:rsidR="00AA5E9E" w:rsidRPr="00580915">
        <w:rPr>
          <w:rFonts w:ascii="Times New Roman" w:hAnsi="Times New Roman"/>
          <w:noProof/>
          <w:sz w:val="20"/>
        </w:rPr>
        <w:t xml:space="preserve"> </w:t>
      </w:r>
      <w:r w:rsidR="00140C24" w:rsidRPr="00580915">
        <w:rPr>
          <w:rFonts w:ascii="Times New Roman" w:hAnsi="Times New Roman"/>
          <w:noProof/>
          <w:sz w:val="20"/>
        </w:rPr>
        <w:t xml:space="preserve">ECL Prime Blocking Agent (Cytiva, Tokyo, Japan), the membranes were reacted with primary antibodies against FSP1 (1:500) and GPX4 (1:1000) for 16 hours at 4°C. </w:t>
      </w:r>
      <w:r w:rsidR="00084CAC">
        <w:rPr>
          <w:rFonts w:ascii="Times New Roman" w:hAnsi="Times New Roman" w:cs="Times New Roman"/>
          <w:noProof/>
          <w:sz w:val="20"/>
          <w:szCs w:val="20"/>
        </w:rPr>
        <w:t>The</w:t>
      </w:r>
      <w:r w:rsidR="00084CAC" w:rsidRPr="00580915">
        <w:rPr>
          <w:rFonts w:ascii="Times New Roman" w:hAnsi="Times New Roman"/>
          <w:noProof/>
          <w:sz w:val="20"/>
        </w:rPr>
        <w:t xml:space="preserve"> p</w:t>
      </w:r>
      <w:r w:rsidR="00140C24" w:rsidRPr="00580915">
        <w:rPr>
          <w:rFonts w:ascii="Times New Roman" w:hAnsi="Times New Roman"/>
          <w:noProof/>
          <w:sz w:val="20"/>
        </w:rPr>
        <w:t xml:space="preserve">rimary antibody against β-actin (1:3000) (Santa Cruz Biotechnology) was used for normalization. Peroxidase-linked secondary antibodies against mouse and rabbit (both from Cytiva) were reacted for 1 hour at room temperature to detect protein-antibody binding. The protein signals were detected </w:t>
      </w:r>
      <w:r w:rsidR="00C75870">
        <w:rPr>
          <w:rFonts w:ascii="Times New Roman" w:hAnsi="Times New Roman" w:cs="Times New Roman"/>
          <w:noProof/>
          <w:sz w:val="20"/>
          <w:szCs w:val="20"/>
        </w:rPr>
        <w:t>using</w:t>
      </w:r>
      <w:r w:rsidR="00C75870" w:rsidRPr="00580915">
        <w:rPr>
          <w:rFonts w:ascii="Times New Roman" w:hAnsi="Times New Roman"/>
          <w:noProof/>
          <w:sz w:val="20"/>
        </w:rPr>
        <w:t xml:space="preserve"> </w:t>
      </w:r>
      <w:r w:rsidR="00140C24" w:rsidRPr="00580915">
        <w:rPr>
          <w:rFonts w:ascii="Times New Roman" w:hAnsi="Times New Roman"/>
          <w:noProof/>
          <w:sz w:val="20"/>
        </w:rPr>
        <w:t>ECL Prime Western blotting detection reagents (Cytiva) and quantified using the ImageQuant 500 (Cytiva).</w:t>
      </w:r>
    </w:p>
    <w:p w14:paraId="47522EAB" w14:textId="183851DB" w:rsidR="00523A46" w:rsidRPr="00580915" w:rsidRDefault="00F56343" w:rsidP="00D2297D">
      <w:pPr>
        <w:spacing w:line="480" w:lineRule="auto"/>
        <w:rPr>
          <w:rFonts w:ascii="Times New Roman" w:hAnsi="Times New Roman"/>
          <w:i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lastRenderedPageBreak/>
        <w:t xml:space="preserve">Cell </w:t>
      </w:r>
      <w:r w:rsidR="00F1657B">
        <w:rPr>
          <w:rFonts w:ascii="Times New Roman" w:hAnsi="Times New Roman" w:cs="Times New Roman"/>
          <w:b/>
          <w:bCs/>
          <w:i/>
          <w:noProof/>
          <w:color w:val="000000" w:themeColor="text1"/>
          <w:sz w:val="20"/>
          <w:szCs w:val="20"/>
        </w:rPr>
        <w:t>proliferation assay after treatment</w:t>
      </w:r>
      <w:r w:rsidR="00F1657B"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 xml:space="preserve"> with GPX4 or FSP1 </w:t>
      </w:r>
      <w:r w:rsidR="00F1657B">
        <w:rPr>
          <w:rFonts w:ascii="Times New Roman" w:hAnsi="Times New Roman" w:cs="Times New Roman"/>
          <w:b/>
          <w:bCs/>
          <w:i/>
          <w:noProof/>
          <w:color w:val="000000" w:themeColor="text1"/>
          <w:sz w:val="20"/>
          <w:szCs w:val="20"/>
        </w:rPr>
        <w:t>i</w:t>
      </w:r>
      <w:r w:rsidR="00F1657B"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>nhibitors</w:t>
      </w:r>
    </w:p>
    <w:p w14:paraId="5DD6EA84" w14:textId="7D0CB382" w:rsidR="00C77C2D" w:rsidRPr="00580915" w:rsidRDefault="00C75870" w:rsidP="00D2297D">
      <w:pPr>
        <w:spacing w:line="480" w:lineRule="auto"/>
        <w:ind w:firstLine="840"/>
        <w:rPr>
          <w:rFonts w:ascii="Times New Roman" w:hAnsi="Times New Roman"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The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 xml:space="preserve">KYSE30, KYSE510, and KYSE520 </w:t>
      </w:r>
      <w:r w:rsidR="00FE5DD3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cell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lines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 xml:space="preserve">were seeded in 96-well plates (5 × 10³ cells/well) and incubated overnight. After 24 hours, </w:t>
      </w:r>
      <w:r w:rsidR="00AA5E9E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the</w:t>
      </w:r>
      <w:r w:rsidR="00AA5E9E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 xml:space="preserve">cell lines were treated with </w:t>
      </w:r>
      <w:r w:rsidR="00051427" w:rsidRPr="00580915">
        <w:rPr>
          <w:rFonts w:ascii="Times New Roman" w:hAnsi="Times New Roman"/>
          <w:noProof/>
          <w:color w:val="000000" w:themeColor="text1"/>
          <w:sz w:val="20"/>
        </w:rPr>
        <w:t>DMSO</w:t>
      </w:r>
      <w:r w:rsidR="00AA5E9E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</w:t>
      </w:r>
      <w:r w:rsidR="006D3A04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>iFSP1</w:t>
      </w:r>
      <w:r w:rsidR="00A734AE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</w:t>
      </w:r>
      <w:r w:rsidR="00A734AE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>or</w:t>
      </w:r>
      <w:r w:rsidR="00A734AE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>RSL3</w:t>
      </w:r>
      <w:r w:rsidR="00A734AE" w:rsidRPr="00580915">
        <w:rPr>
          <w:rFonts w:ascii="Times New Roman" w:hAnsi="Times New Roman"/>
          <w:noProof/>
          <w:color w:val="000000" w:themeColor="text1"/>
          <w:sz w:val="20"/>
        </w:rPr>
        <w:t>.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 xml:space="preserve"> After</w:t>
      </w:r>
      <w:r w:rsidR="00FE5DD3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B02B1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another</w:t>
      </w:r>
      <w:r w:rsidR="00B02B11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>24 hours, CCK8 was added</w:t>
      </w:r>
      <w:r w:rsidR="00DC1E2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 xml:space="preserve"> and </w:t>
      </w:r>
      <w:r w:rsidR="00AA5E9E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the cells were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>incubated for 1 hour. Absorbance was measured using Infinite F50 (TECAN, Männedorf, Switzerland</w:t>
      </w:r>
      <w:r w:rsidR="00FE5DD3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9D56A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; following this, </w:t>
      </w:r>
      <w:r w:rsidR="00017EDA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we assessed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 xml:space="preserve"> cell viability</w:t>
      </w:r>
      <w:r w:rsidR="00FE5DD3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. </w:t>
      </w:r>
      <w:r w:rsidR="00B027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Moreover, t</w:t>
      </w:r>
      <w:r w:rsidR="00FE5DD3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he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 xml:space="preserve"> same protocol was used to </w:t>
      </w:r>
      <w:r w:rsidR="00B0279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investigate</w:t>
      </w:r>
      <w:r w:rsidR="00B0279F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>the synergistic effect of iFSP1 and RSL3</w:t>
      </w:r>
      <w:r w:rsidR="00FE5DD3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 xml:space="preserve"> Each experiment was repeated </w:t>
      </w:r>
      <w:r w:rsidR="0045174B">
        <w:rPr>
          <w:rFonts w:ascii="Times New Roman" w:hAnsi="Times New Roman"/>
          <w:noProof/>
          <w:color w:val="000000" w:themeColor="text1"/>
          <w:sz w:val="20"/>
        </w:rPr>
        <w:t>three times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>. Drug concentrations were as follows:</w:t>
      </w:r>
      <w:r w:rsidR="004E1655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4E1655" w:rsidRPr="00580915">
        <w:rPr>
          <w:rFonts w:ascii="Times New Roman" w:hAnsi="Times New Roman"/>
          <w:noProof/>
          <w:color w:val="000000" w:themeColor="text1"/>
          <w:sz w:val="20"/>
        </w:rPr>
        <w:t>DMSO</w:t>
      </w:r>
      <w:r w:rsidR="00FE5DD3" w:rsidRPr="00580915">
        <w:rPr>
          <w:rFonts w:ascii="Times New Roman" w:hAnsi="Times New Roman"/>
          <w:noProof/>
          <w:color w:val="000000" w:themeColor="text1"/>
          <w:sz w:val="20"/>
        </w:rPr>
        <w:t>, 0.1%; iFSP1, 1 µM; and RSL3, 1 µM.</w:t>
      </w:r>
    </w:p>
    <w:p w14:paraId="77CE41AB" w14:textId="77777777" w:rsidR="00523A46" w:rsidRPr="00580915" w:rsidRDefault="00523A46" w:rsidP="00D2297D">
      <w:pPr>
        <w:spacing w:line="480" w:lineRule="auto"/>
        <w:rPr>
          <w:rFonts w:ascii="Times New Roman" w:hAnsi="Times New Roman"/>
          <w:i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b/>
          <w:i/>
          <w:noProof/>
          <w:color w:val="000000" w:themeColor="text1"/>
          <w:sz w:val="20"/>
        </w:rPr>
        <w:t>Cell death inhibition assay</w:t>
      </w:r>
    </w:p>
    <w:p w14:paraId="0A52D387" w14:textId="6DA57193" w:rsidR="00E3530A" w:rsidRDefault="00F1657B" w:rsidP="00C77C2D">
      <w:pPr>
        <w:spacing w:line="480" w:lineRule="auto"/>
        <w:ind w:firstLine="840"/>
        <w:rPr>
          <w:rFonts w:ascii="Times New Roman" w:hAnsi="Times New Roman"/>
          <w:noProof/>
          <w:color w:val="000000" w:themeColor="text1"/>
          <w:sz w:val="20"/>
        </w:rPr>
      </w:pPr>
      <w:r w:rsidRPr="00580915">
        <w:rPr>
          <w:rFonts w:ascii="Times New Roman" w:hAnsi="Times New Roman"/>
          <w:noProof/>
          <w:color w:val="000000" w:themeColor="text1"/>
          <w:sz w:val="20"/>
        </w:rPr>
        <w:t>T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he procedure 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of this assay 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and </w:t>
      </w:r>
      <w:r w:rsidR="0045174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the time</w:t>
      </w:r>
      <w:r w:rsidR="00377604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580915">
        <w:rPr>
          <w:rFonts w:ascii="Times New Roman" w:hAnsi="Times New Roman"/>
          <w:noProof/>
          <w:color w:val="000000" w:themeColor="text1"/>
          <w:sz w:val="20"/>
        </w:rPr>
        <w:t xml:space="preserve">elapsed 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from cell seeding, </w:t>
      </w:r>
      <w:r w:rsidR="00017EDA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drug</w:t>
      </w:r>
      <w:r w:rsidR="009731DA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addition, and cell survival evaluation </w:t>
      </w:r>
      <w:r w:rsidR="006222F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we</w:t>
      </w:r>
      <w:r w:rsidR="006222F8" w:rsidRPr="00580915">
        <w:rPr>
          <w:rFonts w:ascii="Times New Roman" w:hAnsi="Times New Roman"/>
          <w:noProof/>
          <w:color w:val="000000" w:themeColor="text1"/>
          <w:sz w:val="20"/>
        </w:rPr>
        <w:t xml:space="preserve">re 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the same as </w:t>
      </w:r>
      <w:r w:rsidR="006222F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those 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previously described. </w:t>
      </w:r>
      <w:r w:rsidR="00B1416B" w:rsidRPr="00580915">
        <w:rPr>
          <w:rFonts w:ascii="Times New Roman" w:hAnsi="Times New Roman"/>
          <w:noProof/>
          <w:color w:val="000000" w:themeColor="text1"/>
          <w:sz w:val="20"/>
        </w:rPr>
        <w:t xml:space="preserve">The </w:t>
      </w:r>
      <w:r w:rsidR="00B1416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a</w:t>
      </w:r>
      <w:r w:rsidR="00017EDA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dded drugs were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 a combination of iFSP1 and RSL3 plus Lipro-1</w:t>
      </w:r>
      <w:r w:rsidR="009731DA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 Z-VAD</w:t>
      </w:r>
      <w:r w:rsidR="009731DA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 or Necro-1, respectively. Each experiment was repeated </w:t>
      </w:r>
      <w:r w:rsidR="0045174B">
        <w:rPr>
          <w:rFonts w:ascii="Times New Roman" w:hAnsi="Times New Roman"/>
          <w:noProof/>
          <w:color w:val="000000" w:themeColor="text1"/>
          <w:sz w:val="20"/>
        </w:rPr>
        <w:t>three times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 xml:space="preserve">. </w:t>
      </w:r>
      <w:r w:rsidR="00017EDA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The</w:t>
      </w:r>
      <w:r w:rsidR="00456A3C" w:rsidRPr="0058091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drug</w:t>
      </w:r>
      <w:r w:rsidR="00017EDA" w:rsidRPr="00580915">
        <w:rPr>
          <w:rFonts w:ascii="Times New Roman" w:hAnsi="Times New Roman"/>
          <w:noProof/>
          <w:color w:val="000000" w:themeColor="text1"/>
          <w:sz w:val="20"/>
        </w:rPr>
        <w:t xml:space="preserve"> 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>concentrations were as follows:</w:t>
      </w:r>
      <w:r w:rsidR="004E1655" w:rsidRPr="00580915">
        <w:rPr>
          <w:rFonts w:ascii="Times New Roman" w:hAnsi="Times New Roman"/>
          <w:noProof/>
          <w:color w:val="000000" w:themeColor="text1"/>
          <w:sz w:val="20"/>
        </w:rPr>
        <w:t xml:space="preserve"> DMSO</w:t>
      </w:r>
      <w:r w:rsidR="00377604" w:rsidRPr="00580915">
        <w:rPr>
          <w:rFonts w:ascii="Times New Roman" w:hAnsi="Times New Roman"/>
          <w:noProof/>
          <w:color w:val="000000" w:themeColor="text1"/>
          <w:sz w:val="20"/>
        </w:rPr>
        <w:t>, 0.1%; iFSP1, 1 µM; RSL3, 1 µM; Lipro-1, 1 µM; Z-VAD, 10 µM; and Necro-1, 1 µM.</w:t>
      </w:r>
    </w:p>
    <w:p w14:paraId="0FAA2FAD" w14:textId="71E30EEA" w:rsidR="00422455" w:rsidRDefault="00422455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2EC01C46" w14:textId="761A4DE1" w:rsidR="00422455" w:rsidRDefault="00422455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6A2AABEB" w14:textId="3040E845" w:rsidR="00422455" w:rsidRDefault="00422455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451B5A43" w14:textId="778DF2BB" w:rsidR="00422455" w:rsidRDefault="00422455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1BA5FA41" w14:textId="28144AAB" w:rsidR="00422455" w:rsidRDefault="00422455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2D814BC7" w14:textId="1C0AF420" w:rsidR="00422455" w:rsidRDefault="00422455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7B91B215" w14:textId="77777777" w:rsidR="00E57D26" w:rsidRDefault="00E57D26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09ED867E" w14:textId="77777777" w:rsidR="009D0930" w:rsidRPr="003A38AA" w:rsidRDefault="009D0930" w:rsidP="009D0930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8A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Supplementary figure legends</w:t>
      </w:r>
    </w:p>
    <w:p w14:paraId="784D47E4" w14:textId="77777777" w:rsidR="009D0930" w:rsidRPr="003A38AA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  <w:u w:val="single"/>
        </w:rPr>
      </w:pPr>
    </w:p>
    <w:p w14:paraId="47CBF7E7" w14:textId="7702B914" w:rsidR="009D0930" w:rsidRPr="003A38AA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  <w:u w:val="single"/>
        </w:rPr>
      </w:pPr>
      <w:r w:rsidRPr="003A38AA"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t>Fig.</w:t>
      </w:r>
      <w:r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t xml:space="preserve"> </w:t>
      </w:r>
      <w:r w:rsidRPr="003A38AA"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t>S1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Kaplan</w:t>
      </w:r>
      <w:r>
        <w:rPr>
          <w:rFonts w:ascii="Times New Roman" w:hAnsi="Times New Roman" w:cs="Times New Roman"/>
          <w:noProof/>
          <w:color w:val="000000" w:themeColor="text1"/>
          <w:sz w:val="20"/>
          <w:u w:val="single"/>
        </w:rPr>
        <w:t>–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>Mei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>er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survival curves 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>of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patients with ESCC 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>and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≥T2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>or lymph node metastas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>i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>s</w:t>
      </w:r>
    </w:p>
    <w:p w14:paraId="76F23F58" w14:textId="6536ABB6" w:rsidR="009D0930" w:rsidRPr="003A38AA" w:rsidRDefault="009D0930" w:rsidP="009D0930">
      <w:pPr>
        <w:spacing w:line="480" w:lineRule="auto"/>
        <w:rPr>
          <w:rFonts w:ascii="Times New Roman" w:hAnsi="Times New Roman"/>
          <w:noProof/>
          <w:color w:val="000000" w:themeColor="text1"/>
          <w:sz w:val="20"/>
          <w:u w:val="single"/>
        </w:rPr>
      </w:pPr>
      <w:r w:rsidRPr="003A38AA">
        <w:rPr>
          <w:rFonts w:ascii="Times New Roman" w:hAnsi="Times New Roman" w:hint="eastAsia"/>
          <w:noProof/>
          <w:color w:val="000000" w:themeColor="text1"/>
          <w:sz w:val="20"/>
          <w:u w:val="single"/>
        </w:rPr>
        <w:t>(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a, b) Survival based on 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the 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simultaneous expression of FSP1 and GPX4 in patients with ESCC 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>and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≥T2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>or lymph node metastas</w:t>
      </w:r>
      <w:r>
        <w:rPr>
          <w:rFonts w:ascii="Times New Roman" w:hAnsi="Times New Roman"/>
          <w:noProof/>
          <w:color w:val="000000" w:themeColor="text1"/>
          <w:sz w:val="20"/>
          <w:u w:val="single"/>
        </w:rPr>
        <w:t>i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>s.</w:t>
      </w:r>
    </w:p>
    <w:p w14:paraId="7E87C509" w14:textId="77777777" w:rsidR="009D0930" w:rsidRPr="00D2297D" w:rsidRDefault="009D093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2297D">
        <w:rPr>
          <w:rFonts w:ascii="Times New Roman" w:hAnsi="Times New Roman" w:cs="Times New Roman"/>
          <w:sz w:val="24"/>
          <w:szCs w:val="24"/>
        </w:rPr>
        <w:br w:type="page"/>
      </w:r>
    </w:p>
    <w:p w14:paraId="7A9D70EB" w14:textId="218A9B63" w:rsidR="00E57D26" w:rsidRPr="003A38AA" w:rsidRDefault="00E57D26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  <w:u w:val="single"/>
        </w:rPr>
      </w:pPr>
      <w:r w:rsidRPr="003A38AA"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lastRenderedPageBreak/>
        <w:t>Table</w:t>
      </w:r>
      <w:r w:rsidR="00B86670" w:rsidRPr="003A38AA"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t xml:space="preserve"> </w:t>
      </w:r>
      <w:r w:rsidR="008F53E8" w:rsidRPr="003A38AA"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t>S</w:t>
      </w:r>
      <w:r w:rsidRPr="003A38AA"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t>1</w:t>
      </w:r>
      <w:r w:rsidR="00B86670"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. </w:t>
      </w:r>
      <w:r w:rsidR="003B438F"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>Clinical information on esophageal squamous cell carcinoma cell lines</w:t>
      </w:r>
      <w:r w:rsidR="009D0930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used in the study</w:t>
      </w:r>
    </w:p>
    <w:tbl>
      <w:tblPr>
        <w:tblW w:w="11140" w:type="dxa"/>
        <w:tblInd w:w="-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060"/>
        <w:gridCol w:w="860"/>
        <w:gridCol w:w="2700"/>
        <w:gridCol w:w="2070"/>
        <w:gridCol w:w="3150"/>
      </w:tblGrid>
      <w:tr w:rsidR="00594030" w:rsidRPr="00EC3DF3" w14:paraId="19C66D22" w14:textId="77777777" w:rsidTr="00865BC6">
        <w:trPr>
          <w:trHeight w:val="372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A81B" w14:textId="68A405A2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Cell </w:t>
            </w:r>
            <w:r w:rsidR="009D0930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Line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E208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3F05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Age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953B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Tissue for Primary Cancer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0E049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Tumor Stage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2112" w14:textId="7D9853ED" w:rsidR="00EC3DF3" w:rsidRPr="00EC3DF3" w:rsidRDefault="009D0930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</w:t>
            </w:r>
            <w:r w:rsidR="00EC3DF3"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ifferentiation</w:t>
            </w:r>
          </w:p>
        </w:tc>
      </w:tr>
      <w:tr w:rsidR="00594030" w:rsidRPr="00EC3DF3" w14:paraId="6B08B95A" w14:textId="77777777" w:rsidTr="00865BC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70AA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KYSE30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1642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960D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53C7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Esophagus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D813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Unknown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B487C" w14:textId="4E211D2F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Well</w:t>
            </w:r>
            <w:r w:rsidR="009D0930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differentiated </w:t>
            </w:r>
          </w:p>
        </w:tc>
      </w:tr>
      <w:tr w:rsidR="00594030" w:rsidRPr="00EC3DF3" w14:paraId="05ABD979" w14:textId="77777777" w:rsidTr="00865BC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B98A6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KYSE510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BE1F5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630D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A48A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Esophagus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13287" w14:textId="4607A325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T4N0M1, stage</w:t>
            </w:r>
            <w:r w:rsidR="009D0930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2A34" w14:textId="21222DFC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Well</w:t>
            </w:r>
            <w:r w:rsidR="009D0930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differentiated </w:t>
            </w:r>
          </w:p>
        </w:tc>
      </w:tr>
      <w:tr w:rsidR="00594030" w:rsidRPr="00EC3DF3" w14:paraId="47E7405B" w14:textId="77777777" w:rsidTr="00865BC6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9C7F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KYSE520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8E0D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615C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C020E" w14:textId="77777777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Esophagus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A1B0" w14:textId="447A35D6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T3N0M0, stage</w:t>
            </w:r>
            <w:r w:rsidR="009D0930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A52B" w14:textId="12015698" w:rsidR="00EC3DF3" w:rsidRPr="00EC3DF3" w:rsidRDefault="00EC3DF3" w:rsidP="00EC3D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EC3DF3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Moderately differentiated </w:t>
            </w:r>
          </w:p>
        </w:tc>
      </w:tr>
    </w:tbl>
    <w:p w14:paraId="45B16B9E" w14:textId="5D2AA345" w:rsidR="009D0930" w:rsidRDefault="009D0930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</w:rPr>
      </w:pPr>
    </w:p>
    <w:p w14:paraId="47C673AB" w14:textId="77777777" w:rsidR="009D0930" w:rsidRDefault="009D0930">
      <w:pPr>
        <w:widowControl/>
        <w:jc w:val="left"/>
        <w:rPr>
          <w:rFonts w:ascii="Times New Roman" w:hAnsi="Times New Roman"/>
          <w:noProof/>
          <w:color w:val="000000" w:themeColor="text1"/>
          <w:sz w:val="20"/>
        </w:rPr>
      </w:pPr>
      <w:r>
        <w:rPr>
          <w:rFonts w:ascii="Times New Roman" w:hAnsi="Times New Roman"/>
          <w:noProof/>
          <w:color w:val="000000" w:themeColor="text1"/>
          <w:sz w:val="20"/>
        </w:rPr>
        <w:br w:type="page"/>
      </w:r>
    </w:p>
    <w:p w14:paraId="170FAAA7" w14:textId="19A4D665" w:rsidR="00DB1999" w:rsidRPr="003A38AA" w:rsidRDefault="00DB1999" w:rsidP="00422455">
      <w:pPr>
        <w:spacing w:line="480" w:lineRule="auto"/>
        <w:rPr>
          <w:rFonts w:ascii="Times New Roman" w:hAnsi="Times New Roman"/>
          <w:noProof/>
          <w:color w:val="000000" w:themeColor="text1"/>
          <w:sz w:val="20"/>
          <w:u w:val="single"/>
        </w:rPr>
      </w:pPr>
      <w:r w:rsidRPr="003A38AA">
        <w:rPr>
          <w:rFonts w:ascii="Times New Roman" w:hAnsi="Times New Roman" w:hint="eastAsia"/>
          <w:b/>
          <w:bCs/>
          <w:noProof/>
          <w:color w:val="000000" w:themeColor="text1"/>
          <w:sz w:val="20"/>
          <w:u w:val="single"/>
        </w:rPr>
        <w:lastRenderedPageBreak/>
        <w:t>T</w:t>
      </w:r>
      <w:r w:rsidRPr="003A38AA"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t>able</w:t>
      </w:r>
      <w:r w:rsidR="00B86670" w:rsidRPr="003A38AA">
        <w:rPr>
          <w:rFonts w:ascii="Times New Roman" w:hAnsi="Times New Roman" w:hint="eastAsia"/>
          <w:b/>
          <w:bCs/>
          <w:noProof/>
          <w:color w:val="000000" w:themeColor="text1"/>
          <w:sz w:val="20"/>
          <w:u w:val="single"/>
        </w:rPr>
        <w:t xml:space="preserve"> </w:t>
      </w:r>
      <w:r w:rsidRPr="003A38AA">
        <w:rPr>
          <w:rFonts w:ascii="Times New Roman" w:hAnsi="Times New Roman"/>
          <w:b/>
          <w:bCs/>
          <w:noProof/>
          <w:color w:val="000000" w:themeColor="text1"/>
          <w:sz w:val="20"/>
          <w:u w:val="single"/>
        </w:rPr>
        <w:t>S2</w:t>
      </w:r>
      <w:r w:rsidR="00B86670"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. 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Neoadjuvant chemotherapy and </w:t>
      </w:r>
      <w:r w:rsidR="009D0930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the 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expression of FSP1 </w:t>
      </w:r>
      <w:r w:rsidR="009D0930">
        <w:rPr>
          <w:rFonts w:ascii="Times New Roman" w:hAnsi="Times New Roman"/>
          <w:noProof/>
          <w:color w:val="000000" w:themeColor="text1"/>
          <w:sz w:val="20"/>
          <w:u w:val="single"/>
        </w:rPr>
        <w:t>and</w:t>
      </w:r>
      <w:r w:rsidRPr="003A38AA">
        <w:rPr>
          <w:rFonts w:ascii="Times New Roman" w:hAnsi="Times New Roman"/>
          <w:noProof/>
          <w:color w:val="000000" w:themeColor="text1"/>
          <w:sz w:val="20"/>
          <w:u w:val="single"/>
        </w:rPr>
        <w:t xml:space="preserve"> GPX4 in patients with advanced esophageal squamous cell carcinoma</w:t>
      </w:r>
    </w:p>
    <w:tbl>
      <w:tblPr>
        <w:tblW w:w="10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0"/>
        <w:gridCol w:w="1002"/>
        <w:gridCol w:w="1118"/>
        <w:gridCol w:w="1060"/>
        <w:gridCol w:w="1060"/>
        <w:gridCol w:w="1002"/>
        <w:gridCol w:w="1118"/>
        <w:gridCol w:w="1060"/>
      </w:tblGrid>
      <w:tr w:rsidR="00C3069F" w:rsidRPr="00C3069F" w14:paraId="4D8DDE0D" w14:textId="77777777" w:rsidTr="00C3069F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E79B" w14:textId="77777777" w:rsidR="00C3069F" w:rsidRPr="00C3069F" w:rsidRDefault="00C3069F" w:rsidP="00C3069F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14E1" w14:textId="77777777" w:rsidR="00C3069F" w:rsidRPr="00C3069F" w:rsidRDefault="00C3069F" w:rsidP="00C3069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FSP1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4C0F8" w14:textId="366A683C" w:rsidR="00C3069F" w:rsidRPr="00C3069F" w:rsidRDefault="009D0930" w:rsidP="00C3069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  <w:r w:rsidR="00C3069F"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 value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E401" w14:textId="77777777" w:rsidR="00C3069F" w:rsidRPr="00C3069F" w:rsidRDefault="00C3069F" w:rsidP="00C3069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6C225" w14:textId="77777777" w:rsidR="00C3069F" w:rsidRPr="00C3069F" w:rsidRDefault="00C3069F" w:rsidP="00C3069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GPX4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2DFBC" w14:textId="1440D443" w:rsidR="00C3069F" w:rsidRPr="00C3069F" w:rsidRDefault="009D0930" w:rsidP="00C3069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p </w:t>
            </w:r>
            <w:r w:rsidR="00C3069F"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value</w:t>
            </w:r>
          </w:p>
        </w:tc>
      </w:tr>
      <w:tr w:rsidR="00C3069F" w:rsidRPr="00C3069F" w14:paraId="3D832130" w14:textId="77777777" w:rsidTr="00C3069F">
        <w:trPr>
          <w:trHeight w:val="372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7FBF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B939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9CB2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931C1A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D733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C3DA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53A5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9CA56D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3069F" w:rsidRPr="00C3069F" w14:paraId="10141229" w14:textId="77777777" w:rsidTr="00C3069F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F910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Neoadjuvant chemotherapy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D7B8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7FD1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43D4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D9C1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B4BB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27E6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84B7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0.614</w:t>
            </w:r>
          </w:p>
        </w:tc>
      </w:tr>
      <w:tr w:rsidR="00C3069F" w:rsidRPr="00C3069F" w14:paraId="7286200C" w14:textId="77777777" w:rsidTr="00C3069F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72C7" w14:textId="77777777" w:rsidR="00C3069F" w:rsidRPr="00C3069F" w:rsidRDefault="00C3069F" w:rsidP="00C3069F">
            <w:pPr>
              <w:widowControl/>
              <w:ind w:firstLineChars="100" w:firstLine="22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Absent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2BDD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8297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DBBC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EF4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57AB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0CB9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C145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3069F" w:rsidRPr="00C3069F" w14:paraId="34632BBE" w14:textId="77777777" w:rsidTr="00C3069F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5E1A" w14:textId="77777777" w:rsidR="00C3069F" w:rsidRPr="00C3069F" w:rsidRDefault="00C3069F" w:rsidP="00C3069F">
            <w:pPr>
              <w:widowControl/>
              <w:ind w:firstLineChars="100" w:firstLine="22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Present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DB17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04C8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3736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E231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47E4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EAB7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561B" w14:textId="77777777" w:rsidR="00C3069F" w:rsidRPr="00C3069F" w:rsidRDefault="00C3069F" w:rsidP="00C3069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C3069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7F3EF01" w14:textId="3059DD1B" w:rsidR="00A8759A" w:rsidRPr="00361B3A" w:rsidRDefault="00A8759A" w:rsidP="00361B3A">
      <w:pPr>
        <w:widowControl/>
        <w:jc w:val="left"/>
        <w:rPr>
          <w:rFonts w:ascii="Times New Roman" w:hAnsi="Times New Roman"/>
          <w:color w:val="000000" w:themeColor="text1"/>
          <w:sz w:val="20"/>
        </w:rPr>
      </w:pPr>
    </w:p>
    <w:sectPr w:rsidR="00A8759A" w:rsidRPr="00361B3A" w:rsidSect="00721306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90AE" w14:textId="77777777" w:rsidR="00504C33" w:rsidRDefault="00504C33" w:rsidP="00721306">
      <w:r>
        <w:separator/>
      </w:r>
    </w:p>
  </w:endnote>
  <w:endnote w:type="continuationSeparator" w:id="0">
    <w:p w14:paraId="37E2BB82" w14:textId="77777777" w:rsidR="00504C33" w:rsidRDefault="00504C33" w:rsidP="00721306">
      <w:r>
        <w:continuationSeparator/>
      </w:r>
    </w:p>
  </w:endnote>
  <w:endnote w:type="continuationNotice" w:id="1">
    <w:p w14:paraId="0BC81A21" w14:textId="77777777" w:rsidR="00504C33" w:rsidRDefault="00504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92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F0D91" w14:textId="1A42883A" w:rsidR="00DC7371" w:rsidRDefault="00DC7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6AC43" w14:textId="77777777" w:rsidR="00E401CB" w:rsidRDefault="00E40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46F2" w14:textId="77777777" w:rsidR="00504C33" w:rsidRDefault="00504C33" w:rsidP="00721306">
      <w:r>
        <w:separator/>
      </w:r>
    </w:p>
  </w:footnote>
  <w:footnote w:type="continuationSeparator" w:id="0">
    <w:p w14:paraId="4166D519" w14:textId="77777777" w:rsidR="00504C33" w:rsidRDefault="00504C33" w:rsidP="00721306">
      <w:r>
        <w:continuationSeparator/>
      </w:r>
    </w:p>
  </w:footnote>
  <w:footnote w:type="continuationNotice" w:id="1">
    <w:p w14:paraId="17D997FE" w14:textId="77777777" w:rsidR="00504C33" w:rsidRDefault="00504C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3B94" w14:textId="77777777" w:rsidR="00411262" w:rsidRDefault="00411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841"/>
    <w:multiLevelType w:val="multilevel"/>
    <w:tmpl w:val="940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42B94"/>
    <w:multiLevelType w:val="hybridMultilevel"/>
    <w:tmpl w:val="5B4ABA1A"/>
    <w:lvl w:ilvl="0" w:tplc="CE5AF2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nals Surgical Oncology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f9xw2sprrpfpea0vpxv5tkvts9s5dxw599&quot;&gt;My EndNote Library&lt;record-ids&gt;&lt;item&gt;46&lt;/item&gt;&lt;/record-ids&gt;&lt;/item&gt;&lt;/Libraries&gt;"/>
    <w:docVar w:name="StyleGuidePreference" w:val="0"/>
    <w:docVar w:name="UniqueDocId" w:val="206e65d2-728c-453b-a5e2-85a9fac35ded"/>
  </w:docVars>
  <w:rsids>
    <w:rsidRoot w:val="00A86485"/>
    <w:rsid w:val="00001200"/>
    <w:rsid w:val="0001394F"/>
    <w:rsid w:val="00017EDA"/>
    <w:rsid w:val="000360E7"/>
    <w:rsid w:val="00051427"/>
    <w:rsid w:val="000614D2"/>
    <w:rsid w:val="00072748"/>
    <w:rsid w:val="00080DF8"/>
    <w:rsid w:val="00084CAC"/>
    <w:rsid w:val="000941B2"/>
    <w:rsid w:val="00140C24"/>
    <w:rsid w:val="00146C28"/>
    <w:rsid w:val="001A7759"/>
    <w:rsid w:val="001B1BCB"/>
    <w:rsid w:val="001D3DDF"/>
    <w:rsid w:val="001D4BB6"/>
    <w:rsid w:val="001E40CC"/>
    <w:rsid w:val="00217896"/>
    <w:rsid w:val="002228A8"/>
    <w:rsid w:val="0023194A"/>
    <w:rsid w:val="00244AD6"/>
    <w:rsid w:val="00247E98"/>
    <w:rsid w:val="00271455"/>
    <w:rsid w:val="002840E4"/>
    <w:rsid w:val="002B1E5B"/>
    <w:rsid w:val="002C165B"/>
    <w:rsid w:val="002D7C7A"/>
    <w:rsid w:val="002F1815"/>
    <w:rsid w:val="0030676C"/>
    <w:rsid w:val="00312A00"/>
    <w:rsid w:val="003168E9"/>
    <w:rsid w:val="003213D2"/>
    <w:rsid w:val="003266D9"/>
    <w:rsid w:val="00331A05"/>
    <w:rsid w:val="0034661C"/>
    <w:rsid w:val="00361B3A"/>
    <w:rsid w:val="00377604"/>
    <w:rsid w:val="0038082A"/>
    <w:rsid w:val="00386915"/>
    <w:rsid w:val="003A38AA"/>
    <w:rsid w:val="003B216F"/>
    <w:rsid w:val="003B438F"/>
    <w:rsid w:val="003D7336"/>
    <w:rsid w:val="00401AE1"/>
    <w:rsid w:val="00411262"/>
    <w:rsid w:val="00422455"/>
    <w:rsid w:val="00423FD3"/>
    <w:rsid w:val="004241A9"/>
    <w:rsid w:val="0043013F"/>
    <w:rsid w:val="0045174B"/>
    <w:rsid w:val="00456A3C"/>
    <w:rsid w:val="00470097"/>
    <w:rsid w:val="004739F4"/>
    <w:rsid w:val="00475CED"/>
    <w:rsid w:val="0048278C"/>
    <w:rsid w:val="00490C59"/>
    <w:rsid w:val="004A34F1"/>
    <w:rsid w:val="004E1655"/>
    <w:rsid w:val="004E2F36"/>
    <w:rsid w:val="004E6198"/>
    <w:rsid w:val="004F1D32"/>
    <w:rsid w:val="0050108B"/>
    <w:rsid w:val="00504C33"/>
    <w:rsid w:val="00505F59"/>
    <w:rsid w:val="00511715"/>
    <w:rsid w:val="005140E2"/>
    <w:rsid w:val="00520B2C"/>
    <w:rsid w:val="00523A46"/>
    <w:rsid w:val="00534B8F"/>
    <w:rsid w:val="00542EF1"/>
    <w:rsid w:val="00560F43"/>
    <w:rsid w:val="00563877"/>
    <w:rsid w:val="00580915"/>
    <w:rsid w:val="00585936"/>
    <w:rsid w:val="00585BB4"/>
    <w:rsid w:val="00594030"/>
    <w:rsid w:val="005B74AD"/>
    <w:rsid w:val="00614FF3"/>
    <w:rsid w:val="0062170D"/>
    <w:rsid w:val="006222F8"/>
    <w:rsid w:val="00646289"/>
    <w:rsid w:val="00656968"/>
    <w:rsid w:val="006A1130"/>
    <w:rsid w:val="006C0694"/>
    <w:rsid w:val="006C2110"/>
    <w:rsid w:val="006D3A04"/>
    <w:rsid w:val="006F1F8A"/>
    <w:rsid w:val="0070509F"/>
    <w:rsid w:val="00713329"/>
    <w:rsid w:val="00721306"/>
    <w:rsid w:val="00786775"/>
    <w:rsid w:val="007C319C"/>
    <w:rsid w:val="007C693F"/>
    <w:rsid w:val="007E090B"/>
    <w:rsid w:val="007E133B"/>
    <w:rsid w:val="007F4D2B"/>
    <w:rsid w:val="007F52F8"/>
    <w:rsid w:val="00802AA5"/>
    <w:rsid w:val="00807C74"/>
    <w:rsid w:val="00815D6B"/>
    <w:rsid w:val="00833D4B"/>
    <w:rsid w:val="00844BBC"/>
    <w:rsid w:val="00865BC6"/>
    <w:rsid w:val="00867B03"/>
    <w:rsid w:val="008C13FB"/>
    <w:rsid w:val="008C5B7A"/>
    <w:rsid w:val="008F53E8"/>
    <w:rsid w:val="00941B8D"/>
    <w:rsid w:val="00947FBD"/>
    <w:rsid w:val="00960972"/>
    <w:rsid w:val="009717D4"/>
    <w:rsid w:val="009731DA"/>
    <w:rsid w:val="00981801"/>
    <w:rsid w:val="00991AB4"/>
    <w:rsid w:val="00996BE0"/>
    <w:rsid w:val="009A025B"/>
    <w:rsid w:val="009A3575"/>
    <w:rsid w:val="009A76DA"/>
    <w:rsid w:val="009D0930"/>
    <w:rsid w:val="009D319F"/>
    <w:rsid w:val="009D4313"/>
    <w:rsid w:val="009D56AB"/>
    <w:rsid w:val="009E5DE5"/>
    <w:rsid w:val="009F2A20"/>
    <w:rsid w:val="009F49CE"/>
    <w:rsid w:val="00A22B92"/>
    <w:rsid w:val="00A35E12"/>
    <w:rsid w:val="00A4129D"/>
    <w:rsid w:val="00A450FF"/>
    <w:rsid w:val="00A47C80"/>
    <w:rsid w:val="00A734AE"/>
    <w:rsid w:val="00A75E5E"/>
    <w:rsid w:val="00A86485"/>
    <w:rsid w:val="00A8759A"/>
    <w:rsid w:val="00A90BCF"/>
    <w:rsid w:val="00AA240A"/>
    <w:rsid w:val="00AA5E9E"/>
    <w:rsid w:val="00B0279F"/>
    <w:rsid w:val="00B02B11"/>
    <w:rsid w:val="00B0472A"/>
    <w:rsid w:val="00B1416B"/>
    <w:rsid w:val="00B155C6"/>
    <w:rsid w:val="00B17140"/>
    <w:rsid w:val="00B319F5"/>
    <w:rsid w:val="00B6379D"/>
    <w:rsid w:val="00B86670"/>
    <w:rsid w:val="00BC033D"/>
    <w:rsid w:val="00BF1109"/>
    <w:rsid w:val="00C10D44"/>
    <w:rsid w:val="00C21370"/>
    <w:rsid w:val="00C3069F"/>
    <w:rsid w:val="00C435AB"/>
    <w:rsid w:val="00C51955"/>
    <w:rsid w:val="00C55090"/>
    <w:rsid w:val="00C62F36"/>
    <w:rsid w:val="00C75870"/>
    <w:rsid w:val="00C77C2D"/>
    <w:rsid w:val="00C969FF"/>
    <w:rsid w:val="00CD7382"/>
    <w:rsid w:val="00D2297D"/>
    <w:rsid w:val="00D463DD"/>
    <w:rsid w:val="00D900FC"/>
    <w:rsid w:val="00D9397E"/>
    <w:rsid w:val="00D962B5"/>
    <w:rsid w:val="00DB1999"/>
    <w:rsid w:val="00DC1E22"/>
    <w:rsid w:val="00DC7371"/>
    <w:rsid w:val="00DF077C"/>
    <w:rsid w:val="00DF70CA"/>
    <w:rsid w:val="00E24B8A"/>
    <w:rsid w:val="00E30335"/>
    <w:rsid w:val="00E3530A"/>
    <w:rsid w:val="00E401CB"/>
    <w:rsid w:val="00E4468D"/>
    <w:rsid w:val="00E57D26"/>
    <w:rsid w:val="00E7387A"/>
    <w:rsid w:val="00E76B0F"/>
    <w:rsid w:val="00E86B22"/>
    <w:rsid w:val="00E9094C"/>
    <w:rsid w:val="00EA6F88"/>
    <w:rsid w:val="00EB28DE"/>
    <w:rsid w:val="00EB7A8A"/>
    <w:rsid w:val="00EC3DF3"/>
    <w:rsid w:val="00EC62A4"/>
    <w:rsid w:val="00EF220C"/>
    <w:rsid w:val="00F0007B"/>
    <w:rsid w:val="00F14F35"/>
    <w:rsid w:val="00F1657B"/>
    <w:rsid w:val="00F23B90"/>
    <w:rsid w:val="00F56343"/>
    <w:rsid w:val="00F66A18"/>
    <w:rsid w:val="00F842AA"/>
    <w:rsid w:val="00F855BA"/>
    <w:rsid w:val="00F97E3D"/>
    <w:rsid w:val="00FE0921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EB3B1"/>
  <w15:docId w15:val="{D88C07DA-8B1D-416D-8C8F-3805F51E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0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21306"/>
  </w:style>
  <w:style w:type="paragraph" w:styleId="Footer">
    <w:name w:val="footer"/>
    <w:basedOn w:val="Normal"/>
    <w:link w:val="FooterChar"/>
    <w:uiPriority w:val="99"/>
    <w:unhideWhenUsed/>
    <w:rsid w:val="0072130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21306"/>
  </w:style>
  <w:style w:type="character" w:styleId="CommentReference">
    <w:name w:val="annotation reference"/>
    <w:basedOn w:val="DefaultParagraphFont"/>
    <w:uiPriority w:val="99"/>
    <w:semiHidden/>
    <w:unhideWhenUsed/>
    <w:rsid w:val="007213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06"/>
  </w:style>
  <w:style w:type="paragraph" w:styleId="BalloonText">
    <w:name w:val="Balloon Text"/>
    <w:basedOn w:val="Normal"/>
    <w:link w:val="BalloonTextChar"/>
    <w:uiPriority w:val="99"/>
    <w:semiHidden/>
    <w:unhideWhenUsed/>
    <w:rsid w:val="00721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06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E3530A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E3530A"/>
    <w:rPr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E3530A"/>
    <w:rPr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E3530A"/>
    <w:rPr>
      <w:noProof/>
      <w:sz w:val="20"/>
    </w:rPr>
  </w:style>
  <w:style w:type="paragraph" w:customStyle="1" w:styleId="Author1">
    <w:name w:val="Author1"/>
    <w:basedOn w:val="Normal"/>
    <w:link w:val="Author1Char"/>
    <w:qFormat/>
    <w:rsid w:val="00C969FF"/>
    <w:pPr>
      <w:keepNext/>
      <w:widowControl/>
      <w:spacing w:before="120" w:after="120" w:line="480" w:lineRule="auto"/>
      <w:jc w:val="left"/>
    </w:pPr>
    <w:rPr>
      <w:rFonts w:ascii="Times New Roman" w:eastAsia="SimSun" w:hAnsi="Times New Roman" w:cs="Times New Roman"/>
      <w:b/>
      <w:bCs/>
      <w:kern w:val="32"/>
      <w:sz w:val="24"/>
      <w:szCs w:val="24"/>
    </w:rPr>
  </w:style>
  <w:style w:type="character" w:customStyle="1" w:styleId="Author1Char">
    <w:name w:val="Author1 Char"/>
    <w:link w:val="Author1"/>
    <w:rsid w:val="00C969FF"/>
    <w:rPr>
      <w:rFonts w:ascii="Times New Roman" w:eastAsia="SimSun" w:hAnsi="Times New Roman" w:cs="Times New Roman"/>
      <w:b/>
      <w:bCs/>
      <w:kern w:val="3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1CB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1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877"/>
  </w:style>
  <w:style w:type="paragraph" w:styleId="NormalWeb">
    <w:name w:val="Normal (Web)"/>
    <w:basedOn w:val="Normal"/>
    <w:uiPriority w:val="99"/>
    <w:semiHidden/>
    <w:unhideWhenUsed/>
    <w:rsid w:val="0056387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38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A6F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iyauchi@tottori-u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9B42-EF2C-4ACD-8C3E-913579363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07D36-EF49-4BF8-814E-021D277EA6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44C3F-BA2A-4FB3-BB07-DEFB775E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裕二 宍戸</dc:creator>
  <cp:lastModifiedBy>Balasubramaniyan Thangavel</cp:lastModifiedBy>
  <cp:revision>6</cp:revision>
  <dcterms:created xsi:type="dcterms:W3CDTF">2022-10-31T15:33:00Z</dcterms:created>
  <dcterms:modified xsi:type="dcterms:W3CDTF">2022-12-25T01:53:00Z</dcterms:modified>
</cp:coreProperties>
</file>