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2081"/>
        <w:gridCol w:w="1053"/>
        <w:gridCol w:w="2080"/>
        <w:gridCol w:w="1066"/>
      </w:tblGrid>
      <w:tr w:rsidR="00F6481C" w:rsidRPr="00D6229A" w:rsidTr="00104D4B">
        <w:trPr>
          <w:trHeight w:val="30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F6481C" w:rsidRPr="00D6229A" w:rsidRDefault="00F6481C" w:rsidP="00104D4B">
            <w:pPr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 w:rsidRPr="00D6229A">
              <w:rPr>
                <w:b/>
                <w:sz w:val="20"/>
                <w:szCs w:val="20"/>
                <w:lang w:val="en-GB"/>
              </w:rPr>
              <w:t>Supplementary table 4. Uni- and multivariable logistic regression analysis for association with dHGP</w:t>
            </w:r>
          </w:p>
        </w:tc>
      </w:tr>
      <w:tr w:rsidR="00F6481C" w:rsidRPr="00D6229A" w:rsidTr="00104D4B">
        <w:trPr>
          <w:trHeight w:val="300"/>
        </w:trPr>
        <w:tc>
          <w:tcPr>
            <w:tcW w:w="1654" w:type="pct"/>
            <w:tcBorders>
              <w:top w:val="single" w:sz="4" w:space="0" w:color="auto"/>
              <w:bottom w:val="nil"/>
            </w:tcBorders>
            <w:noWrap/>
          </w:tcPr>
          <w:p w:rsidR="00F6481C" w:rsidRPr="00D6229A" w:rsidRDefault="00F6481C" w:rsidP="00104D4B">
            <w:pPr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69" w:type="pct"/>
            <w:gridSpan w:val="2"/>
            <w:tcBorders>
              <w:top w:val="single" w:sz="4" w:space="0" w:color="auto"/>
              <w:bottom w:val="nil"/>
            </w:tcBorders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b/>
                <w:sz w:val="20"/>
                <w:szCs w:val="20"/>
                <w:lang w:val="en-GB"/>
              </w:rPr>
              <w:t>Univariable</w:t>
            </w:r>
          </w:p>
        </w:tc>
        <w:tc>
          <w:tcPr>
            <w:tcW w:w="1127" w:type="pct"/>
            <w:tcBorders>
              <w:top w:val="single" w:sz="4" w:space="0" w:color="auto"/>
              <w:bottom w:val="nil"/>
            </w:tcBorders>
            <w:noWrap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b/>
                <w:sz w:val="20"/>
                <w:szCs w:val="20"/>
                <w:lang w:val="en-GB"/>
              </w:rPr>
              <w:t>Multivariable</w:t>
            </w:r>
          </w:p>
        </w:tc>
        <w:tc>
          <w:tcPr>
            <w:tcW w:w="550" w:type="pct"/>
            <w:tcBorders>
              <w:top w:val="single" w:sz="4" w:space="0" w:color="auto"/>
              <w:bottom w:val="nil"/>
            </w:tcBorders>
            <w:noWrap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</w:p>
        </w:tc>
      </w:tr>
      <w:tr w:rsidR="00F6481C" w:rsidRPr="00D6229A" w:rsidTr="00104D4B">
        <w:trPr>
          <w:trHeight w:val="300"/>
        </w:trPr>
        <w:tc>
          <w:tcPr>
            <w:tcW w:w="1654" w:type="pct"/>
            <w:tcBorders>
              <w:bottom w:val="single" w:sz="4" w:space="0" w:color="auto"/>
            </w:tcBorders>
            <w:noWrap/>
            <w:hideMark/>
          </w:tcPr>
          <w:p w:rsidR="00F6481C" w:rsidRPr="00D6229A" w:rsidRDefault="00F6481C" w:rsidP="00104D4B">
            <w:pPr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b/>
                <w:sz w:val="20"/>
                <w:szCs w:val="20"/>
                <w:lang w:val="en-GB"/>
              </w:rPr>
              <w:t> Variable</w:t>
            </w:r>
          </w:p>
        </w:tc>
        <w:tc>
          <w:tcPr>
            <w:tcW w:w="1127" w:type="pct"/>
            <w:tcBorders>
              <w:bottom w:val="single" w:sz="4" w:space="0" w:color="auto"/>
            </w:tcBorders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b/>
                <w:sz w:val="20"/>
                <w:szCs w:val="20"/>
                <w:lang w:val="en-GB"/>
              </w:rPr>
              <w:t>Odds Ratio [95% CI]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b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127" w:type="pct"/>
            <w:tcBorders>
              <w:bottom w:val="single" w:sz="4" w:space="0" w:color="auto"/>
            </w:tcBorders>
            <w:noWrap/>
            <w:hideMark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b/>
                <w:sz w:val="20"/>
                <w:szCs w:val="20"/>
                <w:lang w:val="en-GB"/>
              </w:rPr>
              <w:t>Odds Ratio [95% CI]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noWrap/>
            <w:hideMark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F6481C" w:rsidRPr="00D6229A" w:rsidTr="00104D4B">
        <w:trPr>
          <w:trHeight w:val="300"/>
        </w:trPr>
        <w:tc>
          <w:tcPr>
            <w:tcW w:w="1654" w:type="pct"/>
            <w:noWrap/>
          </w:tcPr>
          <w:p w:rsidR="00F6481C" w:rsidRPr="00D6229A" w:rsidRDefault="00F6481C" w:rsidP="00104D4B">
            <w:pPr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Right-sided primary</w:t>
            </w:r>
          </w:p>
        </w:tc>
        <w:tc>
          <w:tcPr>
            <w:tcW w:w="1127" w:type="pct"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1.112 [0.710-1.742]</w:t>
            </w:r>
          </w:p>
        </w:tc>
        <w:tc>
          <w:tcPr>
            <w:tcW w:w="541" w:type="pct"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0.644</w:t>
            </w:r>
          </w:p>
        </w:tc>
        <w:tc>
          <w:tcPr>
            <w:tcW w:w="1127" w:type="pct"/>
            <w:noWrap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1.264 [0.789-2.026]</w:t>
            </w:r>
          </w:p>
        </w:tc>
        <w:tc>
          <w:tcPr>
            <w:tcW w:w="550" w:type="pct"/>
            <w:noWrap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0.330</w:t>
            </w:r>
          </w:p>
        </w:tc>
      </w:tr>
      <w:tr w:rsidR="00F6481C" w:rsidRPr="00D6229A" w:rsidTr="00104D4B">
        <w:trPr>
          <w:trHeight w:val="300"/>
        </w:trPr>
        <w:tc>
          <w:tcPr>
            <w:tcW w:w="1654" w:type="pct"/>
            <w:noWrap/>
            <w:hideMark/>
          </w:tcPr>
          <w:p w:rsidR="00F6481C" w:rsidRPr="00D6229A" w:rsidRDefault="00F6481C" w:rsidP="00104D4B">
            <w:pPr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pT3-4</w:t>
            </w:r>
          </w:p>
        </w:tc>
        <w:tc>
          <w:tcPr>
            <w:tcW w:w="1127" w:type="pct"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0.786 [0.517-1.196]</w:t>
            </w:r>
          </w:p>
        </w:tc>
        <w:tc>
          <w:tcPr>
            <w:tcW w:w="541" w:type="pct"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0.261</w:t>
            </w:r>
          </w:p>
        </w:tc>
        <w:tc>
          <w:tcPr>
            <w:tcW w:w="1127" w:type="pct"/>
            <w:noWrap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0.849 [0.534-1.351]</w:t>
            </w:r>
          </w:p>
        </w:tc>
        <w:tc>
          <w:tcPr>
            <w:tcW w:w="550" w:type="pct"/>
            <w:noWrap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0.491</w:t>
            </w:r>
          </w:p>
        </w:tc>
      </w:tr>
      <w:tr w:rsidR="00F6481C" w:rsidRPr="00D6229A" w:rsidTr="00104D4B">
        <w:trPr>
          <w:trHeight w:val="300"/>
        </w:trPr>
        <w:tc>
          <w:tcPr>
            <w:tcW w:w="1654" w:type="pct"/>
            <w:noWrap/>
          </w:tcPr>
          <w:p w:rsidR="00F6481C" w:rsidRPr="00D6229A" w:rsidRDefault="00F6481C" w:rsidP="00104D4B">
            <w:pPr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Node positive primary</w:t>
            </w:r>
          </w:p>
        </w:tc>
        <w:tc>
          <w:tcPr>
            <w:tcW w:w="1127" w:type="pct"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0.702 [0.495-0.995]</w:t>
            </w:r>
          </w:p>
        </w:tc>
        <w:tc>
          <w:tcPr>
            <w:tcW w:w="541" w:type="pct"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0.047*</w:t>
            </w:r>
          </w:p>
        </w:tc>
        <w:tc>
          <w:tcPr>
            <w:tcW w:w="1127" w:type="pct"/>
            <w:noWrap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0.611 [0.415-0.901]</w:t>
            </w:r>
          </w:p>
        </w:tc>
        <w:tc>
          <w:tcPr>
            <w:tcW w:w="550" w:type="pct"/>
            <w:noWrap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0.013*</w:t>
            </w:r>
          </w:p>
        </w:tc>
      </w:tr>
      <w:tr w:rsidR="00F6481C" w:rsidRPr="00D6229A" w:rsidTr="00104D4B">
        <w:trPr>
          <w:trHeight w:val="300"/>
        </w:trPr>
        <w:tc>
          <w:tcPr>
            <w:tcW w:w="1654" w:type="pct"/>
            <w:noWrap/>
          </w:tcPr>
          <w:p w:rsidR="00F6481C" w:rsidRPr="00D6229A" w:rsidRDefault="00F6481C" w:rsidP="00104D4B">
            <w:pPr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Disease free interval (cont.)</w:t>
            </w:r>
          </w:p>
        </w:tc>
        <w:tc>
          <w:tcPr>
            <w:tcW w:w="1127" w:type="pct"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0.989 [0.978-1.000]</w:t>
            </w:r>
          </w:p>
        </w:tc>
        <w:tc>
          <w:tcPr>
            <w:tcW w:w="541" w:type="pct"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0.049*</w:t>
            </w:r>
          </w:p>
        </w:tc>
        <w:tc>
          <w:tcPr>
            <w:tcW w:w="1127" w:type="pct"/>
            <w:noWrap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0.992 [0.980-1.005]</w:t>
            </w:r>
          </w:p>
        </w:tc>
        <w:tc>
          <w:tcPr>
            <w:tcW w:w="550" w:type="pct"/>
            <w:noWrap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0.227</w:t>
            </w:r>
          </w:p>
        </w:tc>
      </w:tr>
      <w:tr w:rsidR="00F6481C" w:rsidRPr="00D6229A" w:rsidTr="00104D4B">
        <w:trPr>
          <w:trHeight w:val="300"/>
        </w:trPr>
        <w:tc>
          <w:tcPr>
            <w:tcW w:w="1654" w:type="pct"/>
            <w:noWrap/>
          </w:tcPr>
          <w:p w:rsidR="00F6481C" w:rsidRPr="00D6229A" w:rsidRDefault="00F6481C" w:rsidP="00104D4B">
            <w:pPr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Number of CRLM (cont.)</w:t>
            </w:r>
          </w:p>
        </w:tc>
        <w:tc>
          <w:tcPr>
            <w:tcW w:w="1127" w:type="pct"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0.977 [0.909-1.050]</w:t>
            </w:r>
          </w:p>
        </w:tc>
        <w:tc>
          <w:tcPr>
            <w:tcW w:w="541" w:type="pct"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0.530</w:t>
            </w:r>
          </w:p>
        </w:tc>
        <w:tc>
          <w:tcPr>
            <w:tcW w:w="1127" w:type="pct"/>
            <w:noWrap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0.872 [0.790-0.962]</w:t>
            </w:r>
          </w:p>
        </w:tc>
        <w:tc>
          <w:tcPr>
            <w:tcW w:w="550" w:type="pct"/>
            <w:noWrap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0.006*</w:t>
            </w:r>
          </w:p>
        </w:tc>
      </w:tr>
      <w:tr w:rsidR="00F6481C" w:rsidRPr="00D6229A" w:rsidTr="00104D4B">
        <w:trPr>
          <w:trHeight w:val="300"/>
        </w:trPr>
        <w:tc>
          <w:tcPr>
            <w:tcW w:w="1654" w:type="pct"/>
            <w:noWrap/>
          </w:tcPr>
          <w:p w:rsidR="00F6481C" w:rsidRPr="00D6229A" w:rsidRDefault="00F6481C" w:rsidP="00104D4B">
            <w:pPr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Diameter largest CRLM (cont.)</w:t>
            </w:r>
          </w:p>
        </w:tc>
        <w:tc>
          <w:tcPr>
            <w:tcW w:w="1127" w:type="pct"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0.904 [0.832-0.982]</w:t>
            </w:r>
          </w:p>
        </w:tc>
        <w:tc>
          <w:tcPr>
            <w:tcW w:w="541" w:type="pct"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0.017*</w:t>
            </w:r>
          </w:p>
        </w:tc>
        <w:tc>
          <w:tcPr>
            <w:tcW w:w="1127" w:type="pct"/>
            <w:noWrap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0.898 [0.822-0.981]</w:t>
            </w:r>
          </w:p>
        </w:tc>
        <w:tc>
          <w:tcPr>
            <w:tcW w:w="550" w:type="pct"/>
            <w:noWrap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0.017*</w:t>
            </w:r>
          </w:p>
        </w:tc>
      </w:tr>
      <w:tr w:rsidR="00F6481C" w:rsidRPr="00D6229A" w:rsidTr="00104D4B">
        <w:trPr>
          <w:trHeight w:val="300"/>
        </w:trPr>
        <w:tc>
          <w:tcPr>
            <w:tcW w:w="1654" w:type="pct"/>
            <w:noWrap/>
          </w:tcPr>
          <w:p w:rsidR="00F6481C" w:rsidRPr="00D6229A" w:rsidRDefault="00F6481C" w:rsidP="00104D4B">
            <w:pPr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Preoperative CEA level (cont.)</w:t>
            </w:r>
          </w:p>
        </w:tc>
        <w:tc>
          <w:tcPr>
            <w:tcW w:w="1127" w:type="pct"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1.000 [0.999-1.000]</w:t>
            </w:r>
          </w:p>
        </w:tc>
        <w:tc>
          <w:tcPr>
            <w:tcW w:w="541" w:type="pct"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0.800</w:t>
            </w:r>
          </w:p>
        </w:tc>
        <w:tc>
          <w:tcPr>
            <w:tcW w:w="1127" w:type="pct"/>
            <w:noWrap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1.000 [0.999-1.001]</w:t>
            </w:r>
          </w:p>
        </w:tc>
        <w:tc>
          <w:tcPr>
            <w:tcW w:w="550" w:type="pct"/>
            <w:noWrap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0.932</w:t>
            </w:r>
          </w:p>
        </w:tc>
      </w:tr>
      <w:tr w:rsidR="00F6481C" w:rsidRPr="00D6229A" w:rsidTr="00104D4B">
        <w:trPr>
          <w:trHeight w:val="300"/>
        </w:trPr>
        <w:tc>
          <w:tcPr>
            <w:tcW w:w="1654" w:type="pct"/>
            <w:tcBorders>
              <w:bottom w:val="single" w:sz="4" w:space="0" w:color="auto"/>
            </w:tcBorders>
            <w:noWrap/>
          </w:tcPr>
          <w:p w:rsidR="00F6481C" w:rsidRPr="00D6229A" w:rsidRDefault="00F6481C" w:rsidP="00104D4B">
            <w:pPr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Preoperative chemotherapy</w:t>
            </w:r>
          </w:p>
        </w:tc>
        <w:tc>
          <w:tcPr>
            <w:tcW w:w="1127" w:type="pct"/>
            <w:tcBorders>
              <w:bottom w:val="single" w:sz="4" w:space="0" w:color="auto"/>
            </w:tcBorders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1.872 [1.325-2.646]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&lt;0.001*</w:t>
            </w:r>
          </w:p>
        </w:tc>
        <w:tc>
          <w:tcPr>
            <w:tcW w:w="1127" w:type="pct"/>
            <w:tcBorders>
              <w:bottom w:val="single" w:sz="4" w:space="0" w:color="auto"/>
            </w:tcBorders>
            <w:noWrap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2.709 [1.746-4.203]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noWrap/>
          </w:tcPr>
          <w:p w:rsidR="00F6481C" w:rsidRPr="00D6229A" w:rsidRDefault="00F6481C" w:rsidP="00104D4B">
            <w:pPr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eastAsia="Times New Roman" w:cs="Arial"/>
                <w:sz w:val="20"/>
                <w:szCs w:val="20"/>
                <w:lang w:val="en-GB"/>
              </w:rPr>
              <w:t>&lt;0.001*</w:t>
            </w:r>
          </w:p>
        </w:tc>
      </w:tr>
      <w:tr w:rsidR="00F6481C" w:rsidRPr="00D6229A" w:rsidTr="00104D4B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noWrap/>
          </w:tcPr>
          <w:p w:rsidR="00F6481C" w:rsidRPr="00D6229A" w:rsidRDefault="00F6481C" w:rsidP="00104D4B">
            <w:pPr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D6229A">
              <w:rPr>
                <w:rFonts w:cs="Arial"/>
                <w:sz w:val="20"/>
                <w:szCs w:val="20"/>
                <w:lang w:val="en-GB"/>
              </w:rPr>
              <w:t>Abbreviations in alphabetical order: CEA: carcinoembryonic antigen; CI: confidence interval; cont.: continuous CRLM: colorectal liver metastases; dHGP: desmoplastic histopathological growth pattern</w:t>
            </w:r>
          </w:p>
        </w:tc>
      </w:tr>
    </w:tbl>
    <w:p w:rsidR="004F72A3" w:rsidRDefault="004F72A3">
      <w:bookmarkStart w:id="0" w:name="_GoBack"/>
      <w:bookmarkEnd w:id="0"/>
    </w:p>
    <w:sectPr w:rsidR="004F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1C"/>
    <w:rsid w:val="004F72A3"/>
    <w:rsid w:val="00F6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8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8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Nierop</dc:creator>
  <cp:lastModifiedBy>Nierop</cp:lastModifiedBy>
  <cp:revision>1</cp:revision>
  <dcterms:created xsi:type="dcterms:W3CDTF">2018-08-06T08:48:00Z</dcterms:created>
  <dcterms:modified xsi:type="dcterms:W3CDTF">2018-08-06T08:48:00Z</dcterms:modified>
</cp:coreProperties>
</file>