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b/>
          <w:sz w:val="22"/>
          <w:szCs w:val="22"/>
          <w:lang w:val="en-GB"/>
        </w:rPr>
      </w:pPr>
      <w:r>
        <w:rPr>
          <w:b/>
          <w:sz w:val="22"/>
          <w:szCs w:val="22"/>
          <w:lang w:val="en-GB"/>
        </w:rPr>
        <w:t>Supplementary material</w:t>
      </w:r>
    </w:p>
    <w:p>
      <w:pPr>
        <w:spacing w:after="200" w:line="480" w:lineRule="auto"/>
        <w:rPr>
          <w:rFonts w:eastAsia="Calibri"/>
          <w:b/>
          <w:sz w:val="22"/>
          <w:szCs w:val="22"/>
          <w:lang w:val="en-US" w:eastAsia="en-US"/>
        </w:rPr>
      </w:pPr>
    </w:p>
    <w:p>
      <w:pPr>
        <w:spacing w:after="200" w:line="480" w:lineRule="auto"/>
        <w:rPr>
          <w:rFonts w:eastAsia="Calibri"/>
          <w:b/>
          <w:sz w:val="22"/>
          <w:szCs w:val="22"/>
          <w:lang w:val="en-US" w:eastAsia="en-US"/>
        </w:rPr>
      </w:pPr>
      <w:r>
        <w:rPr>
          <w:rFonts w:eastAsia="Calibri"/>
          <w:b/>
          <w:sz w:val="22"/>
          <w:szCs w:val="22"/>
          <w:lang w:val="en-US" w:eastAsia="en-US"/>
        </w:rPr>
        <w:t>Creation of 3-dimensional myocardial flow reserve images</w:t>
      </w:r>
    </w:p>
    <w:p>
      <w:pPr>
        <w:spacing w:after="200" w:line="480" w:lineRule="auto"/>
        <w:rPr>
          <w:rFonts w:eastAsia="Calibri"/>
          <w:sz w:val="22"/>
          <w:szCs w:val="22"/>
          <w:lang w:val="en-US" w:eastAsia="en-US"/>
        </w:rPr>
      </w:pPr>
      <w:r>
        <w:rPr>
          <w:rFonts w:eastAsia="Calibri"/>
          <w:sz w:val="22"/>
          <w:szCs w:val="22"/>
          <w:lang w:val="en-US" w:eastAsia="en-US"/>
        </w:rPr>
        <w:t>Parametric PET rest and stress volumetric images, as created from ‘Carimas v2.9’, were further processed with a software package ‘PET Image’ partially developed in-house in IDL version 8.3 (</w:t>
      </w:r>
      <w:proofErr w:type="spellStart"/>
      <w:r>
        <w:rPr>
          <w:rFonts w:eastAsia="Calibri"/>
          <w:sz w:val="22"/>
          <w:szCs w:val="22"/>
          <w:lang w:val="en-US" w:eastAsia="en-US"/>
        </w:rPr>
        <w:t>Exelis</w:t>
      </w:r>
      <w:proofErr w:type="spellEnd"/>
      <w:r>
        <w:rPr>
          <w:rFonts w:eastAsia="Calibri"/>
          <w:sz w:val="22"/>
          <w:szCs w:val="22"/>
          <w:lang w:val="en-US" w:eastAsia="en-US"/>
        </w:rPr>
        <w:t xml:space="preserve"> Visual Information Solutions, Berkshire, UK). The purpose was to establish a volumetric image, containing the calculated myocardial flow reserve (MFR) for later fusion with CT-images. The Carimas v2.9 software package only displays the polar map of MFR values, whereas a volumetric model is not available.</w:t>
      </w:r>
    </w:p>
    <w:p>
      <w:pPr>
        <w:spacing w:after="200" w:line="480" w:lineRule="auto"/>
        <w:rPr>
          <w:rFonts w:eastAsia="Calibri"/>
          <w:sz w:val="22"/>
          <w:szCs w:val="22"/>
          <w:lang w:val="en-US" w:eastAsia="en-US"/>
        </w:rPr>
      </w:pPr>
      <w:r>
        <w:rPr>
          <w:rFonts w:eastAsia="Calibri"/>
          <w:sz w:val="22"/>
          <w:szCs w:val="22"/>
          <w:lang w:val="en-US" w:eastAsia="en-US"/>
        </w:rPr>
        <w:t xml:space="preserve">In Carimas v2.9, we used an identical contouring mask for the analysis of both rest and stress studies, whenever possible. In cases where identical mask were not appropriate between the two studies, we created the masks to fit each study separately. </w:t>
      </w:r>
    </w:p>
    <w:p>
      <w:pPr>
        <w:spacing w:after="200" w:line="480" w:lineRule="auto"/>
        <w:rPr>
          <w:rFonts w:eastAsia="Calibri"/>
          <w:sz w:val="22"/>
          <w:szCs w:val="22"/>
          <w:lang w:val="en-US" w:eastAsia="en-US"/>
        </w:rPr>
      </w:pPr>
      <w:r>
        <w:rPr>
          <w:rFonts w:eastAsia="Calibri"/>
          <w:sz w:val="22"/>
          <w:szCs w:val="22"/>
          <w:lang w:val="en-US" w:eastAsia="en-US"/>
        </w:rPr>
        <w:t>In the software ‘PET Image’, images of the rest and stress studies were manually checked for misalignment (Figure S1a) as this would result in seriously impaired images when calculating the MFR by dividing the stress image by the rest image (Figure S1b). In fact, MFR was calculated by applying the equation:</w:t>
      </w:r>
    </w:p>
    <w:p>
      <w:pPr>
        <w:spacing w:after="200" w:line="480" w:lineRule="auto"/>
        <w:rPr>
          <w:sz w:val="22"/>
          <w:szCs w:val="22"/>
          <w:lang w:val="en-US" w:eastAsia="en-US"/>
        </w:rPr>
      </w:pPr>
      <m:oMathPara>
        <m:oMath>
          <m:r>
            <w:rPr>
              <w:rFonts w:ascii="Cambria Math" w:eastAsia="Calibri" w:hAnsi="Cambria Math"/>
              <w:sz w:val="22"/>
              <w:szCs w:val="22"/>
              <w:lang w:val="en-US" w:eastAsia="en-US"/>
            </w:rPr>
            <m:t>MFR</m:t>
          </m:r>
          <m:r>
            <m:rPr>
              <m:sty m:val="p"/>
            </m:rPr>
            <w:rPr>
              <w:rFonts w:ascii="Cambria Math" w:eastAsia="Calibri" w:hAnsi="Cambria Math"/>
              <w:sz w:val="22"/>
              <w:szCs w:val="22"/>
              <w:lang w:val="en-US" w:eastAsia="en-US"/>
            </w:rPr>
            <m:t>=</m:t>
          </m:r>
          <m:f>
            <m:fPr>
              <m:ctrlPr>
                <w:rPr>
                  <w:rFonts w:ascii="Cambria Math" w:eastAsia="Calibri" w:hAnsi="Cambria Math"/>
                  <w:sz w:val="22"/>
                  <w:szCs w:val="22"/>
                  <w:lang w:val="en-US" w:eastAsia="en-US"/>
                </w:rPr>
              </m:ctrlPr>
            </m:fPr>
            <m:num>
              <m:r>
                <w:rPr>
                  <w:rFonts w:ascii="Cambria Math" w:eastAsia="Calibri" w:hAnsi="Cambria Math"/>
                  <w:sz w:val="22"/>
                  <w:szCs w:val="22"/>
                  <w:lang w:val="en-US" w:eastAsia="en-US"/>
                </w:rPr>
                <m:t>Stress</m:t>
              </m:r>
            </m:num>
            <m:den>
              <m:r>
                <w:rPr>
                  <w:rFonts w:ascii="Cambria Math" w:eastAsia="Calibri" w:hAnsi="Cambria Math"/>
                  <w:sz w:val="22"/>
                  <w:szCs w:val="22"/>
                  <w:lang w:val="en-US" w:eastAsia="en-US"/>
                </w:rPr>
                <m:t>Rest+0.0001</m:t>
              </m:r>
            </m:den>
          </m:f>
        </m:oMath>
      </m:oMathPara>
    </w:p>
    <w:p>
      <w:pPr>
        <w:spacing w:after="200" w:line="480" w:lineRule="auto"/>
        <w:rPr>
          <w:rFonts w:eastAsia="Calibri"/>
          <w:noProof/>
          <w:sz w:val="22"/>
          <w:szCs w:val="22"/>
          <w:lang w:val="en-US"/>
        </w:rPr>
      </w:pPr>
      <w:r>
        <w:rPr>
          <w:rFonts w:eastAsia="Calibri"/>
          <w:sz w:val="22"/>
          <w:szCs w:val="22"/>
          <w:lang w:val="en-US" w:eastAsia="en-US"/>
        </w:rPr>
        <w:t>The addition of ‘0.0001’ in the denominator was applied to ascertain values above 0. The resulting MFR value, which physiologically ranges 2-4, would not be affected by such a small inaccuracy in the denominator.</w:t>
      </w:r>
      <w:r>
        <w:rPr>
          <w:rFonts w:eastAsia="Calibri"/>
          <w:noProof/>
          <w:sz w:val="22"/>
          <w:szCs w:val="22"/>
          <w:lang w:val="en-US"/>
        </w:rPr>
        <w:t xml:space="preserve"> </w:t>
      </w:r>
    </w:p>
    <w:p>
      <w:pPr>
        <w:spacing w:after="200" w:line="480" w:lineRule="auto"/>
        <w:rPr>
          <w:rFonts w:eastAsia="Calibri"/>
          <w:sz w:val="22"/>
          <w:szCs w:val="22"/>
          <w:lang w:val="en-US" w:eastAsia="en-US"/>
        </w:rPr>
      </w:pPr>
      <w:r>
        <w:rPr>
          <w:rFonts w:eastAsia="Calibri"/>
          <w:sz w:val="22"/>
          <w:szCs w:val="22"/>
          <w:lang w:val="en-US" w:eastAsia="en-US"/>
        </w:rPr>
        <w:t>The alignment of the two studies was carried out semi-automatically by a build-in iterative algorithm applying an image resolution of 128*128*128. Only rigid movement in the x, y and z-axes was allowed, not rotation. For the program not to take voxel values into account in the alignment, we converted the rest and stress studies to dichotomous images, each study containing only the values zero and one. This was done by truncating each voxel value above 0.000001 to the value ‘1’ (Figure S2).</w:t>
      </w:r>
    </w:p>
    <w:p>
      <w:pPr>
        <w:spacing w:after="200" w:line="480" w:lineRule="auto"/>
        <w:rPr>
          <w:rFonts w:eastAsia="Calibri"/>
          <w:sz w:val="22"/>
          <w:szCs w:val="22"/>
          <w:lang w:val="en-US" w:eastAsia="en-US"/>
        </w:rPr>
      </w:pPr>
      <w:r>
        <w:rPr>
          <w:rFonts w:eastAsia="Calibri"/>
          <w:sz w:val="22"/>
          <w:szCs w:val="22"/>
          <w:lang w:val="en-US" w:eastAsia="en-US"/>
        </w:rPr>
        <w:lastRenderedPageBreak/>
        <w:t>Though images were aligned, a perfect match of the studies was not always possible. Therefore edge effects similar to that demonstrated in Figure S1d still occurred as seen from Figure S3, though appearing less devastating after alignment of the studies.</w:t>
      </w:r>
    </w:p>
    <w:p>
      <w:pPr>
        <w:spacing w:after="200" w:line="480" w:lineRule="auto"/>
        <w:rPr>
          <w:rFonts w:eastAsia="Calibri"/>
          <w:sz w:val="22"/>
          <w:szCs w:val="22"/>
          <w:lang w:val="en-US" w:eastAsia="en-US"/>
        </w:rPr>
      </w:pPr>
      <w:r>
        <w:rPr>
          <w:rFonts w:eastAsia="Calibri"/>
          <w:sz w:val="22"/>
          <w:szCs w:val="22"/>
          <w:lang w:val="en-US" w:eastAsia="en-US"/>
        </w:rPr>
        <w:t xml:space="preserve">To avoid these edge effects, the dichotomous masks from Figure S2 were used for ‘cutting of the non-overlapping edges’. Before calculating the MFR, the volumetric </w:t>
      </w:r>
      <w:r>
        <w:rPr>
          <w:rFonts w:eastAsia="Calibri"/>
          <w:i/>
          <w:sz w:val="22"/>
          <w:szCs w:val="22"/>
          <w:lang w:val="en-US" w:eastAsia="en-US"/>
        </w:rPr>
        <w:t>stress</w:t>
      </w:r>
      <w:r>
        <w:rPr>
          <w:rFonts w:eastAsia="Calibri"/>
          <w:sz w:val="22"/>
          <w:szCs w:val="22"/>
          <w:lang w:val="en-US" w:eastAsia="en-US"/>
        </w:rPr>
        <w:t xml:space="preserve"> image was multiplied by the dichotomous mask from the </w:t>
      </w:r>
      <w:r>
        <w:rPr>
          <w:rFonts w:eastAsia="Calibri"/>
          <w:i/>
          <w:sz w:val="22"/>
          <w:szCs w:val="22"/>
          <w:lang w:val="en-US" w:eastAsia="en-US"/>
        </w:rPr>
        <w:t>rest</w:t>
      </w:r>
      <w:r>
        <w:rPr>
          <w:rFonts w:eastAsia="Calibri"/>
          <w:sz w:val="22"/>
          <w:szCs w:val="22"/>
          <w:lang w:val="en-US" w:eastAsia="en-US"/>
        </w:rPr>
        <w:t xml:space="preserve"> image, as to ‘cut off’ non-overlapping volumes of the studies. Similarly, the volumetric </w:t>
      </w:r>
      <w:r>
        <w:rPr>
          <w:rFonts w:eastAsia="Calibri"/>
          <w:i/>
          <w:sz w:val="22"/>
          <w:szCs w:val="22"/>
          <w:lang w:val="en-US" w:eastAsia="en-US"/>
        </w:rPr>
        <w:t>rest</w:t>
      </w:r>
      <w:r>
        <w:rPr>
          <w:rFonts w:eastAsia="Calibri"/>
          <w:sz w:val="22"/>
          <w:szCs w:val="22"/>
          <w:lang w:val="en-US" w:eastAsia="en-US"/>
        </w:rPr>
        <w:t xml:space="preserve"> image was multiplied by the </w:t>
      </w:r>
      <w:r>
        <w:rPr>
          <w:rFonts w:eastAsia="Calibri"/>
          <w:i/>
          <w:sz w:val="22"/>
          <w:szCs w:val="22"/>
          <w:lang w:val="en-US" w:eastAsia="en-US"/>
        </w:rPr>
        <w:t>stress</w:t>
      </w:r>
      <w:r>
        <w:rPr>
          <w:rFonts w:eastAsia="Calibri"/>
          <w:sz w:val="22"/>
          <w:szCs w:val="22"/>
          <w:lang w:val="en-US" w:eastAsia="en-US"/>
        </w:rPr>
        <w:t xml:space="preserve"> dichotomous mask (Figure S4).</w:t>
      </w:r>
    </w:p>
    <w:p>
      <w:pPr>
        <w:spacing w:after="200" w:line="480" w:lineRule="auto"/>
        <w:rPr>
          <w:rFonts w:eastAsia="Calibri"/>
          <w:sz w:val="22"/>
          <w:szCs w:val="22"/>
          <w:lang w:val="en-US" w:eastAsia="en-US"/>
        </w:rPr>
      </w:pPr>
      <w:r>
        <w:rPr>
          <w:rFonts w:eastAsia="Calibri"/>
          <w:sz w:val="22"/>
          <w:szCs w:val="22"/>
          <w:lang w:val="en-US" w:eastAsia="en-US"/>
        </w:rPr>
        <w:t>Finally, the rest and the stress study had a perfect overlay and the volumetric MFR image without edge effects was generated (Figure S5).</w:t>
      </w:r>
    </w:p>
    <w:p>
      <w:pPr>
        <w:spacing w:after="200" w:line="480" w:lineRule="auto"/>
        <w:ind w:left="2608" w:firstLine="1304"/>
        <w:rPr>
          <w:rFonts w:eastAsia="Calibri"/>
          <w:sz w:val="22"/>
          <w:szCs w:val="22"/>
          <w:lang w:val="en-US" w:eastAsia="en-US"/>
        </w:rPr>
      </w:pPr>
      <w:r>
        <w:rPr>
          <w:rFonts w:eastAsia="Calibri"/>
          <w:noProof/>
          <w:sz w:val="22"/>
          <w:szCs w:val="22"/>
        </w:rPr>
        <w:t>{Figure S1}</w:t>
      </w:r>
    </w:p>
    <w:p>
      <w:pPr>
        <w:spacing w:after="200" w:line="480" w:lineRule="auto"/>
        <w:rPr>
          <w:rFonts w:eastAsia="Calibri"/>
          <w:sz w:val="22"/>
          <w:szCs w:val="22"/>
          <w:lang w:val="en-US" w:eastAsia="en-US"/>
        </w:rPr>
      </w:pPr>
      <w:r>
        <w:rPr>
          <w:rFonts w:eastAsia="Calibri"/>
          <w:b/>
          <w:sz w:val="22"/>
          <w:szCs w:val="22"/>
          <w:lang w:val="en-US" w:eastAsia="en-US"/>
        </w:rPr>
        <w:t>Figure S1 Checking images for misalignment</w:t>
      </w:r>
      <w:r>
        <w:rPr>
          <w:rFonts w:eastAsia="Calibri"/>
          <w:sz w:val="22"/>
          <w:szCs w:val="22"/>
          <w:lang w:val="en-US" w:eastAsia="en-US"/>
        </w:rPr>
        <w:t xml:space="preserve"> </w:t>
      </w:r>
      <w:proofErr w:type="gramStart"/>
      <w:r>
        <w:rPr>
          <w:rFonts w:eastAsia="Calibri"/>
          <w:sz w:val="22"/>
          <w:szCs w:val="22"/>
          <w:lang w:val="en-US" w:eastAsia="en-US"/>
        </w:rPr>
        <w:t>The</w:t>
      </w:r>
      <w:proofErr w:type="gramEnd"/>
      <w:r>
        <w:rPr>
          <w:rFonts w:eastAsia="Calibri"/>
          <w:sz w:val="22"/>
          <w:szCs w:val="22"/>
          <w:lang w:val="en-US" w:eastAsia="en-US"/>
        </w:rPr>
        <w:t xml:space="preserve"> rest study (a) and the stress study (b). A combined view (c) indicated that rest study (upper right and lower left) was misaligned with the stress study (upper left and lower right), which resulted in hampering ‘edge effects’ when the myocardial flow reserve was calculated (d). Notice the extreme supra physiological values of MFR, colored in dense red, as a result of dividing by denominator values close to zero.</w:t>
      </w:r>
    </w:p>
    <w:p>
      <w:pPr>
        <w:spacing w:after="200" w:line="480" w:lineRule="auto"/>
        <w:rPr>
          <w:rFonts w:eastAsia="Calibri"/>
          <w:sz w:val="22"/>
          <w:szCs w:val="22"/>
          <w:lang w:val="en-US" w:eastAsia="en-US"/>
        </w:rPr>
      </w:pP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noProof/>
          <w:sz w:val="22"/>
          <w:szCs w:val="22"/>
        </w:rPr>
        <w:t>{Figure S</w:t>
      </w:r>
      <w:r>
        <w:rPr>
          <w:rFonts w:eastAsia="Calibri"/>
          <w:noProof/>
          <w:sz w:val="22"/>
          <w:szCs w:val="22"/>
        </w:rPr>
        <w:t>2</w:t>
      </w:r>
      <w:r>
        <w:rPr>
          <w:rFonts w:eastAsia="Calibri"/>
          <w:noProof/>
          <w:sz w:val="22"/>
          <w:szCs w:val="22"/>
        </w:rPr>
        <w:t>}</w:t>
      </w:r>
    </w:p>
    <w:p>
      <w:pPr>
        <w:spacing w:line="480" w:lineRule="auto"/>
        <w:rPr>
          <w:lang w:val="en-US"/>
        </w:rPr>
      </w:pPr>
      <w:r>
        <w:rPr>
          <w:b/>
          <w:lang w:val="en-US"/>
        </w:rPr>
        <w:t xml:space="preserve">Figure S2 Truncated images for semi-automatized registering </w:t>
      </w:r>
      <w:r>
        <w:rPr>
          <w:lang w:val="en-US"/>
        </w:rPr>
        <w:t>Rest images (greyscale, upper right and lower left part of images) and stress images (also greyscale, upper left and lower right part of images), before (a) and after (b) the automatized alignment was performed.</w:t>
      </w:r>
    </w:p>
    <w:p>
      <w:pPr>
        <w:spacing w:after="200" w:line="480" w:lineRule="auto"/>
        <w:rPr>
          <w:rFonts w:eastAsia="Calibri"/>
          <w:sz w:val="22"/>
          <w:szCs w:val="22"/>
          <w:lang w:val="en-US" w:eastAsia="en-US"/>
        </w:rPr>
      </w:pP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noProof/>
          <w:sz w:val="22"/>
          <w:szCs w:val="22"/>
          <w:lang w:val="en-US"/>
        </w:rPr>
        <w:t>{Figure S</w:t>
      </w:r>
      <w:r>
        <w:rPr>
          <w:rFonts w:eastAsia="Calibri"/>
          <w:noProof/>
          <w:sz w:val="22"/>
          <w:szCs w:val="22"/>
          <w:lang w:val="en-US"/>
        </w:rPr>
        <w:t>3</w:t>
      </w:r>
      <w:r>
        <w:rPr>
          <w:rFonts w:eastAsia="Calibri"/>
          <w:noProof/>
          <w:sz w:val="22"/>
          <w:szCs w:val="22"/>
          <w:lang w:val="en-US"/>
        </w:rPr>
        <w:t>}</w:t>
      </w:r>
    </w:p>
    <w:p>
      <w:pPr>
        <w:spacing w:line="480" w:lineRule="auto"/>
        <w:rPr>
          <w:b/>
          <w:lang w:val="en-US"/>
        </w:rPr>
      </w:pPr>
      <w:r>
        <w:rPr>
          <w:b/>
          <w:lang w:val="en-US"/>
        </w:rPr>
        <w:t>Figure S3 Myocardial flow reserve after alignment</w:t>
      </w:r>
      <w:r>
        <w:rPr>
          <w:lang w:val="en-US"/>
        </w:rPr>
        <w:t xml:space="preserve"> Still supra physiological values occurred at the edges due to non-overlapping volumes of the rest and stress studies, from which it was calculated.</w:t>
      </w:r>
    </w:p>
    <w:p>
      <w:pPr>
        <w:spacing w:after="200" w:line="480" w:lineRule="auto"/>
        <w:rPr>
          <w:rFonts w:eastAsia="Calibri"/>
          <w:sz w:val="22"/>
          <w:szCs w:val="22"/>
          <w:lang w:val="en-US" w:eastAsia="en-US"/>
        </w:rPr>
      </w:pPr>
      <w:r>
        <w:rPr>
          <w:rFonts w:eastAsia="Calibri"/>
          <w:sz w:val="22"/>
          <w:szCs w:val="22"/>
          <w:lang w:val="en-US" w:eastAsia="en-US"/>
        </w:rPr>
        <w:lastRenderedPageBreak/>
        <w:tab/>
      </w:r>
      <w:r>
        <w:rPr>
          <w:rFonts w:eastAsia="Calibri"/>
          <w:sz w:val="22"/>
          <w:szCs w:val="22"/>
          <w:lang w:val="en-US" w:eastAsia="en-US"/>
        </w:rPr>
        <w:tab/>
      </w:r>
      <w:r>
        <w:rPr>
          <w:rFonts w:eastAsia="Calibri"/>
          <w:sz w:val="22"/>
          <w:szCs w:val="22"/>
          <w:lang w:val="en-US" w:eastAsia="en-US"/>
        </w:rPr>
        <w:tab/>
      </w:r>
      <w:r>
        <w:rPr>
          <w:rFonts w:eastAsia="Calibri"/>
          <w:noProof/>
          <w:sz w:val="22"/>
          <w:szCs w:val="22"/>
        </w:rPr>
        <w:t>{Figure S</w:t>
      </w:r>
      <w:r>
        <w:rPr>
          <w:rFonts w:eastAsia="Calibri"/>
          <w:noProof/>
          <w:sz w:val="22"/>
          <w:szCs w:val="22"/>
        </w:rPr>
        <w:t>4</w:t>
      </w:r>
      <w:r>
        <w:rPr>
          <w:rFonts w:eastAsia="Calibri"/>
          <w:noProof/>
          <w:sz w:val="22"/>
          <w:szCs w:val="22"/>
        </w:rPr>
        <w:t>}</w:t>
      </w:r>
      <w:r>
        <w:rPr>
          <w:rFonts w:eastAsia="Calibri"/>
          <w:sz w:val="22"/>
          <w:szCs w:val="22"/>
          <w:lang w:val="en-US" w:eastAsia="en-US"/>
        </w:rPr>
        <w:t xml:space="preserve">      </w:t>
      </w:r>
    </w:p>
    <w:p>
      <w:pPr>
        <w:spacing w:line="480" w:lineRule="auto"/>
        <w:rPr>
          <w:lang w:val="en-US"/>
        </w:rPr>
      </w:pPr>
      <w:r>
        <w:rPr>
          <w:b/>
          <w:lang w:val="en-US"/>
        </w:rPr>
        <w:t>Figure S4 Images were cut to only include overlapping volumes</w:t>
      </w:r>
      <w:r>
        <w:rPr>
          <w:lang w:val="en-US"/>
        </w:rPr>
        <w:t xml:space="preserve"> Rest (a) and stress (b) images, ready for myocardial flow reserve calculation after multiplying by the dichotomous mask from the opposite examination.</w:t>
      </w:r>
    </w:p>
    <w:p>
      <w:pPr>
        <w:spacing w:after="200" w:line="480" w:lineRule="auto"/>
        <w:rPr>
          <w:rFonts w:eastAsia="Calibri"/>
          <w:sz w:val="22"/>
          <w:szCs w:val="22"/>
          <w:lang w:val="en-US" w:eastAsia="en-US"/>
        </w:rPr>
      </w:pP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noProof/>
          <w:sz w:val="22"/>
          <w:szCs w:val="22"/>
        </w:rPr>
        <w:t>{Figure S</w:t>
      </w:r>
      <w:r>
        <w:rPr>
          <w:rFonts w:eastAsia="Calibri"/>
          <w:noProof/>
          <w:sz w:val="22"/>
          <w:szCs w:val="22"/>
        </w:rPr>
        <w:t>5</w:t>
      </w:r>
      <w:r>
        <w:rPr>
          <w:rFonts w:eastAsia="Calibri"/>
          <w:noProof/>
          <w:sz w:val="22"/>
          <w:szCs w:val="22"/>
        </w:rPr>
        <w:t>}</w:t>
      </w:r>
    </w:p>
    <w:p>
      <w:pPr>
        <w:spacing w:line="480" w:lineRule="auto"/>
        <w:rPr>
          <w:lang w:val="en-US"/>
        </w:rPr>
      </w:pPr>
      <w:r>
        <w:rPr>
          <w:b/>
          <w:lang w:val="en-US"/>
        </w:rPr>
        <w:t>Figure S5 Final volumetric image of myocardial flow reserve</w:t>
      </w:r>
      <w:r>
        <w:rPr>
          <w:lang w:val="en-US"/>
        </w:rPr>
        <w:t xml:space="preserve"> </w:t>
      </w:r>
      <w:proofErr w:type="gramStart"/>
      <w:r>
        <w:rPr>
          <w:lang w:val="en-US"/>
        </w:rPr>
        <w:t>Without</w:t>
      </w:r>
      <w:proofErr w:type="gramEnd"/>
      <w:r>
        <w:rPr>
          <w:lang w:val="en-US"/>
        </w:rPr>
        <w:t xml:space="preserve"> the edge effects and ready for fusion with CT. </w:t>
      </w: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
    <w:p>
      <w:pPr>
        <w:spacing w:after="200" w:line="480" w:lineRule="auto"/>
        <w:rPr>
          <w:rFonts w:eastAsiaTheme="minorHAnsi"/>
          <w:b/>
          <w:sz w:val="22"/>
          <w:szCs w:val="22"/>
          <w:lang w:eastAsia="en-US"/>
        </w:rPr>
      </w:pPr>
      <w:proofErr w:type="spellStart"/>
      <w:r>
        <w:rPr>
          <w:rFonts w:eastAsiaTheme="minorHAnsi"/>
          <w:b/>
          <w:sz w:val="22"/>
          <w:szCs w:val="22"/>
          <w:lang w:eastAsia="en-US"/>
        </w:rPr>
        <w:lastRenderedPageBreak/>
        <w:t>Supplementary</w:t>
      </w:r>
      <w:proofErr w:type="spellEnd"/>
      <w:r>
        <w:rPr>
          <w:rFonts w:eastAsiaTheme="minorHAnsi"/>
          <w:b/>
          <w:sz w:val="22"/>
          <w:szCs w:val="22"/>
          <w:lang w:eastAsia="en-US"/>
        </w:rPr>
        <w:t xml:space="preserve"> </w:t>
      </w:r>
      <w:proofErr w:type="spellStart"/>
      <w:r>
        <w:rPr>
          <w:rFonts w:eastAsiaTheme="minorHAnsi"/>
          <w:b/>
          <w:sz w:val="22"/>
          <w:szCs w:val="22"/>
          <w:lang w:eastAsia="en-US"/>
        </w:rPr>
        <w:t>tables</w:t>
      </w:r>
      <w:proofErr w:type="spellEnd"/>
    </w:p>
    <w:tbl>
      <w:tblPr>
        <w:tblStyle w:val="Tabel-Gitter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tc>
          <w:tcPr>
            <w:tcW w:w="1955" w:type="dxa"/>
            <w:tcBorders>
              <w:top w:val="single" w:sz="4" w:space="0" w:color="auto"/>
              <w:bottom w:val="single" w:sz="4" w:space="0" w:color="auto"/>
            </w:tcBorders>
          </w:tcPr>
          <w:p>
            <w:pPr>
              <w:rPr>
                <w:sz w:val="22"/>
                <w:szCs w:val="22"/>
                <w:lang w:val="en-US"/>
              </w:rPr>
            </w:pPr>
            <w:r>
              <w:rPr>
                <w:sz w:val="22"/>
                <w:szCs w:val="22"/>
                <w:lang w:val="en-US"/>
              </w:rPr>
              <w:t>Component</w:t>
            </w:r>
          </w:p>
        </w:tc>
        <w:tc>
          <w:tcPr>
            <w:tcW w:w="1955" w:type="dxa"/>
            <w:tcBorders>
              <w:top w:val="single" w:sz="4" w:space="0" w:color="auto"/>
              <w:bottom w:val="single" w:sz="4" w:space="0" w:color="auto"/>
            </w:tcBorders>
          </w:tcPr>
          <w:p>
            <w:pPr>
              <w:rPr>
                <w:sz w:val="22"/>
                <w:szCs w:val="22"/>
                <w:lang w:val="en-US"/>
              </w:rPr>
            </w:pPr>
            <w:r>
              <w:rPr>
                <w:sz w:val="22"/>
                <w:szCs w:val="22"/>
                <w:lang w:val="en-US"/>
              </w:rPr>
              <w:t>Factor level</w:t>
            </w:r>
          </w:p>
        </w:tc>
        <w:tc>
          <w:tcPr>
            <w:tcW w:w="1956" w:type="dxa"/>
            <w:tcBorders>
              <w:top w:val="single" w:sz="4" w:space="0" w:color="auto"/>
              <w:bottom w:val="single" w:sz="4" w:space="0" w:color="auto"/>
            </w:tcBorders>
          </w:tcPr>
          <w:p>
            <w:pPr>
              <w:rPr>
                <w:sz w:val="22"/>
                <w:szCs w:val="22"/>
                <w:lang w:val="en-US"/>
              </w:rPr>
            </w:pPr>
            <w:r>
              <w:rPr>
                <w:sz w:val="22"/>
                <w:szCs w:val="22"/>
                <w:lang w:val="en-US"/>
              </w:rPr>
              <w:t>Estimate</w:t>
            </w:r>
          </w:p>
        </w:tc>
        <w:tc>
          <w:tcPr>
            <w:tcW w:w="1956" w:type="dxa"/>
            <w:tcBorders>
              <w:top w:val="single" w:sz="4" w:space="0" w:color="auto"/>
              <w:bottom w:val="single" w:sz="4" w:space="0" w:color="auto"/>
            </w:tcBorders>
          </w:tcPr>
          <w:p>
            <w:pPr>
              <w:rPr>
                <w:sz w:val="22"/>
                <w:szCs w:val="22"/>
                <w:lang w:val="en-US"/>
              </w:rPr>
            </w:pPr>
            <w:r>
              <w:rPr>
                <w:sz w:val="22"/>
                <w:szCs w:val="22"/>
                <w:lang w:val="en-US"/>
              </w:rPr>
              <w:t>95% CI</w:t>
            </w:r>
          </w:p>
        </w:tc>
        <w:tc>
          <w:tcPr>
            <w:tcW w:w="1956" w:type="dxa"/>
            <w:tcBorders>
              <w:top w:val="single" w:sz="4" w:space="0" w:color="auto"/>
              <w:bottom w:val="single" w:sz="4" w:space="0" w:color="auto"/>
            </w:tcBorders>
          </w:tcPr>
          <w:p>
            <w:pPr>
              <w:rPr>
                <w:sz w:val="22"/>
                <w:szCs w:val="22"/>
                <w:lang w:val="en-US"/>
              </w:rPr>
            </w:pPr>
            <w:r>
              <w:rPr>
                <w:sz w:val="22"/>
                <w:szCs w:val="22"/>
                <w:lang w:val="en-US"/>
              </w:rPr>
              <w:t>P-value</w:t>
            </w:r>
          </w:p>
        </w:tc>
      </w:tr>
      <w:tr>
        <w:tc>
          <w:tcPr>
            <w:tcW w:w="1955" w:type="dxa"/>
            <w:tcBorders>
              <w:top w:val="single" w:sz="4" w:space="0" w:color="auto"/>
            </w:tcBorders>
          </w:tcPr>
          <w:p>
            <w:pPr>
              <w:rPr>
                <w:sz w:val="22"/>
                <w:szCs w:val="22"/>
                <w:lang w:val="en-US"/>
              </w:rPr>
            </w:pPr>
            <w:r>
              <w:rPr>
                <w:sz w:val="22"/>
                <w:szCs w:val="22"/>
                <w:lang w:val="en-US"/>
              </w:rPr>
              <w:t>Observer</w:t>
            </w:r>
          </w:p>
        </w:tc>
        <w:tc>
          <w:tcPr>
            <w:tcW w:w="1955" w:type="dxa"/>
            <w:tcBorders>
              <w:top w:val="single" w:sz="4" w:space="0" w:color="auto"/>
            </w:tcBorders>
          </w:tcPr>
          <w:p>
            <w:pPr>
              <w:rPr>
                <w:sz w:val="22"/>
                <w:szCs w:val="22"/>
                <w:lang w:val="en-US"/>
              </w:rPr>
            </w:pPr>
            <w:r>
              <w:rPr>
                <w:sz w:val="22"/>
                <w:szCs w:val="22"/>
                <w:lang w:val="en-US"/>
              </w:rPr>
              <w:t>1 – reference</w:t>
            </w: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-0.007</w:t>
            </w:r>
          </w:p>
        </w:tc>
        <w:tc>
          <w:tcPr>
            <w:tcW w:w="1956" w:type="dxa"/>
          </w:tcPr>
          <w:p>
            <w:pPr>
              <w:rPr>
                <w:sz w:val="22"/>
                <w:szCs w:val="22"/>
                <w:lang w:val="en-US"/>
              </w:rPr>
            </w:pPr>
            <w:r>
              <w:rPr>
                <w:sz w:val="22"/>
                <w:szCs w:val="22"/>
                <w:lang w:val="en-US"/>
              </w:rPr>
              <w:t>-0.017</w:t>
            </w:r>
            <w:r>
              <w:rPr>
                <w:sz w:val="22"/>
                <w:szCs w:val="22"/>
                <w:lang w:val="en-US"/>
              </w:rPr>
              <w:t>;</w:t>
            </w:r>
            <w:r>
              <w:rPr>
                <w:sz w:val="22"/>
                <w:szCs w:val="22"/>
                <w:lang w:val="en-US"/>
              </w:rPr>
              <w:t>0.004</w:t>
            </w:r>
          </w:p>
        </w:tc>
        <w:tc>
          <w:tcPr>
            <w:tcW w:w="1956" w:type="dxa"/>
          </w:tcPr>
          <w:p>
            <w:pPr>
              <w:rPr>
                <w:sz w:val="22"/>
                <w:szCs w:val="22"/>
                <w:lang w:val="en-US"/>
              </w:rPr>
            </w:pPr>
            <w:r>
              <w:rPr>
                <w:sz w:val="22"/>
                <w:szCs w:val="22"/>
                <w:lang w:val="en-US"/>
              </w:rPr>
              <w:t>0.22</w:t>
            </w:r>
          </w:p>
        </w:tc>
      </w:tr>
      <w:tr>
        <w:tc>
          <w:tcPr>
            <w:tcW w:w="1955" w:type="dxa"/>
          </w:tcPr>
          <w:p>
            <w:pPr>
              <w:rPr>
                <w:sz w:val="22"/>
                <w:szCs w:val="22"/>
                <w:lang w:val="en-US"/>
              </w:rPr>
            </w:pPr>
            <w:r>
              <w:rPr>
                <w:sz w:val="22"/>
                <w:szCs w:val="22"/>
                <w:lang w:val="en-US"/>
              </w:rPr>
              <w:t>Measurement</w:t>
            </w:r>
          </w:p>
        </w:tc>
        <w:tc>
          <w:tcPr>
            <w:tcW w:w="1955" w:type="dxa"/>
          </w:tcPr>
          <w:p>
            <w:pPr>
              <w:rPr>
                <w:sz w:val="22"/>
                <w:szCs w:val="22"/>
                <w:lang w:val="en-US"/>
              </w:rPr>
            </w:pPr>
            <w:r>
              <w:rPr>
                <w:sz w:val="22"/>
                <w:szCs w:val="22"/>
                <w:lang w:val="en-US"/>
              </w:rPr>
              <w:t>1 – reference</w:t>
            </w:r>
          </w:p>
        </w:tc>
        <w:tc>
          <w:tcPr>
            <w:tcW w:w="1956" w:type="dxa"/>
          </w:tcPr>
          <w:p>
            <w:pPr>
              <w:rPr>
                <w:sz w:val="22"/>
                <w:szCs w:val="22"/>
                <w:lang w:val="en-US"/>
              </w:rPr>
            </w:pPr>
          </w:p>
        </w:tc>
        <w:tc>
          <w:tcPr>
            <w:tcW w:w="1956" w:type="dxa"/>
          </w:tcPr>
          <w:p>
            <w:pPr>
              <w:rPr>
                <w:sz w:val="22"/>
                <w:szCs w:val="22"/>
                <w:lang w:val="en-US"/>
              </w:rPr>
            </w:pPr>
          </w:p>
        </w:tc>
        <w:tc>
          <w:tcPr>
            <w:tcW w:w="1956" w:type="dxa"/>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-0.005</w:t>
            </w:r>
          </w:p>
        </w:tc>
        <w:tc>
          <w:tcPr>
            <w:tcW w:w="1956" w:type="dxa"/>
          </w:tcPr>
          <w:p>
            <w:pPr>
              <w:rPr>
                <w:sz w:val="22"/>
                <w:szCs w:val="22"/>
                <w:lang w:val="en-US"/>
              </w:rPr>
            </w:pPr>
            <w:r>
              <w:rPr>
                <w:sz w:val="22"/>
                <w:szCs w:val="22"/>
                <w:lang w:val="en-US"/>
              </w:rPr>
              <w:t>-0.015</w:t>
            </w:r>
            <w:r>
              <w:rPr>
                <w:sz w:val="22"/>
                <w:szCs w:val="22"/>
                <w:lang w:val="en-US"/>
              </w:rPr>
              <w:t>;</w:t>
            </w:r>
            <w:r>
              <w:rPr>
                <w:sz w:val="22"/>
                <w:szCs w:val="22"/>
                <w:lang w:val="en-US"/>
              </w:rPr>
              <w:t>0.005</w:t>
            </w:r>
          </w:p>
        </w:tc>
        <w:tc>
          <w:tcPr>
            <w:tcW w:w="1956" w:type="dxa"/>
          </w:tcPr>
          <w:p>
            <w:pPr>
              <w:rPr>
                <w:sz w:val="22"/>
                <w:szCs w:val="22"/>
                <w:lang w:val="en-US"/>
              </w:rPr>
            </w:pPr>
            <w:r>
              <w:rPr>
                <w:sz w:val="22"/>
                <w:szCs w:val="22"/>
                <w:lang w:val="en-US"/>
              </w:rPr>
              <w:t>0.31</w:t>
            </w:r>
          </w:p>
        </w:tc>
      </w:tr>
      <w:tr>
        <w:tc>
          <w:tcPr>
            <w:tcW w:w="1955" w:type="dxa"/>
          </w:tcPr>
          <w:p>
            <w:pPr>
              <w:rPr>
                <w:sz w:val="22"/>
                <w:szCs w:val="22"/>
                <w:lang w:val="en-US"/>
              </w:rPr>
            </w:pPr>
            <w:r>
              <w:rPr>
                <w:sz w:val="22"/>
                <w:szCs w:val="22"/>
                <w:lang w:val="en-US"/>
              </w:rPr>
              <w:t>Constant</w:t>
            </w:r>
          </w:p>
        </w:tc>
        <w:tc>
          <w:tcPr>
            <w:tcW w:w="1955" w:type="dxa"/>
          </w:tcPr>
          <w:p>
            <w:pPr>
              <w:rPr>
                <w:sz w:val="22"/>
                <w:szCs w:val="22"/>
                <w:lang w:val="en-US"/>
              </w:rPr>
            </w:pPr>
          </w:p>
        </w:tc>
        <w:tc>
          <w:tcPr>
            <w:tcW w:w="1956" w:type="dxa"/>
          </w:tcPr>
          <w:p>
            <w:pPr>
              <w:rPr>
                <w:sz w:val="22"/>
                <w:szCs w:val="22"/>
                <w:lang w:val="en-US"/>
              </w:rPr>
            </w:pPr>
            <w:r>
              <w:rPr>
                <w:sz w:val="22"/>
                <w:szCs w:val="22"/>
                <w:lang w:val="en-US"/>
              </w:rPr>
              <w:t>1.09</w:t>
            </w:r>
          </w:p>
        </w:tc>
        <w:tc>
          <w:tcPr>
            <w:tcW w:w="1956" w:type="dxa"/>
          </w:tcPr>
          <w:p>
            <w:pPr>
              <w:rPr>
                <w:sz w:val="22"/>
                <w:szCs w:val="22"/>
                <w:lang w:val="en-US"/>
              </w:rPr>
            </w:pPr>
            <w:r>
              <w:rPr>
                <w:sz w:val="22"/>
                <w:szCs w:val="22"/>
                <w:lang w:val="en-US"/>
              </w:rPr>
              <w:t>1.02</w:t>
            </w:r>
            <w:r>
              <w:rPr>
                <w:sz w:val="22"/>
                <w:szCs w:val="22"/>
                <w:lang w:val="en-US"/>
              </w:rPr>
              <w:t>;</w:t>
            </w:r>
            <w:r>
              <w:rPr>
                <w:sz w:val="22"/>
                <w:szCs w:val="22"/>
                <w:lang w:val="en-US"/>
              </w:rPr>
              <w:t>1.17</w:t>
            </w:r>
          </w:p>
        </w:tc>
        <w:tc>
          <w:tcPr>
            <w:tcW w:w="1956" w:type="dxa"/>
          </w:tcPr>
          <w:p>
            <w:pPr>
              <w:rPr>
                <w:sz w:val="22"/>
                <w:szCs w:val="22"/>
                <w:lang w:val="en-US"/>
              </w:rPr>
            </w:pPr>
            <w:r>
              <w:rPr>
                <w:sz w:val="22"/>
                <w:szCs w:val="22"/>
                <w:lang w:val="en-US"/>
              </w:rPr>
              <w:t>&lt;0.001</w:t>
            </w:r>
          </w:p>
        </w:tc>
      </w:tr>
      <w:tr>
        <w:tc>
          <w:tcPr>
            <w:tcW w:w="1955" w:type="dxa"/>
          </w:tcPr>
          <w:p>
            <w:pPr>
              <w:rPr>
                <w:sz w:val="22"/>
                <w:szCs w:val="22"/>
                <w:lang w:val="en-US"/>
              </w:rPr>
            </w:pPr>
            <w:r>
              <w:rPr>
                <w:sz w:val="22"/>
                <w:szCs w:val="22"/>
                <w:lang w:val="en-US"/>
              </w:rPr>
              <w:t>Patient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0.050</w:t>
            </w:r>
          </w:p>
        </w:tc>
        <w:tc>
          <w:tcPr>
            <w:tcW w:w="1956" w:type="dxa"/>
          </w:tcPr>
          <w:p>
            <w:pPr>
              <w:rPr>
                <w:sz w:val="22"/>
                <w:szCs w:val="22"/>
                <w:lang w:val="en-US"/>
              </w:rPr>
            </w:pPr>
            <w:r>
              <w:rPr>
                <w:sz w:val="22"/>
                <w:szCs w:val="22"/>
                <w:lang w:val="en-US"/>
              </w:rPr>
              <w:t>0.029</w:t>
            </w:r>
            <w:r>
              <w:rPr>
                <w:sz w:val="22"/>
                <w:szCs w:val="22"/>
                <w:lang w:val="en-US"/>
              </w:rPr>
              <w:t>;</w:t>
            </w:r>
            <w:r>
              <w:rPr>
                <w:sz w:val="22"/>
                <w:szCs w:val="22"/>
                <w:lang w:val="en-US"/>
              </w:rPr>
              <w:t>0.086</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Vascular territory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0.021</w:t>
            </w:r>
          </w:p>
        </w:tc>
        <w:tc>
          <w:tcPr>
            <w:tcW w:w="1956" w:type="dxa"/>
          </w:tcPr>
          <w:p>
            <w:pPr>
              <w:rPr>
                <w:sz w:val="22"/>
                <w:szCs w:val="22"/>
                <w:lang w:val="en-US"/>
              </w:rPr>
            </w:pPr>
            <w:r>
              <w:rPr>
                <w:sz w:val="22"/>
                <w:szCs w:val="22"/>
                <w:lang w:val="en-US"/>
              </w:rPr>
              <w:t>0.012</w:t>
            </w:r>
            <w:r>
              <w:rPr>
                <w:sz w:val="22"/>
                <w:szCs w:val="22"/>
                <w:lang w:val="en-US"/>
              </w:rPr>
              <w:t>;</w:t>
            </w:r>
            <w:r>
              <w:rPr>
                <w:sz w:val="22"/>
                <w:szCs w:val="22"/>
                <w:lang w:val="en-US"/>
              </w:rPr>
              <w:t>0.039</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Segment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0.035</w:t>
            </w:r>
          </w:p>
        </w:tc>
        <w:tc>
          <w:tcPr>
            <w:tcW w:w="1956" w:type="dxa"/>
          </w:tcPr>
          <w:p>
            <w:pPr>
              <w:rPr>
                <w:sz w:val="22"/>
                <w:szCs w:val="22"/>
                <w:lang w:val="en-US"/>
              </w:rPr>
            </w:pPr>
            <w:r>
              <w:rPr>
                <w:sz w:val="22"/>
                <w:szCs w:val="22"/>
                <w:lang w:val="en-US"/>
              </w:rPr>
              <w:t>0.021</w:t>
            </w:r>
            <w:r>
              <w:rPr>
                <w:sz w:val="22"/>
                <w:szCs w:val="22"/>
                <w:lang w:val="en-US"/>
              </w:rPr>
              <w:t>;</w:t>
            </w:r>
            <w:r>
              <w:rPr>
                <w:sz w:val="22"/>
                <w:szCs w:val="22"/>
                <w:lang w:val="en-US"/>
              </w:rPr>
              <w:t>0.059</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Residual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0.005</w:t>
            </w:r>
          </w:p>
        </w:tc>
        <w:tc>
          <w:tcPr>
            <w:tcW w:w="1956" w:type="dxa"/>
          </w:tcPr>
          <w:p>
            <w:pPr>
              <w:rPr>
                <w:sz w:val="22"/>
                <w:szCs w:val="22"/>
                <w:lang w:val="en-US"/>
              </w:rPr>
            </w:pPr>
            <w:r>
              <w:rPr>
                <w:sz w:val="22"/>
                <w:szCs w:val="22"/>
                <w:lang w:val="en-US"/>
              </w:rPr>
              <w:t>0.003</w:t>
            </w:r>
            <w:r>
              <w:rPr>
                <w:sz w:val="22"/>
                <w:szCs w:val="22"/>
                <w:lang w:val="en-US"/>
              </w:rPr>
              <w:t>;</w:t>
            </w:r>
            <w:r>
              <w:rPr>
                <w:sz w:val="22"/>
                <w:szCs w:val="22"/>
                <w:lang w:val="en-US"/>
              </w:rPr>
              <w:t>0.007</w:t>
            </w:r>
          </w:p>
        </w:tc>
        <w:tc>
          <w:tcPr>
            <w:tcW w:w="1956" w:type="dxa"/>
          </w:tcPr>
          <w:p>
            <w:pPr>
              <w:rPr>
                <w:sz w:val="22"/>
                <w:szCs w:val="22"/>
                <w:lang w:val="en-US"/>
              </w:rPr>
            </w:pPr>
          </w:p>
        </w:tc>
      </w:tr>
    </w:tbl>
    <w:p>
      <w:pPr>
        <w:spacing w:after="200" w:line="480" w:lineRule="auto"/>
        <w:rPr>
          <w:rFonts w:eastAsiaTheme="minorHAnsi"/>
          <w:i/>
          <w:sz w:val="22"/>
          <w:szCs w:val="22"/>
          <w:lang w:val="en-US" w:eastAsia="en-US"/>
        </w:rPr>
      </w:pPr>
      <w:proofErr w:type="gramStart"/>
      <w:r>
        <w:rPr>
          <w:rFonts w:eastAsiaTheme="minorHAnsi"/>
          <w:b/>
          <w:i/>
          <w:sz w:val="22"/>
          <w:szCs w:val="22"/>
          <w:lang w:val="en-US" w:eastAsia="en-US"/>
        </w:rPr>
        <w:t>Table S1</w:t>
      </w:r>
      <w:r>
        <w:rPr>
          <w:rFonts w:eastAsiaTheme="minorHAnsi"/>
          <w:i/>
          <w:sz w:val="22"/>
          <w:szCs w:val="22"/>
          <w:lang w:val="en-US" w:eastAsia="en-US"/>
        </w:rPr>
        <w:t xml:space="preserve"> Variance components analysis of segment-based rest measurements.</w:t>
      </w:r>
      <w:proofErr w:type="gramEnd"/>
      <w:r>
        <w:rPr>
          <w:rFonts w:eastAsiaTheme="minorHAnsi"/>
          <w:i/>
          <w:sz w:val="22"/>
          <w:szCs w:val="22"/>
          <w:lang w:val="en-US" w:eastAsia="en-US"/>
        </w:rPr>
        <w:t xml:space="preserve"> </w:t>
      </w:r>
      <w:proofErr w:type="gramStart"/>
      <w:r>
        <w:rPr>
          <w:rFonts w:eastAsiaTheme="minorHAnsi"/>
          <w:i/>
          <w:sz w:val="22"/>
          <w:szCs w:val="22"/>
          <w:lang w:val="en-US" w:eastAsia="en-US"/>
        </w:rPr>
        <w:t>CI, confidence interval.</w:t>
      </w:r>
      <w:proofErr w:type="gramEnd"/>
    </w:p>
    <w:tbl>
      <w:tblPr>
        <w:tblStyle w:val="Tabel-Gitter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tc>
          <w:tcPr>
            <w:tcW w:w="1955" w:type="dxa"/>
            <w:tcBorders>
              <w:top w:val="single" w:sz="4" w:space="0" w:color="auto"/>
              <w:bottom w:val="single" w:sz="4" w:space="0" w:color="auto"/>
            </w:tcBorders>
          </w:tcPr>
          <w:p>
            <w:pPr>
              <w:rPr>
                <w:sz w:val="22"/>
                <w:szCs w:val="22"/>
                <w:lang w:val="en-US"/>
              </w:rPr>
            </w:pPr>
            <w:r>
              <w:rPr>
                <w:sz w:val="22"/>
                <w:szCs w:val="22"/>
                <w:lang w:val="en-US"/>
              </w:rPr>
              <w:t>Component</w:t>
            </w:r>
          </w:p>
        </w:tc>
        <w:tc>
          <w:tcPr>
            <w:tcW w:w="1955" w:type="dxa"/>
            <w:tcBorders>
              <w:top w:val="single" w:sz="4" w:space="0" w:color="auto"/>
              <w:bottom w:val="single" w:sz="4" w:space="0" w:color="auto"/>
            </w:tcBorders>
          </w:tcPr>
          <w:p>
            <w:pPr>
              <w:rPr>
                <w:sz w:val="22"/>
                <w:szCs w:val="22"/>
                <w:lang w:val="en-US"/>
              </w:rPr>
            </w:pPr>
            <w:r>
              <w:rPr>
                <w:sz w:val="22"/>
                <w:szCs w:val="22"/>
                <w:lang w:val="en-US"/>
              </w:rPr>
              <w:t>Factor level</w:t>
            </w:r>
          </w:p>
        </w:tc>
        <w:tc>
          <w:tcPr>
            <w:tcW w:w="1956" w:type="dxa"/>
            <w:tcBorders>
              <w:top w:val="single" w:sz="4" w:space="0" w:color="auto"/>
              <w:bottom w:val="single" w:sz="4" w:space="0" w:color="auto"/>
            </w:tcBorders>
          </w:tcPr>
          <w:p>
            <w:pPr>
              <w:rPr>
                <w:sz w:val="22"/>
                <w:szCs w:val="22"/>
                <w:lang w:val="en-US"/>
              </w:rPr>
            </w:pPr>
            <w:r>
              <w:rPr>
                <w:sz w:val="22"/>
                <w:szCs w:val="22"/>
                <w:lang w:val="en-US"/>
              </w:rPr>
              <w:t>Estimate</w:t>
            </w:r>
          </w:p>
        </w:tc>
        <w:tc>
          <w:tcPr>
            <w:tcW w:w="1956" w:type="dxa"/>
            <w:tcBorders>
              <w:top w:val="single" w:sz="4" w:space="0" w:color="auto"/>
              <w:bottom w:val="single" w:sz="4" w:space="0" w:color="auto"/>
            </w:tcBorders>
          </w:tcPr>
          <w:p>
            <w:pPr>
              <w:rPr>
                <w:sz w:val="22"/>
                <w:szCs w:val="22"/>
                <w:lang w:val="en-US"/>
              </w:rPr>
            </w:pPr>
            <w:r>
              <w:rPr>
                <w:sz w:val="22"/>
                <w:szCs w:val="22"/>
                <w:lang w:val="en-US"/>
              </w:rPr>
              <w:t>95% CI</w:t>
            </w:r>
          </w:p>
        </w:tc>
        <w:tc>
          <w:tcPr>
            <w:tcW w:w="1956" w:type="dxa"/>
            <w:tcBorders>
              <w:top w:val="single" w:sz="4" w:space="0" w:color="auto"/>
              <w:bottom w:val="single" w:sz="4" w:space="0" w:color="auto"/>
            </w:tcBorders>
          </w:tcPr>
          <w:p>
            <w:pPr>
              <w:rPr>
                <w:sz w:val="22"/>
                <w:szCs w:val="22"/>
                <w:lang w:val="en-US"/>
              </w:rPr>
            </w:pPr>
            <w:r>
              <w:rPr>
                <w:sz w:val="22"/>
                <w:szCs w:val="22"/>
                <w:lang w:val="en-US"/>
              </w:rPr>
              <w:t>P-value</w:t>
            </w:r>
          </w:p>
        </w:tc>
      </w:tr>
      <w:tr>
        <w:tc>
          <w:tcPr>
            <w:tcW w:w="1955" w:type="dxa"/>
            <w:tcBorders>
              <w:top w:val="single" w:sz="4" w:space="0" w:color="auto"/>
            </w:tcBorders>
          </w:tcPr>
          <w:p>
            <w:pPr>
              <w:rPr>
                <w:sz w:val="22"/>
                <w:szCs w:val="22"/>
                <w:lang w:val="en-US"/>
              </w:rPr>
            </w:pPr>
            <w:r>
              <w:rPr>
                <w:sz w:val="22"/>
                <w:szCs w:val="22"/>
                <w:lang w:val="en-US"/>
              </w:rPr>
              <w:t>Observer</w:t>
            </w:r>
          </w:p>
        </w:tc>
        <w:tc>
          <w:tcPr>
            <w:tcW w:w="1955" w:type="dxa"/>
            <w:tcBorders>
              <w:top w:val="single" w:sz="4" w:space="0" w:color="auto"/>
            </w:tcBorders>
          </w:tcPr>
          <w:p>
            <w:pPr>
              <w:rPr>
                <w:sz w:val="22"/>
                <w:szCs w:val="22"/>
                <w:lang w:val="en-US"/>
              </w:rPr>
            </w:pPr>
            <w:r>
              <w:rPr>
                <w:sz w:val="22"/>
                <w:szCs w:val="22"/>
                <w:lang w:val="en-US"/>
              </w:rPr>
              <w:t>1 – reference</w:t>
            </w: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0.030</w:t>
            </w:r>
          </w:p>
        </w:tc>
        <w:tc>
          <w:tcPr>
            <w:tcW w:w="1956" w:type="dxa"/>
          </w:tcPr>
          <w:p>
            <w:pPr>
              <w:rPr>
                <w:sz w:val="22"/>
                <w:szCs w:val="22"/>
                <w:lang w:val="en-US"/>
              </w:rPr>
            </w:pPr>
            <w:r>
              <w:rPr>
                <w:sz w:val="22"/>
                <w:szCs w:val="22"/>
                <w:lang w:val="en-US"/>
              </w:rPr>
              <w:t>-0.030</w:t>
            </w:r>
            <w:r>
              <w:rPr>
                <w:sz w:val="22"/>
                <w:szCs w:val="22"/>
                <w:lang w:val="en-US"/>
              </w:rPr>
              <w:t>;</w:t>
            </w:r>
            <w:r>
              <w:rPr>
                <w:sz w:val="22"/>
                <w:szCs w:val="22"/>
                <w:lang w:val="en-US"/>
              </w:rPr>
              <w:t>0.089</w:t>
            </w:r>
          </w:p>
        </w:tc>
        <w:tc>
          <w:tcPr>
            <w:tcW w:w="1956" w:type="dxa"/>
          </w:tcPr>
          <w:p>
            <w:pPr>
              <w:rPr>
                <w:sz w:val="22"/>
                <w:szCs w:val="22"/>
                <w:lang w:val="en-US"/>
              </w:rPr>
            </w:pPr>
            <w:r>
              <w:rPr>
                <w:sz w:val="22"/>
                <w:szCs w:val="22"/>
                <w:lang w:val="en-US"/>
              </w:rPr>
              <w:t>0.33</w:t>
            </w:r>
          </w:p>
        </w:tc>
      </w:tr>
      <w:tr>
        <w:tc>
          <w:tcPr>
            <w:tcW w:w="1955" w:type="dxa"/>
          </w:tcPr>
          <w:p>
            <w:pPr>
              <w:rPr>
                <w:sz w:val="22"/>
                <w:szCs w:val="22"/>
                <w:lang w:val="en-US"/>
              </w:rPr>
            </w:pPr>
            <w:r>
              <w:rPr>
                <w:sz w:val="22"/>
                <w:szCs w:val="22"/>
                <w:lang w:val="en-US"/>
              </w:rPr>
              <w:t xml:space="preserve">Measurement </w:t>
            </w:r>
          </w:p>
        </w:tc>
        <w:tc>
          <w:tcPr>
            <w:tcW w:w="1955" w:type="dxa"/>
          </w:tcPr>
          <w:p>
            <w:pPr>
              <w:rPr>
                <w:sz w:val="22"/>
                <w:szCs w:val="22"/>
                <w:lang w:val="en-US"/>
              </w:rPr>
            </w:pPr>
            <w:r>
              <w:rPr>
                <w:sz w:val="22"/>
                <w:szCs w:val="22"/>
                <w:lang w:val="en-US"/>
              </w:rPr>
              <w:t>1 – reference</w:t>
            </w:r>
          </w:p>
        </w:tc>
        <w:tc>
          <w:tcPr>
            <w:tcW w:w="1956" w:type="dxa"/>
          </w:tcPr>
          <w:p>
            <w:pPr>
              <w:rPr>
                <w:sz w:val="22"/>
                <w:szCs w:val="22"/>
                <w:lang w:val="en-US"/>
              </w:rPr>
            </w:pPr>
          </w:p>
        </w:tc>
        <w:tc>
          <w:tcPr>
            <w:tcW w:w="1956" w:type="dxa"/>
          </w:tcPr>
          <w:p>
            <w:pPr>
              <w:rPr>
                <w:sz w:val="22"/>
                <w:szCs w:val="22"/>
                <w:lang w:val="en-US"/>
              </w:rPr>
            </w:pPr>
          </w:p>
        </w:tc>
        <w:tc>
          <w:tcPr>
            <w:tcW w:w="1956" w:type="dxa"/>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-0.024</w:t>
            </w:r>
          </w:p>
        </w:tc>
        <w:tc>
          <w:tcPr>
            <w:tcW w:w="1956" w:type="dxa"/>
          </w:tcPr>
          <w:p>
            <w:pPr>
              <w:rPr>
                <w:sz w:val="22"/>
                <w:szCs w:val="22"/>
                <w:lang w:val="en-US"/>
              </w:rPr>
            </w:pPr>
            <w:r>
              <w:rPr>
                <w:sz w:val="22"/>
                <w:szCs w:val="22"/>
                <w:lang w:val="en-US"/>
              </w:rPr>
              <w:t>-0.068</w:t>
            </w:r>
            <w:r>
              <w:rPr>
                <w:sz w:val="22"/>
                <w:szCs w:val="22"/>
                <w:lang w:val="en-US"/>
              </w:rPr>
              <w:t>;</w:t>
            </w:r>
            <w:r>
              <w:rPr>
                <w:sz w:val="22"/>
                <w:szCs w:val="22"/>
                <w:lang w:val="en-US"/>
              </w:rPr>
              <w:t>0.020</w:t>
            </w:r>
          </w:p>
        </w:tc>
        <w:tc>
          <w:tcPr>
            <w:tcW w:w="1956" w:type="dxa"/>
          </w:tcPr>
          <w:p>
            <w:pPr>
              <w:rPr>
                <w:sz w:val="22"/>
                <w:szCs w:val="22"/>
                <w:lang w:val="en-US"/>
              </w:rPr>
            </w:pPr>
            <w:r>
              <w:rPr>
                <w:sz w:val="22"/>
                <w:szCs w:val="22"/>
                <w:lang w:val="en-US"/>
              </w:rPr>
              <w:t>0.29</w:t>
            </w:r>
          </w:p>
        </w:tc>
      </w:tr>
      <w:tr>
        <w:tc>
          <w:tcPr>
            <w:tcW w:w="1955" w:type="dxa"/>
          </w:tcPr>
          <w:p>
            <w:pPr>
              <w:rPr>
                <w:sz w:val="22"/>
                <w:szCs w:val="22"/>
                <w:lang w:val="en-US"/>
              </w:rPr>
            </w:pPr>
            <w:r>
              <w:rPr>
                <w:sz w:val="22"/>
                <w:szCs w:val="22"/>
                <w:lang w:val="en-US"/>
              </w:rPr>
              <w:t>Constant</w:t>
            </w:r>
          </w:p>
        </w:tc>
        <w:tc>
          <w:tcPr>
            <w:tcW w:w="1955" w:type="dxa"/>
          </w:tcPr>
          <w:p>
            <w:pPr>
              <w:rPr>
                <w:sz w:val="22"/>
                <w:szCs w:val="22"/>
                <w:lang w:val="en-US"/>
              </w:rPr>
            </w:pPr>
          </w:p>
        </w:tc>
        <w:tc>
          <w:tcPr>
            <w:tcW w:w="1956" w:type="dxa"/>
          </w:tcPr>
          <w:p>
            <w:pPr>
              <w:rPr>
                <w:sz w:val="22"/>
                <w:szCs w:val="22"/>
                <w:lang w:val="en-US"/>
              </w:rPr>
            </w:pPr>
            <w:r>
              <w:rPr>
                <w:sz w:val="22"/>
                <w:szCs w:val="22"/>
                <w:lang w:val="en-US"/>
              </w:rPr>
              <w:t>2.75</w:t>
            </w:r>
          </w:p>
        </w:tc>
        <w:tc>
          <w:tcPr>
            <w:tcW w:w="1956" w:type="dxa"/>
          </w:tcPr>
          <w:p>
            <w:pPr>
              <w:rPr>
                <w:sz w:val="22"/>
                <w:szCs w:val="22"/>
                <w:lang w:val="en-US"/>
              </w:rPr>
            </w:pPr>
            <w:r>
              <w:rPr>
                <w:sz w:val="22"/>
                <w:szCs w:val="22"/>
                <w:lang w:val="en-US"/>
              </w:rPr>
              <w:t>2.48</w:t>
            </w:r>
            <w:r>
              <w:rPr>
                <w:sz w:val="22"/>
                <w:szCs w:val="22"/>
                <w:lang w:val="en-US"/>
              </w:rPr>
              <w:t>;</w:t>
            </w:r>
            <w:r>
              <w:rPr>
                <w:sz w:val="22"/>
                <w:szCs w:val="22"/>
                <w:lang w:val="en-US"/>
              </w:rPr>
              <w:t>3.00</w:t>
            </w:r>
          </w:p>
        </w:tc>
        <w:tc>
          <w:tcPr>
            <w:tcW w:w="1956" w:type="dxa"/>
          </w:tcPr>
          <w:p>
            <w:pPr>
              <w:rPr>
                <w:sz w:val="22"/>
                <w:szCs w:val="22"/>
                <w:lang w:val="en-US"/>
              </w:rPr>
            </w:pPr>
            <w:r>
              <w:rPr>
                <w:sz w:val="22"/>
                <w:szCs w:val="22"/>
                <w:lang w:val="en-US"/>
              </w:rPr>
              <w:t>&lt;0.001</w:t>
            </w:r>
          </w:p>
        </w:tc>
      </w:tr>
      <w:tr>
        <w:tc>
          <w:tcPr>
            <w:tcW w:w="1955" w:type="dxa"/>
          </w:tcPr>
          <w:p>
            <w:pPr>
              <w:rPr>
                <w:sz w:val="22"/>
                <w:szCs w:val="22"/>
                <w:lang w:val="en-US"/>
              </w:rPr>
            </w:pPr>
            <w:r>
              <w:rPr>
                <w:sz w:val="22"/>
                <w:szCs w:val="22"/>
                <w:lang w:val="en-US"/>
              </w:rPr>
              <w:t>Patient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0.750</w:t>
            </w:r>
          </w:p>
        </w:tc>
        <w:tc>
          <w:tcPr>
            <w:tcW w:w="1956" w:type="dxa"/>
          </w:tcPr>
          <w:p>
            <w:pPr>
              <w:rPr>
                <w:sz w:val="22"/>
                <w:szCs w:val="22"/>
                <w:lang w:val="en-US"/>
              </w:rPr>
            </w:pPr>
            <w:r>
              <w:rPr>
                <w:sz w:val="22"/>
                <w:szCs w:val="22"/>
                <w:lang w:val="en-US"/>
              </w:rPr>
              <w:t>0.543</w:t>
            </w:r>
            <w:r>
              <w:rPr>
                <w:sz w:val="22"/>
                <w:szCs w:val="22"/>
                <w:lang w:val="en-US"/>
              </w:rPr>
              <w:t>;</w:t>
            </w:r>
            <w:r>
              <w:rPr>
                <w:sz w:val="22"/>
                <w:szCs w:val="22"/>
                <w:lang w:val="en-US"/>
              </w:rPr>
              <w:t>1.037</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Vascular territory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0.143</w:t>
            </w:r>
          </w:p>
        </w:tc>
        <w:tc>
          <w:tcPr>
            <w:tcW w:w="1956" w:type="dxa"/>
          </w:tcPr>
          <w:p>
            <w:pPr>
              <w:rPr>
                <w:sz w:val="22"/>
                <w:szCs w:val="22"/>
                <w:lang w:val="en-US"/>
              </w:rPr>
            </w:pPr>
            <w:r>
              <w:rPr>
                <w:sz w:val="22"/>
                <w:szCs w:val="22"/>
                <w:lang w:val="en-US"/>
              </w:rPr>
              <w:t>0.087</w:t>
            </w:r>
            <w:r>
              <w:rPr>
                <w:sz w:val="22"/>
                <w:szCs w:val="22"/>
                <w:lang w:val="en-US"/>
              </w:rPr>
              <w:t>;</w:t>
            </w:r>
            <w:r>
              <w:rPr>
                <w:sz w:val="22"/>
                <w:szCs w:val="22"/>
                <w:lang w:val="en-US"/>
              </w:rPr>
              <w:t>0.234</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Segment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0.257</w:t>
            </w:r>
          </w:p>
        </w:tc>
        <w:tc>
          <w:tcPr>
            <w:tcW w:w="1956" w:type="dxa"/>
          </w:tcPr>
          <w:p>
            <w:pPr>
              <w:rPr>
                <w:sz w:val="22"/>
                <w:szCs w:val="22"/>
                <w:lang w:val="en-US"/>
              </w:rPr>
            </w:pPr>
            <w:r>
              <w:rPr>
                <w:sz w:val="22"/>
                <w:szCs w:val="22"/>
                <w:lang w:val="en-US"/>
              </w:rPr>
              <w:t>0.212</w:t>
            </w:r>
            <w:r>
              <w:rPr>
                <w:sz w:val="22"/>
                <w:szCs w:val="22"/>
                <w:lang w:val="en-US"/>
              </w:rPr>
              <w:t>;</w:t>
            </w:r>
            <w:r>
              <w:rPr>
                <w:sz w:val="22"/>
                <w:szCs w:val="22"/>
                <w:lang w:val="en-US"/>
              </w:rPr>
              <w:t>0.313</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Residual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0.071</w:t>
            </w:r>
          </w:p>
        </w:tc>
        <w:tc>
          <w:tcPr>
            <w:tcW w:w="1956" w:type="dxa"/>
          </w:tcPr>
          <w:p>
            <w:pPr>
              <w:rPr>
                <w:sz w:val="22"/>
                <w:szCs w:val="22"/>
                <w:lang w:val="en-US"/>
              </w:rPr>
            </w:pPr>
            <w:r>
              <w:rPr>
                <w:sz w:val="22"/>
                <w:szCs w:val="22"/>
                <w:lang w:val="en-US"/>
              </w:rPr>
              <w:t>0.055</w:t>
            </w:r>
            <w:r>
              <w:rPr>
                <w:sz w:val="22"/>
                <w:szCs w:val="22"/>
                <w:lang w:val="en-US"/>
              </w:rPr>
              <w:t>;</w:t>
            </w:r>
            <w:r>
              <w:rPr>
                <w:sz w:val="22"/>
                <w:szCs w:val="22"/>
                <w:lang w:val="en-US"/>
              </w:rPr>
              <w:t>0.092</w:t>
            </w:r>
          </w:p>
        </w:tc>
        <w:tc>
          <w:tcPr>
            <w:tcW w:w="1956" w:type="dxa"/>
          </w:tcPr>
          <w:p>
            <w:pPr>
              <w:rPr>
                <w:sz w:val="22"/>
                <w:szCs w:val="22"/>
                <w:lang w:val="en-US"/>
              </w:rPr>
            </w:pPr>
          </w:p>
        </w:tc>
      </w:tr>
    </w:tbl>
    <w:p>
      <w:pPr>
        <w:spacing w:after="200" w:line="480" w:lineRule="auto"/>
        <w:rPr>
          <w:rFonts w:eastAsiaTheme="minorHAnsi"/>
          <w:i/>
          <w:sz w:val="22"/>
          <w:szCs w:val="22"/>
          <w:lang w:val="en-US" w:eastAsia="en-US"/>
        </w:rPr>
      </w:pPr>
      <w:proofErr w:type="gramStart"/>
      <w:r>
        <w:rPr>
          <w:rFonts w:eastAsiaTheme="minorHAnsi"/>
          <w:b/>
          <w:i/>
          <w:sz w:val="22"/>
          <w:szCs w:val="22"/>
          <w:lang w:val="en-US" w:eastAsia="en-US"/>
        </w:rPr>
        <w:t>Table S2</w:t>
      </w:r>
      <w:r>
        <w:rPr>
          <w:rFonts w:eastAsiaTheme="minorHAnsi"/>
          <w:i/>
          <w:sz w:val="22"/>
          <w:szCs w:val="22"/>
          <w:lang w:val="en-US" w:eastAsia="en-US"/>
        </w:rPr>
        <w:t xml:space="preserve"> Variance components analysis of segment-based stress measurements.</w:t>
      </w:r>
      <w:proofErr w:type="gramEnd"/>
      <w:r>
        <w:rPr>
          <w:rFonts w:eastAsiaTheme="minorHAnsi"/>
          <w:i/>
          <w:sz w:val="22"/>
          <w:szCs w:val="22"/>
          <w:lang w:val="en-US" w:eastAsia="en-US"/>
        </w:rPr>
        <w:t xml:space="preserve"> </w:t>
      </w:r>
      <w:proofErr w:type="gramStart"/>
      <w:r>
        <w:rPr>
          <w:rFonts w:eastAsiaTheme="minorHAnsi"/>
          <w:i/>
          <w:sz w:val="22"/>
          <w:szCs w:val="22"/>
          <w:lang w:val="en-US" w:eastAsia="en-US"/>
        </w:rPr>
        <w:t>CI, confidence interval.</w:t>
      </w:r>
      <w:proofErr w:type="gramEnd"/>
    </w:p>
    <w:tbl>
      <w:tblPr>
        <w:tblStyle w:val="Tabel-Gitter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tc>
          <w:tcPr>
            <w:tcW w:w="1955" w:type="dxa"/>
            <w:tcBorders>
              <w:top w:val="single" w:sz="4" w:space="0" w:color="auto"/>
              <w:bottom w:val="single" w:sz="4" w:space="0" w:color="auto"/>
            </w:tcBorders>
          </w:tcPr>
          <w:p>
            <w:pPr>
              <w:rPr>
                <w:sz w:val="22"/>
                <w:szCs w:val="22"/>
                <w:lang w:val="en-US"/>
              </w:rPr>
            </w:pPr>
            <w:r>
              <w:rPr>
                <w:sz w:val="22"/>
                <w:szCs w:val="22"/>
                <w:lang w:val="en-US"/>
              </w:rPr>
              <w:t>Component</w:t>
            </w:r>
          </w:p>
        </w:tc>
        <w:tc>
          <w:tcPr>
            <w:tcW w:w="1955" w:type="dxa"/>
            <w:tcBorders>
              <w:top w:val="single" w:sz="4" w:space="0" w:color="auto"/>
              <w:bottom w:val="single" w:sz="4" w:space="0" w:color="auto"/>
            </w:tcBorders>
          </w:tcPr>
          <w:p>
            <w:pPr>
              <w:rPr>
                <w:sz w:val="22"/>
                <w:szCs w:val="22"/>
                <w:lang w:val="en-US"/>
              </w:rPr>
            </w:pPr>
            <w:r>
              <w:rPr>
                <w:sz w:val="22"/>
                <w:szCs w:val="22"/>
                <w:lang w:val="en-US"/>
              </w:rPr>
              <w:t>Factor level</w:t>
            </w:r>
          </w:p>
        </w:tc>
        <w:tc>
          <w:tcPr>
            <w:tcW w:w="1956" w:type="dxa"/>
            <w:tcBorders>
              <w:top w:val="single" w:sz="4" w:space="0" w:color="auto"/>
              <w:bottom w:val="single" w:sz="4" w:space="0" w:color="auto"/>
            </w:tcBorders>
          </w:tcPr>
          <w:p>
            <w:pPr>
              <w:rPr>
                <w:sz w:val="22"/>
                <w:szCs w:val="22"/>
                <w:lang w:val="en-US"/>
              </w:rPr>
            </w:pPr>
            <w:r>
              <w:rPr>
                <w:sz w:val="22"/>
                <w:szCs w:val="22"/>
                <w:lang w:val="en-US"/>
              </w:rPr>
              <w:t>Estimate</w:t>
            </w:r>
          </w:p>
        </w:tc>
        <w:tc>
          <w:tcPr>
            <w:tcW w:w="1956" w:type="dxa"/>
            <w:tcBorders>
              <w:top w:val="single" w:sz="4" w:space="0" w:color="auto"/>
              <w:bottom w:val="single" w:sz="4" w:space="0" w:color="auto"/>
            </w:tcBorders>
          </w:tcPr>
          <w:p>
            <w:pPr>
              <w:rPr>
                <w:sz w:val="22"/>
                <w:szCs w:val="22"/>
                <w:lang w:val="en-US"/>
              </w:rPr>
            </w:pPr>
            <w:r>
              <w:rPr>
                <w:sz w:val="22"/>
                <w:szCs w:val="22"/>
                <w:lang w:val="en-US"/>
              </w:rPr>
              <w:t>95% CI</w:t>
            </w:r>
          </w:p>
        </w:tc>
        <w:tc>
          <w:tcPr>
            <w:tcW w:w="1956" w:type="dxa"/>
            <w:tcBorders>
              <w:top w:val="single" w:sz="4" w:space="0" w:color="auto"/>
              <w:bottom w:val="single" w:sz="4" w:space="0" w:color="auto"/>
            </w:tcBorders>
          </w:tcPr>
          <w:p>
            <w:pPr>
              <w:rPr>
                <w:sz w:val="22"/>
                <w:szCs w:val="22"/>
                <w:lang w:val="en-US"/>
              </w:rPr>
            </w:pPr>
            <w:r>
              <w:rPr>
                <w:sz w:val="22"/>
                <w:szCs w:val="22"/>
                <w:lang w:val="en-US"/>
              </w:rPr>
              <w:t>P-value</w:t>
            </w:r>
          </w:p>
        </w:tc>
      </w:tr>
      <w:tr>
        <w:tc>
          <w:tcPr>
            <w:tcW w:w="1955" w:type="dxa"/>
            <w:tcBorders>
              <w:top w:val="single" w:sz="4" w:space="0" w:color="auto"/>
            </w:tcBorders>
          </w:tcPr>
          <w:p>
            <w:pPr>
              <w:rPr>
                <w:sz w:val="22"/>
                <w:szCs w:val="22"/>
                <w:lang w:val="en-US"/>
              </w:rPr>
            </w:pPr>
            <w:r>
              <w:rPr>
                <w:sz w:val="22"/>
                <w:szCs w:val="22"/>
                <w:lang w:val="en-US"/>
              </w:rPr>
              <w:t>Reader</w:t>
            </w:r>
          </w:p>
        </w:tc>
        <w:tc>
          <w:tcPr>
            <w:tcW w:w="1955" w:type="dxa"/>
            <w:tcBorders>
              <w:top w:val="single" w:sz="4" w:space="0" w:color="auto"/>
            </w:tcBorders>
          </w:tcPr>
          <w:p>
            <w:pPr>
              <w:rPr>
                <w:sz w:val="22"/>
                <w:szCs w:val="22"/>
                <w:lang w:val="en-US"/>
              </w:rPr>
            </w:pPr>
            <w:r>
              <w:rPr>
                <w:sz w:val="22"/>
                <w:szCs w:val="22"/>
                <w:lang w:val="en-US"/>
              </w:rPr>
              <w:t>1 – reference</w:t>
            </w: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c>
          <w:tcPr>
            <w:tcW w:w="1956" w:type="dxa"/>
            <w:tcBorders>
              <w:top w:val="single" w:sz="4" w:space="0" w:color="auto"/>
            </w:tcBorders>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0.045</w:t>
            </w:r>
          </w:p>
        </w:tc>
        <w:tc>
          <w:tcPr>
            <w:tcW w:w="1956" w:type="dxa"/>
          </w:tcPr>
          <w:p>
            <w:pPr>
              <w:rPr>
                <w:sz w:val="22"/>
                <w:szCs w:val="22"/>
                <w:lang w:val="en-US"/>
              </w:rPr>
            </w:pPr>
            <w:r>
              <w:rPr>
                <w:sz w:val="22"/>
                <w:szCs w:val="22"/>
                <w:lang w:val="en-US"/>
              </w:rPr>
              <w:t>-0.015</w:t>
            </w:r>
            <w:r>
              <w:rPr>
                <w:sz w:val="22"/>
                <w:szCs w:val="22"/>
                <w:lang w:val="en-US"/>
              </w:rPr>
              <w:t>;</w:t>
            </w:r>
            <w:r>
              <w:rPr>
                <w:sz w:val="22"/>
                <w:szCs w:val="22"/>
                <w:lang w:val="en-US"/>
              </w:rPr>
              <w:t>0.104</w:t>
            </w:r>
          </w:p>
        </w:tc>
        <w:tc>
          <w:tcPr>
            <w:tcW w:w="1956" w:type="dxa"/>
          </w:tcPr>
          <w:p>
            <w:pPr>
              <w:rPr>
                <w:sz w:val="22"/>
                <w:szCs w:val="22"/>
                <w:lang w:val="en-US"/>
              </w:rPr>
            </w:pPr>
            <w:r>
              <w:rPr>
                <w:sz w:val="22"/>
                <w:szCs w:val="22"/>
                <w:lang w:val="en-US"/>
              </w:rPr>
              <w:t>0.14</w:t>
            </w:r>
          </w:p>
        </w:tc>
      </w:tr>
      <w:tr>
        <w:tc>
          <w:tcPr>
            <w:tcW w:w="1955" w:type="dxa"/>
          </w:tcPr>
          <w:p>
            <w:pPr>
              <w:rPr>
                <w:sz w:val="22"/>
                <w:szCs w:val="22"/>
                <w:lang w:val="en-US"/>
              </w:rPr>
            </w:pPr>
            <w:r>
              <w:rPr>
                <w:sz w:val="22"/>
                <w:szCs w:val="22"/>
                <w:lang w:val="en-US"/>
              </w:rPr>
              <w:t>Measurement</w:t>
            </w:r>
          </w:p>
        </w:tc>
        <w:tc>
          <w:tcPr>
            <w:tcW w:w="1955" w:type="dxa"/>
          </w:tcPr>
          <w:p>
            <w:pPr>
              <w:rPr>
                <w:sz w:val="22"/>
                <w:szCs w:val="22"/>
                <w:lang w:val="en-US"/>
              </w:rPr>
            </w:pPr>
            <w:r>
              <w:rPr>
                <w:sz w:val="22"/>
                <w:szCs w:val="22"/>
                <w:lang w:val="en-US"/>
              </w:rPr>
              <w:t>1 – reference</w:t>
            </w:r>
          </w:p>
        </w:tc>
        <w:tc>
          <w:tcPr>
            <w:tcW w:w="1956" w:type="dxa"/>
          </w:tcPr>
          <w:p>
            <w:pPr>
              <w:rPr>
                <w:sz w:val="22"/>
                <w:szCs w:val="22"/>
                <w:lang w:val="en-US"/>
              </w:rPr>
            </w:pPr>
          </w:p>
        </w:tc>
        <w:tc>
          <w:tcPr>
            <w:tcW w:w="1956" w:type="dxa"/>
          </w:tcPr>
          <w:p>
            <w:pPr>
              <w:rPr>
                <w:sz w:val="22"/>
                <w:szCs w:val="22"/>
                <w:lang w:val="en-US"/>
              </w:rPr>
            </w:pPr>
          </w:p>
        </w:tc>
        <w:tc>
          <w:tcPr>
            <w:tcW w:w="1956" w:type="dxa"/>
          </w:tcPr>
          <w:p>
            <w:pPr>
              <w:rPr>
                <w:sz w:val="22"/>
                <w:szCs w:val="22"/>
                <w:lang w:val="en-US"/>
              </w:rPr>
            </w:pPr>
          </w:p>
        </w:tc>
      </w:tr>
      <w:tr>
        <w:tc>
          <w:tcPr>
            <w:tcW w:w="1955" w:type="dxa"/>
          </w:tcPr>
          <w:p>
            <w:pPr>
              <w:rPr>
                <w:sz w:val="22"/>
                <w:szCs w:val="22"/>
                <w:lang w:val="en-US"/>
              </w:rPr>
            </w:pPr>
          </w:p>
        </w:tc>
        <w:tc>
          <w:tcPr>
            <w:tcW w:w="1955" w:type="dxa"/>
          </w:tcPr>
          <w:p>
            <w:pPr>
              <w:rPr>
                <w:sz w:val="22"/>
                <w:szCs w:val="22"/>
                <w:lang w:val="en-US"/>
              </w:rPr>
            </w:pPr>
            <w:r>
              <w:rPr>
                <w:sz w:val="22"/>
                <w:szCs w:val="22"/>
                <w:lang w:val="en-US"/>
              </w:rPr>
              <w:t>2</w:t>
            </w:r>
          </w:p>
        </w:tc>
        <w:tc>
          <w:tcPr>
            <w:tcW w:w="1956" w:type="dxa"/>
          </w:tcPr>
          <w:p>
            <w:pPr>
              <w:rPr>
                <w:sz w:val="22"/>
                <w:szCs w:val="22"/>
                <w:lang w:val="en-US"/>
              </w:rPr>
            </w:pPr>
            <w:r>
              <w:rPr>
                <w:sz w:val="22"/>
                <w:szCs w:val="22"/>
                <w:lang w:val="en-US"/>
              </w:rPr>
              <w:t>-0.018</w:t>
            </w:r>
          </w:p>
        </w:tc>
        <w:tc>
          <w:tcPr>
            <w:tcW w:w="1956" w:type="dxa"/>
          </w:tcPr>
          <w:p>
            <w:pPr>
              <w:rPr>
                <w:sz w:val="22"/>
                <w:szCs w:val="22"/>
                <w:lang w:val="en-US"/>
              </w:rPr>
            </w:pPr>
            <w:r>
              <w:rPr>
                <w:sz w:val="22"/>
                <w:szCs w:val="22"/>
                <w:lang w:val="en-US"/>
              </w:rPr>
              <w:t>-0.055</w:t>
            </w:r>
            <w:r>
              <w:rPr>
                <w:sz w:val="22"/>
                <w:szCs w:val="22"/>
                <w:lang w:val="en-US"/>
              </w:rPr>
              <w:t>;</w:t>
            </w:r>
            <w:r>
              <w:rPr>
                <w:sz w:val="22"/>
                <w:szCs w:val="22"/>
                <w:lang w:val="en-US"/>
              </w:rPr>
              <w:t>0.020</w:t>
            </w:r>
          </w:p>
        </w:tc>
        <w:tc>
          <w:tcPr>
            <w:tcW w:w="1956" w:type="dxa"/>
          </w:tcPr>
          <w:p>
            <w:pPr>
              <w:rPr>
                <w:sz w:val="22"/>
                <w:szCs w:val="22"/>
                <w:lang w:val="en-US"/>
              </w:rPr>
            </w:pPr>
            <w:r>
              <w:rPr>
                <w:sz w:val="22"/>
                <w:szCs w:val="22"/>
                <w:lang w:val="en-US"/>
              </w:rPr>
              <w:t>0.36</w:t>
            </w:r>
          </w:p>
        </w:tc>
      </w:tr>
      <w:tr>
        <w:tc>
          <w:tcPr>
            <w:tcW w:w="1955" w:type="dxa"/>
          </w:tcPr>
          <w:p>
            <w:pPr>
              <w:rPr>
                <w:sz w:val="22"/>
                <w:szCs w:val="22"/>
                <w:lang w:val="en-US"/>
              </w:rPr>
            </w:pPr>
            <w:r>
              <w:rPr>
                <w:sz w:val="22"/>
                <w:szCs w:val="22"/>
                <w:lang w:val="en-US"/>
              </w:rPr>
              <w:t>Constant</w:t>
            </w:r>
          </w:p>
        </w:tc>
        <w:tc>
          <w:tcPr>
            <w:tcW w:w="1955" w:type="dxa"/>
          </w:tcPr>
          <w:p>
            <w:pPr>
              <w:rPr>
                <w:sz w:val="22"/>
                <w:szCs w:val="22"/>
                <w:lang w:val="en-US"/>
              </w:rPr>
            </w:pPr>
          </w:p>
        </w:tc>
        <w:tc>
          <w:tcPr>
            <w:tcW w:w="1956" w:type="dxa"/>
          </w:tcPr>
          <w:p>
            <w:pPr>
              <w:rPr>
                <w:sz w:val="22"/>
                <w:szCs w:val="22"/>
                <w:lang w:val="en-US"/>
              </w:rPr>
            </w:pPr>
            <w:r>
              <w:rPr>
                <w:sz w:val="22"/>
                <w:szCs w:val="22"/>
                <w:lang w:val="en-US"/>
              </w:rPr>
              <w:t>2.65</w:t>
            </w:r>
          </w:p>
        </w:tc>
        <w:tc>
          <w:tcPr>
            <w:tcW w:w="1956" w:type="dxa"/>
          </w:tcPr>
          <w:p>
            <w:pPr>
              <w:rPr>
                <w:sz w:val="22"/>
                <w:szCs w:val="22"/>
                <w:lang w:val="en-US"/>
              </w:rPr>
            </w:pPr>
            <w:r>
              <w:rPr>
                <w:sz w:val="22"/>
                <w:szCs w:val="22"/>
                <w:lang w:val="en-US"/>
              </w:rPr>
              <w:t>2.36</w:t>
            </w:r>
            <w:r>
              <w:rPr>
                <w:sz w:val="22"/>
                <w:szCs w:val="22"/>
                <w:lang w:val="en-US"/>
              </w:rPr>
              <w:t>;</w:t>
            </w:r>
            <w:r>
              <w:rPr>
                <w:sz w:val="22"/>
                <w:szCs w:val="22"/>
                <w:lang w:val="en-US"/>
              </w:rPr>
              <w:t>2.95</w:t>
            </w:r>
          </w:p>
        </w:tc>
        <w:tc>
          <w:tcPr>
            <w:tcW w:w="1956" w:type="dxa"/>
          </w:tcPr>
          <w:p>
            <w:pPr>
              <w:rPr>
                <w:sz w:val="22"/>
                <w:szCs w:val="22"/>
                <w:lang w:val="en-US"/>
              </w:rPr>
            </w:pPr>
            <w:r>
              <w:rPr>
                <w:sz w:val="22"/>
                <w:szCs w:val="22"/>
                <w:lang w:val="en-US"/>
              </w:rPr>
              <w:t>&lt;0.001</w:t>
            </w:r>
          </w:p>
        </w:tc>
      </w:tr>
      <w:tr>
        <w:tc>
          <w:tcPr>
            <w:tcW w:w="1955" w:type="dxa"/>
          </w:tcPr>
          <w:p>
            <w:pPr>
              <w:rPr>
                <w:sz w:val="22"/>
                <w:szCs w:val="22"/>
                <w:lang w:val="en-US"/>
              </w:rPr>
            </w:pPr>
            <w:r>
              <w:rPr>
                <w:sz w:val="22"/>
                <w:szCs w:val="22"/>
                <w:lang w:val="en-US"/>
              </w:rPr>
              <w:t>Patient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0.934</w:t>
            </w:r>
          </w:p>
        </w:tc>
        <w:tc>
          <w:tcPr>
            <w:tcW w:w="1956" w:type="dxa"/>
          </w:tcPr>
          <w:p>
            <w:pPr>
              <w:rPr>
                <w:sz w:val="22"/>
                <w:szCs w:val="22"/>
                <w:lang w:val="en-US"/>
              </w:rPr>
            </w:pPr>
            <w:r>
              <w:rPr>
                <w:sz w:val="22"/>
                <w:szCs w:val="22"/>
                <w:lang w:val="en-US"/>
              </w:rPr>
              <w:t>0.614</w:t>
            </w:r>
            <w:r>
              <w:rPr>
                <w:sz w:val="22"/>
                <w:szCs w:val="22"/>
                <w:lang w:val="en-US"/>
              </w:rPr>
              <w:t>;</w:t>
            </w:r>
            <w:r>
              <w:rPr>
                <w:sz w:val="22"/>
                <w:szCs w:val="22"/>
                <w:lang w:val="en-US"/>
              </w:rPr>
              <w:t>1.421</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Vascular territory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0.160</w:t>
            </w:r>
          </w:p>
        </w:tc>
        <w:tc>
          <w:tcPr>
            <w:tcW w:w="1956" w:type="dxa"/>
          </w:tcPr>
          <w:p>
            <w:pPr>
              <w:rPr>
                <w:sz w:val="22"/>
                <w:szCs w:val="22"/>
                <w:lang w:val="en-US"/>
              </w:rPr>
            </w:pPr>
            <w:r>
              <w:rPr>
                <w:sz w:val="22"/>
                <w:szCs w:val="22"/>
                <w:lang w:val="en-US"/>
              </w:rPr>
              <w:t>0.094</w:t>
            </w:r>
            <w:r>
              <w:rPr>
                <w:sz w:val="22"/>
                <w:szCs w:val="22"/>
                <w:lang w:val="en-US"/>
              </w:rPr>
              <w:t>;</w:t>
            </w:r>
            <w:r>
              <w:rPr>
                <w:sz w:val="22"/>
                <w:szCs w:val="22"/>
                <w:lang w:val="en-US"/>
              </w:rPr>
              <w:t>0.272</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Segment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0.247</w:t>
            </w:r>
          </w:p>
        </w:tc>
        <w:tc>
          <w:tcPr>
            <w:tcW w:w="1956" w:type="dxa"/>
          </w:tcPr>
          <w:p>
            <w:pPr>
              <w:rPr>
                <w:sz w:val="22"/>
                <w:szCs w:val="22"/>
                <w:lang w:val="en-US"/>
              </w:rPr>
            </w:pPr>
            <w:r>
              <w:rPr>
                <w:sz w:val="22"/>
                <w:szCs w:val="22"/>
                <w:lang w:val="en-US"/>
              </w:rPr>
              <w:t>0.176</w:t>
            </w:r>
            <w:r>
              <w:rPr>
                <w:sz w:val="22"/>
                <w:szCs w:val="22"/>
                <w:lang w:val="en-US"/>
              </w:rPr>
              <w:t>;</w:t>
            </w:r>
            <w:r>
              <w:rPr>
                <w:sz w:val="22"/>
                <w:szCs w:val="22"/>
                <w:lang w:val="en-US"/>
              </w:rPr>
              <w:t>0.347</w:t>
            </w:r>
          </w:p>
        </w:tc>
        <w:tc>
          <w:tcPr>
            <w:tcW w:w="1956" w:type="dxa"/>
          </w:tcPr>
          <w:p>
            <w:pPr>
              <w:rPr>
                <w:sz w:val="22"/>
                <w:szCs w:val="22"/>
                <w:lang w:val="en-US"/>
              </w:rPr>
            </w:pPr>
          </w:p>
        </w:tc>
      </w:tr>
      <w:tr>
        <w:tc>
          <w:tcPr>
            <w:tcW w:w="1955" w:type="dxa"/>
          </w:tcPr>
          <w:p>
            <w:pPr>
              <w:rPr>
                <w:sz w:val="22"/>
                <w:szCs w:val="22"/>
                <w:lang w:val="en-US"/>
              </w:rPr>
            </w:pPr>
            <w:r>
              <w:rPr>
                <w:sz w:val="22"/>
                <w:szCs w:val="22"/>
                <w:lang w:val="en-US"/>
              </w:rPr>
              <w:t>Residual variance</w:t>
            </w:r>
          </w:p>
        </w:tc>
        <w:tc>
          <w:tcPr>
            <w:tcW w:w="1955" w:type="dxa"/>
          </w:tcPr>
          <w:p>
            <w:pPr>
              <w:rPr>
                <w:sz w:val="22"/>
                <w:szCs w:val="22"/>
                <w:lang w:val="en-US"/>
              </w:rPr>
            </w:pPr>
          </w:p>
        </w:tc>
        <w:tc>
          <w:tcPr>
            <w:tcW w:w="1956" w:type="dxa"/>
          </w:tcPr>
          <w:p>
            <w:pPr>
              <w:rPr>
                <w:sz w:val="22"/>
                <w:szCs w:val="22"/>
                <w:lang w:val="en-US"/>
              </w:rPr>
            </w:pPr>
            <w:r>
              <w:rPr>
                <w:sz w:val="22"/>
                <w:szCs w:val="22"/>
                <w:lang w:val="en-US"/>
              </w:rPr>
              <w:t>0.088</w:t>
            </w:r>
          </w:p>
        </w:tc>
        <w:tc>
          <w:tcPr>
            <w:tcW w:w="1956" w:type="dxa"/>
          </w:tcPr>
          <w:p>
            <w:pPr>
              <w:rPr>
                <w:sz w:val="22"/>
                <w:szCs w:val="22"/>
                <w:lang w:val="en-US"/>
              </w:rPr>
            </w:pPr>
            <w:r>
              <w:rPr>
                <w:sz w:val="22"/>
                <w:szCs w:val="22"/>
                <w:lang w:val="en-US"/>
              </w:rPr>
              <w:t>0.063</w:t>
            </w:r>
            <w:r>
              <w:rPr>
                <w:sz w:val="22"/>
                <w:szCs w:val="22"/>
                <w:lang w:val="en-US"/>
              </w:rPr>
              <w:t>;</w:t>
            </w:r>
            <w:r>
              <w:rPr>
                <w:sz w:val="22"/>
                <w:szCs w:val="22"/>
                <w:lang w:val="en-US"/>
              </w:rPr>
              <w:t>0.122</w:t>
            </w:r>
          </w:p>
        </w:tc>
        <w:tc>
          <w:tcPr>
            <w:tcW w:w="1956" w:type="dxa"/>
          </w:tcPr>
          <w:p>
            <w:pPr>
              <w:rPr>
                <w:sz w:val="22"/>
                <w:szCs w:val="22"/>
                <w:lang w:val="en-US"/>
              </w:rPr>
            </w:pPr>
          </w:p>
        </w:tc>
      </w:tr>
    </w:tbl>
    <w:p>
      <w:proofErr w:type="gramStart"/>
      <w:r>
        <w:rPr>
          <w:rFonts w:eastAsiaTheme="minorHAnsi"/>
          <w:b/>
          <w:i/>
          <w:sz w:val="22"/>
          <w:szCs w:val="22"/>
          <w:lang w:val="en-US" w:eastAsia="en-US"/>
        </w:rPr>
        <w:t>Table S3</w:t>
      </w:r>
      <w:r>
        <w:rPr>
          <w:rFonts w:eastAsiaTheme="minorHAnsi"/>
          <w:i/>
          <w:sz w:val="22"/>
          <w:szCs w:val="22"/>
          <w:lang w:val="en-US" w:eastAsia="en-US"/>
        </w:rPr>
        <w:t xml:space="preserve"> Variance components analysis of segment-based myocardial flow reserve measurements.</w:t>
      </w:r>
      <w:proofErr w:type="gramEnd"/>
      <w:r>
        <w:rPr>
          <w:rFonts w:eastAsiaTheme="minorHAnsi"/>
          <w:i/>
          <w:sz w:val="22"/>
          <w:szCs w:val="22"/>
          <w:lang w:val="en-US" w:eastAsia="en-US"/>
        </w:rPr>
        <w:t xml:space="preserve"> </w:t>
      </w:r>
      <w:proofErr w:type="gramStart"/>
      <w:r>
        <w:rPr>
          <w:rFonts w:eastAsiaTheme="minorHAnsi"/>
          <w:i/>
          <w:sz w:val="22"/>
          <w:szCs w:val="22"/>
          <w:lang w:val="en-US" w:eastAsia="en-US"/>
        </w:rPr>
        <w:t>CI</w:t>
      </w:r>
      <w:bookmarkStart w:id="0" w:name="_GoBack"/>
      <w:r>
        <w:rPr>
          <w:rFonts w:eastAsiaTheme="minorHAnsi"/>
          <w:i/>
          <w:sz w:val="22"/>
          <w:szCs w:val="22"/>
          <w:lang w:val="en-US" w:eastAsia="en-US"/>
        </w:rPr>
        <w:t xml:space="preserve">, </w:t>
      </w:r>
      <w:bookmarkEnd w:id="0"/>
      <w:r>
        <w:rPr>
          <w:rFonts w:eastAsiaTheme="minorHAnsi"/>
          <w:i/>
          <w:sz w:val="22"/>
          <w:szCs w:val="22"/>
          <w:lang w:val="en-US" w:eastAsia="en-US"/>
        </w:rPr>
        <w:t>confidence interval.</w:t>
      </w:r>
      <w:proofErr w:type="gramEnd"/>
    </w:p>
    <w:sectPr>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3">
    <w:name w:val="Tabel - Gitter3"/>
    <w:basedOn w:val="Tabel-Normal"/>
    <w:next w:val="Tabel-Git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3">
    <w:name w:val="Tabel - Gitter3"/>
    <w:basedOn w:val="Tabel-Normal"/>
    <w:next w:val="Tabel-Git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Thomassen</dc:creator>
  <cp:lastModifiedBy>Anders Thomassen</cp:lastModifiedBy>
  <cp:revision>2</cp:revision>
  <dcterms:created xsi:type="dcterms:W3CDTF">2018-01-30T15:16:00Z</dcterms:created>
  <dcterms:modified xsi:type="dcterms:W3CDTF">2018-01-30T15:21:00Z</dcterms:modified>
</cp:coreProperties>
</file>