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4DC2" w14:textId="64E5823A" w:rsidR="00D61319" w:rsidRPr="002832DB" w:rsidRDefault="00974250">
      <w:pPr>
        <w:rPr>
          <w:b/>
          <w:bCs/>
        </w:rPr>
      </w:pPr>
      <w:r w:rsidRPr="002832DB">
        <w:rPr>
          <w:b/>
          <w:bCs/>
        </w:rPr>
        <w:t xml:space="preserve">Perspectives on the implications of carrying putative pathogenic variants in the medulloblastoma predisposition genes </w:t>
      </w:r>
      <w:r w:rsidRPr="00B1571D">
        <w:rPr>
          <w:b/>
          <w:bCs/>
          <w:i/>
          <w:iCs/>
        </w:rPr>
        <w:t xml:space="preserve">ELP1 </w:t>
      </w:r>
      <w:r w:rsidRPr="00B1571D">
        <w:rPr>
          <w:b/>
          <w:bCs/>
        </w:rPr>
        <w:t>and</w:t>
      </w:r>
      <w:r w:rsidRPr="00B1571D">
        <w:rPr>
          <w:b/>
          <w:bCs/>
          <w:i/>
          <w:iCs/>
        </w:rPr>
        <w:t xml:space="preserve"> GPR161</w:t>
      </w:r>
    </w:p>
    <w:p w14:paraId="53C1DDB6" w14:textId="1243B1CF" w:rsidR="00974250" w:rsidRDefault="00E12866">
      <w:r>
        <w:t xml:space="preserve">Miriam J </w:t>
      </w:r>
      <w:r w:rsidR="00A16190">
        <w:t>Smith</w:t>
      </w:r>
      <w:r w:rsidRPr="00D96EBC">
        <w:rPr>
          <w:vertAlign w:val="superscript"/>
        </w:rPr>
        <w:t>1,2</w:t>
      </w:r>
      <w:r w:rsidR="00A16190">
        <w:t xml:space="preserve">, </w:t>
      </w:r>
      <w:r>
        <w:t xml:space="preserve">Emma R </w:t>
      </w:r>
      <w:r w:rsidR="00B1571D">
        <w:t>Woodward</w:t>
      </w:r>
      <w:r w:rsidRPr="00D96EBC">
        <w:rPr>
          <w:vertAlign w:val="superscript"/>
        </w:rPr>
        <w:t>1,2</w:t>
      </w:r>
      <w:r w:rsidR="00B1571D">
        <w:t xml:space="preserve">, </w:t>
      </w:r>
      <w:r>
        <w:t xml:space="preserve">D Gareth </w:t>
      </w:r>
      <w:r w:rsidR="00A16190">
        <w:t>Evans</w:t>
      </w:r>
      <w:r w:rsidRPr="00D96EBC">
        <w:rPr>
          <w:vertAlign w:val="superscript"/>
        </w:rPr>
        <w:t>1,2</w:t>
      </w:r>
    </w:p>
    <w:p w14:paraId="4EADFFE7" w14:textId="77777777" w:rsidR="007B4830" w:rsidRDefault="007B4830">
      <w:r>
        <w:t xml:space="preserve">1. Division of </w:t>
      </w:r>
      <w:r w:rsidRPr="007B4830">
        <w:t>Evolution, Infection and Genomics, School of Biological Sciences, Faculty of Biology, Medicine and Health, University of Manchester</w:t>
      </w:r>
      <w:r>
        <w:t>, Manchester, UK</w:t>
      </w:r>
    </w:p>
    <w:p w14:paraId="0A7828B8" w14:textId="3330F94B" w:rsidR="00A16190" w:rsidRDefault="007B4830">
      <w:r>
        <w:t xml:space="preserve">2. </w:t>
      </w:r>
      <w:r w:rsidRPr="007B4830">
        <w:t xml:space="preserve">Manchester Centre for Genomic Medicine, </w:t>
      </w:r>
      <w:r w:rsidR="00AB3BFA">
        <w:t>St Mary’s Hospital,</w:t>
      </w:r>
      <w:r w:rsidR="00AB3BFA" w:rsidRPr="007B4830">
        <w:t xml:space="preserve"> </w:t>
      </w:r>
      <w:r w:rsidR="00AB3BFA" w:rsidRPr="00AB3BFA">
        <w:t xml:space="preserve">Manchester Academic Health Science Centre, </w:t>
      </w:r>
      <w:r w:rsidRPr="007B4830">
        <w:t>Manchester University</w:t>
      </w:r>
      <w:r w:rsidR="00AB3BFA">
        <w:t xml:space="preserve"> NHS Foundation Trust</w:t>
      </w:r>
      <w:r w:rsidRPr="007B4830">
        <w:t xml:space="preserve">, </w:t>
      </w:r>
      <w:r>
        <w:t xml:space="preserve">Manchester, </w:t>
      </w:r>
      <w:r w:rsidRPr="007B4830">
        <w:t>UK</w:t>
      </w:r>
    </w:p>
    <w:p w14:paraId="2B6DD0DD" w14:textId="0588EB24" w:rsidR="00AB3BFA" w:rsidRPr="00562913" w:rsidRDefault="00562913" w:rsidP="00AB3BFA">
      <w:pPr>
        <w:rPr>
          <w:b/>
          <w:bCs/>
          <w:lang w:val="en-US"/>
        </w:rPr>
      </w:pPr>
      <w:r w:rsidRPr="00562913">
        <w:rPr>
          <w:b/>
          <w:bCs/>
          <w:lang w:val="en-US"/>
        </w:rPr>
        <w:t>Short title</w:t>
      </w:r>
      <w:r>
        <w:rPr>
          <w:b/>
          <w:bCs/>
          <w:lang w:val="en-US"/>
        </w:rPr>
        <w:t xml:space="preserve">: </w:t>
      </w:r>
      <w:r w:rsidRPr="00B1571D">
        <w:rPr>
          <w:b/>
          <w:bCs/>
          <w:i/>
          <w:iCs/>
        </w:rPr>
        <w:t xml:space="preserve">ELP1 </w:t>
      </w:r>
      <w:r w:rsidRPr="00B1571D">
        <w:rPr>
          <w:b/>
          <w:bCs/>
        </w:rPr>
        <w:t>and</w:t>
      </w:r>
      <w:r w:rsidRPr="00B1571D">
        <w:rPr>
          <w:b/>
          <w:bCs/>
          <w:i/>
          <w:iCs/>
        </w:rPr>
        <w:t xml:space="preserve"> GPR161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cause low lifetime risks of medulloblastoma</w:t>
      </w:r>
    </w:p>
    <w:p w14:paraId="046F4F11" w14:textId="77777777" w:rsidR="00AB3BFA" w:rsidRDefault="00AB3BFA" w:rsidP="00AB3BFA">
      <w:pPr>
        <w:rPr>
          <w:lang w:val="en-US"/>
        </w:rPr>
      </w:pPr>
      <w:r>
        <w:rPr>
          <w:lang w:val="en-US"/>
        </w:rPr>
        <w:t>Correspondence:</w:t>
      </w:r>
    </w:p>
    <w:p w14:paraId="351D547B" w14:textId="66849D78" w:rsidR="00AB3BFA" w:rsidRPr="00AB3BFA" w:rsidRDefault="00AB3BFA" w:rsidP="00AB3BFA">
      <w:pPr>
        <w:rPr>
          <w:lang w:val="en-US"/>
        </w:rPr>
      </w:pPr>
      <w:r w:rsidRPr="00AB3BFA">
        <w:rPr>
          <w:lang w:val="en-US"/>
        </w:rPr>
        <w:t xml:space="preserve">Prof DG Evans, Manchester Centre for Genomic Medicine, St Mary’s Hospital, University of Manchester, Manchester M13 9WL Email: </w:t>
      </w:r>
      <w:hyperlink r:id="rId6" w:history="1">
        <w:r w:rsidRPr="00AB3BFA">
          <w:rPr>
            <w:rStyle w:val="Hyperlink"/>
            <w:lang w:val="en-US"/>
          </w:rPr>
          <w:t>gareth.evans@mft.nhs.uk</w:t>
        </w:r>
      </w:hyperlink>
      <w:r w:rsidR="00EC4B20">
        <w:rPr>
          <w:rStyle w:val="Hyperlink"/>
          <w:lang w:val="en-US"/>
        </w:rPr>
        <w:t xml:space="preserve">   ORCID: </w:t>
      </w:r>
      <w:r w:rsidR="00EC4B20" w:rsidRPr="00EC4B20">
        <w:rPr>
          <w:rStyle w:val="Hyperlink"/>
          <w:lang w:val="en-US"/>
        </w:rPr>
        <w:t>0000-0002-8482-5784</w:t>
      </w:r>
    </w:p>
    <w:p w14:paraId="413ECE05" w14:textId="3D38F9D8" w:rsidR="00AB3BFA" w:rsidRDefault="00AB3BFA" w:rsidP="00AB3BFA">
      <w:pPr>
        <w:rPr>
          <w:lang w:val="en-US"/>
        </w:rPr>
      </w:pPr>
      <w:r w:rsidRPr="00AB3BFA">
        <w:rPr>
          <w:lang w:val="en-US"/>
        </w:rPr>
        <w:t>Tel: +44 (0)161 276 6506; Fax: +44 (0)161 276 6145</w:t>
      </w:r>
    </w:p>
    <w:p w14:paraId="26E762CE" w14:textId="0F407A35" w:rsidR="006B6391" w:rsidRPr="008617ED" w:rsidRDefault="006B6391" w:rsidP="006B6391">
      <w:pPr>
        <w:spacing w:line="480" w:lineRule="auto"/>
        <w:rPr>
          <w:rFonts w:cstheme="minorHAnsi"/>
          <w:sz w:val="24"/>
          <w:szCs w:val="24"/>
        </w:rPr>
      </w:pPr>
      <w:r w:rsidRPr="008617ED">
        <w:rPr>
          <w:rFonts w:cstheme="minorHAnsi"/>
          <w:b/>
          <w:sz w:val="24"/>
          <w:szCs w:val="24"/>
        </w:rPr>
        <w:t>Conflict of Interest Notification Page</w:t>
      </w:r>
      <w:r w:rsidRPr="008617ED">
        <w:rPr>
          <w:rFonts w:cstheme="minorHAnsi"/>
          <w:b/>
          <w:sz w:val="24"/>
          <w:szCs w:val="24"/>
        </w:rPr>
        <w:br/>
      </w:r>
      <w:r w:rsidRPr="008617ED">
        <w:rPr>
          <w:rFonts w:cstheme="minorHAnsi"/>
          <w:sz w:val="24"/>
          <w:szCs w:val="24"/>
        </w:rPr>
        <w:t>Disclosure: The authors declare no conflict of interest.</w:t>
      </w:r>
    </w:p>
    <w:p w14:paraId="15C64B7C" w14:textId="77777777" w:rsidR="006B6391" w:rsidRPr="008617ED" w:rsidRDefault="006B6391" w:rsidP="006B6391">
      <w:pPr>
        <w:spacing w:line="480" w:lineRule="auto"/>
        <w:rPr>
          <w:b/>
          <w:sz w:val="24"/>
          <w:szCs w:val="24"/>
        </w:rPr>
      </w:pPr>
      <w:r w:rsidRPr="008617ED">
        <w:rPr>
          <w:b/>
          <w:sz w:val="24"/>
          <w:szCs w:val="24"/>
        </w:rPr>
        <w:t>Funding</w:t>
      </w:r>
    </w:p>
    <w:p w14:paraId="734A94EF" w14:textId="77777777" w:rsidR="006B6391" w:rsidRPr="008617ED" w:rsidRDefault="006B6391" w:rsidP="006B6391">
      <w:pPr>
        <w:spacing w:line="480" w:lineRule="auto"/>
        <w:rPr>
          <w:sz w:val="24"/>
          <w:szCs w:val="24"/>
        </w:rPr>
      </w:pPr>
      <w:r w:rsidRPr="008617ED">
        <w:rPr>
          <w:sz w:val="24"/>
          <w:szCs w:val="24"/>
        </w:rPr>
        <w:t>The authors have not declared a specific grant for this research from any funding agency in the public, commercial or not-for-profit sectors.</w:t>
      </w:r>
    </w:p>
    <w:p w14:paraId="24B0BBD7" w14:textId="77777777" w:rsidR="006B6391" w:rsidRDefault="006B6391">
      <w:pPr>
        <w:rPr>
          <w:b/>
          <w:bCs/>
        </w:rPr>
      </w:pPr>
    </w:p>
    <w:p w14:paraId="1130DE0A" w14:textId="77777777" w:rsidR="006B6391" w:rsidRDefault="006B6391">
      <w:pPr>
        <w:rPr>
          <w:b/>
          <w:bCs/>
        </w:rPr>
      </w:pPr>
      <w:r>
        <w:rPr>
          <w:b/>
          <w:bCs/>
        </w:rPr>
        <w:br w:type="page"/>
      </w:r>
    </w:p>
    <w:p w14:paraId="2AAFB74F" w14:textId="77777777" w:rsidR="00D25F0B" w:rsidRDefault="00D25F0B">
      <w:pPr>
        <w:rPr>
          <w:b/>
          <w:bCs/>
        </w:rPr>
      </w:pPr>
      <w:r>
        <w:rPr>
          <w:b/>
          <w:bCs/>
        </w:rPr>
        <w:lastRenderedPageBreak/>
        <w:t>Abstract</w:t>
      </w:r>
    </w:p>
    <w:p w14:paraId="2096666D" w14:textId="195B0D2D" w:rsidR="00DF79BC" w:rsidRDefault="00DF79BC" w:rsidP="00562913">
      <w:pPr>
        <w:spacing w:line="360" w:lineRule="auto"/>
      </w:pPr>
      <w:r w:rsidRPr="00A16190">
        <w:t>Recent genetic sequencing studies in large series</w:t>
      </w:r>
      <w:r w:rsidR="00B01759">
        <w:t>’</w:t>
      </w:r>
      <w:r w:rsidRPr="00A16190">
        <w:t xml:space="preserve"> of predominantly childhood medulloblastoma have implicated</w:t>
      </w:r>
      <w:r>
        <w:t xml:space="preserve"> loss-of-function, predominantly truncating, variants in</w:t>
      </w:r>
      <w:r w:rsidRPr="00A16190">
        <w:t xml:space="preserve"> the </w:t>
      </w:r>
      <w:bookmarkStart w:id="0" w:name="_Hlk119431787"/>
      <w:r w:rsidRPr="00240B1B">
        <w:rPr>
          <w:i/>
          <w:iCs/>
        </w:rPr>
        <w:t xml:space="preserve">ELP1 </w:t>
      </w:r>
      <w:r w:rsidRPr="00240B1B">
        <w:t>and</w:t>
      </w:r>
      <w:r w:rsidRPr="00240B1B">
        <w:rPr>
          <w:i/>
          <w:iCs/>
        </w:rPr>
        <w:t xml:space="preserve"> GPR161</w:t>
      </w:r>
      <w:r>
        <w:t xml:space="preserve"> genes </w:t>
      </w:r>
      <w:bookmarkEnd w:id="0"/>
      <w:r>
        <w:t>in causation of the MB</w:t>
      </w:r>
      <w:r>
        <w:rPr>
          <w:vertAlign w:val="subscript"/>
        </w:rPr>
        <w:t xml:space="preserve">SHH </w:t>
      </w:r>
      <w:r>
        <w:t xml:space="preserve">subtype specifically. The latter association, along with a report of an index case with some features of </w:t>
      </w:r>
      <w:proofErr w:type="spellStart"/>
      <w:r>
        <w:t>Gorlin</w:t>
      </w:r>
      <w:proofErr w:type="spellEnd"/>
      <w:r>
        <w:t xml:space="preserve"> syndrome has led to speculation that</w:t>
      </w:r>
      <w:r w:rsidRPr="00240B1B">
        <w:rPr>
          <w:i/>
          <w:iCs/>
        </w:rPr>
        <w:t xml:space="preserve"> GPR161</w:t>
      </w:r>
      <w:r>
        <w:t xml:space="preserve"> may also cause </w:t>
      </w:r>
      <w:proofErr w:type="spellStart"/>
      <w:r w:rsidR="00E07598" w:rsidRPr="00E07598">
        <w:t>Gorlin</w:t>
      </w:r>
      <w:proofErr w:type="spellEnd"/>
      <w:r w:rsidR="00E07598" w:rsidRPr="00E07598">
        <w:t xml:space="preserve"> syndrome</w:t>
      </w:r>
      <w:r>
        <w:t xml:space="preserve">.  We show that these genes are associated with relatively low absolute risks of medulloblastoma from extrapolating lifetime risks in the general population and odds ratios from the population database </w:t>
      </w:r>
      <w:proofErr w:type="spellStart"/>
      <w:r w:rsidR="00B01759">
        <w:t>gnomAD</w:t>
      </w:r>
      <w:proofErr w:type="spellEnd"/>
      <w:r>
        <w:t xml:space="preserve">. The projected risks </w:t>
      </w:r>
      <w:r w:rsidR="00B01759">
        <w:t xml:space="preserve">are </w:t>
      </w:r>
      <w:r>
        <w:t xml:space="preserve">around 1 in 270-430 for </w:t>
      </w:r>
      <w:r w:rsidRPr="00DF79BC">
        <w:rPr>
          <w:i/>
          <w:iCs/>
        </w:rPr>
        <w:t>ELP1</w:t>
      </w:r>
      <w:r>
        <w:t xml:space="preserve"> and </w:t>
      </w:r>
      <w:r w:rsidRPr="00DF79BC">
        <w:t xml:space="preserve">1 in 1600-2500 </w:t>
      </w:r>
      <w:r>
        <w:t xml:space="preserve">for </w:t>
      </w:r>
      <w:r w:rsidRPr="00DF79BC">
        <w:rPr>
          <w:i/>
          <w:iCs/>
        </w:rPr>
        <w:t>GPR161.</w:t>
      </w:r>
      <w:r>
        <w:t xml:space="preserve">  </w:t>
      </w:r>
      <w:r w:rsidR="009E4EFF">
        <w:t xml:space="preserve">These risks do not suggest the need for MRI screening in infants with </w:t>
      </w:r>
      <w:r w:rsidR="009E4EFF" w:rsidRPr="00240B1B">
        <w:rPr>
          <w:i/>
          <w:iCs/>
        </w:rPr>
        <w:t xml:space="preserve">ELP1 </w:t>
      </w:r>
      <w:r w:rsidR="009E4EFF">
        <w:t xml:space="preserve">or </w:t>
      </w:r>
      <w:r w:rsidR="009E4EFF" w:rsidRPr="00240B1B">
        <w:rPr>
          <w:i/>
          <w:iCs/>
        </w:rPr>
        <w:t>GPR161</w:t>
      </w:r>
      <w:r w:rsidR="009E4EFF">
        <w:t xml:space="preserve"> variants as this is not currently recommended for </w:t>
      </w:r>
      <w:r w:rsidR="009E4EFF" w:rsidRPr="009E4EFF">
        <w:rPr>
          <w:i/>
          <w:iCs/>
        </w:rPr>
        <w:t xml:space="preserve">PTCH1 </w:t>
      </w:r>
      <w:r w:rsidR="009E4EFF">
        <w:t xml:space="preserve">where the risks are equivalent or higher. </w:t>
      </w:r>
      <w:r>
        <w:t xml:space="preserve">We also screened </w:t>
      </w:r>
      <w:r w:rsidRPr="00DF79BC">
        <w:t xml:space="preserve">27 </w:t>
      </w:r>
      <w:r w:rsidRPr="00DF79BC">
        <w:rPr>
          <w:i/>
          <w:iCs/>
        </w:rPr>
        <w:t>PTCH1/SUFU</w:t>
      </w:r>
      <w:r w:rsidRPr="00DF79BC">
        <w:t xml:space="preserve"> </w:t>
      </w:r>
      <w:r w:rsidR="00B01759">
        <w:t>p</w:t>
      </w:r>
      <w:r>
        <w:t xml:space="preserve">athogenic </w:t>
      </w:r>
      <w:r w:rsidR="00B01759">
        <w:t>v</w:t>
      </w:r>
      <w:r>
        <w:t>ariant</w:t>
      </w:r>
      <w:r w:rsidRPr="00DF79BC">
        <w:t>-negative patients</w:t>
      </w:r>
      <w:r>
        <w:t xml:space="preserve"> with </w:t>
      </w:r>
      <w:proofErr w:type="spellStart"/>
      <w:r w:rsidR="00E07598" w:rsidRPr="00E07598">
        <w:t>Gorlin</w:t>
      </w:r>
      <w:proofErr w:type="spellEnd"/>
      <w:r w:rsidR="00E07598" w:rsidRPr="00E07598">
        <w:t xml:space="preserve"> syndrome</w:t>
      </w:r>
      <w:r>
        <w:t xml:space="preserve"> for </w:t>
      </w:r>
      <w:r w:rsidRPr="00DF79BC">
        <w:rPr>
          <w:i/>
          <w:iCs/>
        </w:rPr>
        <w:t>GPR161</w:t>
      </w:r>
      <w:r w:rsidRPr="00DF79BC">
        <w:t xml:space="preserve"> </w:t>
      </w:r>
      <w:r>
        <w:t>and found no suspicious variants. Given the</w:t>
      </w:r>
      <w:r w:rsidR="00296035">
        <w:t xml:space="preserve"> population</w:t>
      </w:r>
      <w:r>
        <w:t xml:space="preserve"> frequencies of</w:t>
      </w:r>
      <w:r w:rsidR="00562913">
        <w:t xml:space="preserve"> 0.0962% for </w:t>
      </w:r>
      <w:r w:rsidR="00562913" w:rsidRPr="00562913">
        <w:rPr>
          <w:i/>
          <w:iCs/>
        </w:rPr>
        <w:t>GPR161</w:t>
      </w:r>
      <w:r w:rsidR="00562913">
        <w:t xml:space="preserve"> and </w:t>
      </w:r>
      <w:r w:rsidR="00562913" w:rsidRPr="00317AE5">
        <w:rPr>
          <w:iCs/>
        </w:rPr>
        <w:t>0.0687%</w:t>
      </w:r>
      <w:r w:rsidR="00562913">
        <w:t xml:space="preserve"> for </w:t>
      </w:r>
      <w:r w:rsidR="00562913" w:rsidRPr="00562913">
        <w:rPr>
          <w:i/>
          <w:iCs/>
        </w:rPr>
        <w:t>ELP1</w:t>
      </w:r>
      <w:r w:rsidR="00B01759">
        <w:t>,</w:t>
      </w:r>
      <w:r>
        <w:t xml:space="preserve"> </w:t>
      </w:r>
      <w:r w:rsidR="00562913">
        <w:t xml:space="preserve">neither of these genes can be a cause </w:t>
      </w:r>
      <w:r>
        <w:t xml:space="preserve">of </w:t>
      </w:r>
      <w:proofErr w:type="spellStart"/>
      <w:r w:rsidR="00BC766C" w:rsidRPr="00BC766C">
        <w:t>Gorlin</w:t>
      </w:r>
      <w:proofErr w:type="spellEnd"/>
      <w:r w:rsidR="00BC766C" w:rsidRPr="00BC766C">
        <w:t xml:space="preserve"> </w:t>
      </w:r>
      <w:r w:rsidR="00E07598">
        <w:t>s</w:t>
      </w:r>
      <w:r w:rsidR="00BC766C" w:rsidRPr="00BC766C">
        <w:t>yndrome</w:t>
      </w:r>
      <w:r w:rsidR="00F96172">
        <w:t xml:space="preserve"> </w:t>
      </w:r>
      <w:r w:rsidR="00094AA1">
        <w:t xml:space="preserve">with </w:t>
      </w:r>
      <w:bookmarkStart w:id="1" w:name="_Hlk128272326"/>
      <w:r w:rsidR="00094AA1">
        <w:t>an unexplained</w:t>
      </w:r>
      <w:r w:rsidR="00855214">
        <w:t xml:space="preserve"> </w:t>
      </w:r>
      <w:r w:rsidR="00094AA1">
        <w:t>population frequency far lower at</w:t>
      </w:r>
      <w:r w:rsidR="00F96172">
        <w:t xml:space="preserve"> </w:t>
      </w:r>
      <w:r w:rsidR="005B0C15">
        <w:t>0.0021%</w:t>
      </w:r>
      <w:r>
        <w:t>.</w:t>
      </w:r>
      <w:bookmarkEnd w:id="1"/>
    </w:p>
    <w:p w14:paraId="09E4F07C" w14:textId="6BA9A2D4" w:rsidR="00D25F0B" w:rsidRDefault="00D25F0B">
      <w:pPr>
        <w:rPr>
          <w:b/>
          <w:bCs/>
        </w:rPr>
      </w:pPr>
    </w:p>
    <w:p w14:paraId="65D89C12" w14:textId="5A65554B" w:rsidR="00562913" w:rsidRDefault="00562913">
      <w:r>
        <w:rPr>
          <w:b/>
          <w:bCs/>
        </w:rPr>
        <w:t xml:space="preserve">Key words </w:t>
      </w:r>
      <w:r w:rsidRPr="00240B1B">
        <w:rPr>
          <w:i/>
          <w:iCs/>
        </w:rPr>
        <w:t>ELP</w:t>
      </w:r>
      <w:r>
        <w:rPr>
          <w:i/>
          <w:iCs/>
        </w:rPr>
        <w:t>1,</w:t>
      </w:r>
      <w:r w:rsidRPr="00240B1B">
        <w:rPr>
          <w:i/>
          <w:iCs/>
        </w:rPr>
        <w:t xml:space="preserve"> GPR161</w:t>
      </w:r>
      <w:r>
        <w:rPr>
          <w:i/>
          <w:iCs/>
        </w:rPr>
        <w:t>,</w:t>
      </w:r>
      <w:r>
        <w:t xml:space="preserve"> medulloblastoma, </w:t>
      </w:r>
      <w:proofErr w:type="spellStart"/>
      <w:r>
        <w:t>Gorlin</w:t>
      </w:r>
      <w:proofErr w:type="spellEnd"/>
      <w:r>
        <w:t xml:space="preserve"> Syndrome, </w:t>
      </w:r>
    </w:p>
    <w:p w14:paraId="5FC90AEE" w14:textId="77777777" w:rsidR="00562913" w:rsidRDefault="00562913">
      <w:pPr>
        <w:rPr>
          <w:b/>
          <w:bCs/>
        </w:rPr>
      </w:pPr>
    </w:p>
    <w:p w14:paraId="161F8455" w14:textId="21B58B2E" w:rsidR="00AB3BFA" w:rsidRDefault="00D25F0B">
      <w:pPr>
        <w:rPr>
          <w:b/>
          <w:bCs/>
        </w:rPr>
      </w:pPr>
      <w:r>
        <w:rPr>
          <w:b/>
          <w:bCs/>
        </w:rPr>
        <w:t>Short Report</w:t>
      </w:r>
      <w:r w:rsidR="006A58E7">
        <w:rPr>
          <w:b/>
          <w:bCs/>
        </w:rPr>
        <w:t xml:space="preserve"> (</w:t>
      </w:r>
      <w:r w:rsidR="00B26FEB">
        <w:rPr>
          <w:b/>
          <w:bCs/>
        </w:rPr>
        <w:t>words</w:t>
      </w:r>
      <w:r w:rsidR="006A58E7">
        <w:rPr>
          <w:b/>
          <w:bCs/>
        </w:rPr>
        <w:t>-</w:t>
      </w:r>
      <w:r w:rsidR="003A031D">
        <w:rPr>
          <w:b/>
          <w:bCs/>
        </w:rPr>
        <w:t xml:space="preserve">1851 </w:t>
      </w:r>
      <w:r w:rsidR="00562913">
        <w:rPr>
          <w:b/>
          <w:bCs/>
        </w:rPr>
        <w:t>including all aspects</w:t>
      </w:r>
      <w:r w:rsidR="006A58E7">
        <w:rPr>
          <w:b/>
          <w:bCs/>
        </w:rPr>
        <w:t>)</w:t>
      </w:r>
    </w:p>
    <w:p w14:paraId="2C4F1035" w14:textId="52E834E6" w:rsidR="006A58E7" w:rsidRDefault="00296035" w:rsidP="006B6391">
      <w:pPr>
        <w:spacing w:line="360" w:lineRule="auto"/>
      </w:pPr>
      <w:r>
        <w:t>Medulloblastoma is a relatively rare malignant  brain tumour that has a</w:t>
      </w:r>
      <w:r w:rsidR="00094AA1">
        <w:t xml:space="preserve"> main peak of incidence in early childhood and infancy [1,2]. The main syndromic predisposition to medulloblastoma is </w:t>
      </w:r>
      <w:proofErr w:type="spellStart"/>
      <w:r w:rsidR="00094AA1">
        <w:t>Gorlin</w:t>
      </w:r>
      <w:proofErr w:type="spellEnd"/>
      <w:r w:rsidR="00094AA1">
        <w:t xml:space="preserve"> syndrome which is characterised by multiple skin basal cell carcinoma, macrocephaly and jaw cysts</w:t>
      </w:r>
      <w:r>
        <w:t xml:space="preserve"> </w:t>
      </w:r>
      <w:r w:rsidR="00094AA1">
        <w:t>with two proven gene associations (</w:t>
      </w:r>
      <w:r w:rsidR="00094AA1" w:rsidRPr="00D0183B">
        <w:rPr>
          <w:i/>
          <w:iCs/>
        </w:rPr>
        <w:t xml:space="preserve">PTCH1 </w:t>
      </w:r>
      <w:r w:rsidR="00094AA1">
        <w:t>and</w:t>
      </w:r>
      <w:r w:rsidR="00094AA1" w:rsidRPr="00D0183B">
        <w:rPr>
          <w:i/>
          <w:iCs/>
        </w:rPr>
        <w:t xml:space="preserve"> SUFU</w:t>
      </w:r>
      <w:r w:rsidR="00094AA1">
        <w:t xml:space="preserve">)  accounting for ~70% of cases[3]. </w:t>
      </w:r>
      <w:r w:rsidR="00A16190" w:rsidRPr="00A16190">
        <w:t>Recent genetic sequencing studies in large series of predominantly childhood medulloblastoma have implicated</w:t>
      </w:r>
      <w:r w:rsidR="00A16190">
        <w:t xml:space="preserve"> loss</w:t>
      </w:r>
      <w:r w:rsidR="00B827DD">
        <w:t>-</w:t>
      </w:r>
      <w:r w:rsidR="00A16190">
        <w:t>of</w:t>
      </w:r>
      <w:r w:rsidR="00B827DD">
        <w:t>-</w:t>
      </w:r>
      <w:r w:rsidR="00A16190">
        <w:t>function</w:t>
      </w:r>
      <w:r w:rsidR="00B827DD">
        <w:t xml:space="preserve">, </w:t>
      </w:r>
      <w:r w:rsidR="00A16190">
        <w:t>predominantly truncating</w:t>
      </w:r>
      <w:r w:rsidR="00B827DD">
        <w:t>,</w:t>
      </w:r>
      <w:r w:rsidR="00A16190">
        <w:t xml:space="preserve"> variants in</w:t>
      </w:r>
      <w:r w:rsidR="00A16190" w:rsidRPr="00A16190">
        <w:t xml:space="preserve"> the </w:t>
      </w:r>
      <w:r w:rsidR="00A16190" w:rsidRPr="00240B1B">
        <w:rPr>
          <w:i/>
          <w:iCs/>
        </w:rPr>
        <w:t>ELP1</w:t>
      </w:r>
      <w:r w:rsidR="00094AA1">
        <w:rPr>
          <w:i/>
          <w:iCs/>
        </w:rPr>
        <w:t xml:space="preserve"> </w:t>
      </w:r>
      <w:r w:rsidR="00094AA1">
        <w:t>(mean age of onset=6.5years</w:t>
      </w:r>
      <w:r w:rsidR="006D4EB5">
        <w:t xml:space="preserve"> account</w:t>
      </w:r>
      <w:r w:rsidR="00955B22">
        <w:t>s</w:t>
      </w:r>
      <w:r w:rsidR="006D4EB5">
        <w:t xml:space="preserve"> for </w:t>
      </w:r>
      <w:r w:rsidR="006D4EB5" w:rsidRPr="006D4EB5">
        <w:t>3.2%</w:t>
      </w:r>
      <w:r w:rsidR="006D4EB5">
        <w:t xml:space="preserve"> of cases</w:t>
      </w:r>
      <w:r w:rsidR="00094AA1">
        <w:t>)</w:t>
      </w:r>
      <w:r w:rsidR="00A16190" w:rsidRPr="00240B1B">
        <w:rPr>
          <w:i/>
          <w:iCs/>
        </w:rPr>
        <w:t xml:space="preserve"> </w:t>
      </w:r>
      <w:r w:rsidR="00A16190" w:rsidRPr="00240B1B">
        <w:t>and</w:t>
      </w:r>
      <w:r w:rsidR="00A16190" w:rsidRPr="00240B1B">
        <w:rPr>
          <w:i/>
          <w:iCs/>
        </w:rPr>
        <w:t xml:space="preserve"> GPR161</w:t>
      </w:r>
      <w:r w:rsidR="00A16190">
        <w:t xml:space="preserve"> </w:t>
      </w:r>
      <w:r w:rsidR="00094AA1">
        <w:t>(mean age of onset=1.5years</w:t>
      </w:r>
      <w:r w:rsidR="006D4EB5">
        <w:t>; account</w:t>
      </w:r>
      <w:r w:rsidR="00955B22">
        <w:t>s</w:t>
      </w:r>
      <w:r w:rsidR="006D4EB5">
        <w:t xml:space="preserve"> for 0.38% of cases</w:t>
      </w:r>
      <w:r w:rsidR="00094AA1">
        <w:t xml:space="preserve">) </w:t>
      </w:r>
      <w:r w:rsidR="00A16190">
        <w:t>genes[</w:t>
      </w:r>
      <w:r w:rsidR="00094AA1">
        <w:t>4</w:t>
      </w:r>
      <w:r w:rsidR="00A16190">
        <w:t>,</w:t>
      </w:r>
      <w:r w:rsidR="00094AA1">
        <w:t>5</w:t>
      </w:r>
      <w:r w:rsidR="006D4EB5">
        <w:t>-table 1</w:t>
      </w:r>
      <w:r w:rsidR="00A16190">
        <w:t>] in causation of the MB</w:t>
      </w:r>
      <w:r w:rsidR="00A16190">
        <w:rPr>
          <w:vertAlign w:val="subscript"/>
        </w:rPr>
        <w:t xml:space="preserve">SHH </w:t>
      </w:r>
      <w:r w:rsidR="00A16190">
        <w:t>subtype specifically. The latter association</w:t>
      </w:r>
      <w:r w:rsidR="007F7FA6">
        <w:t>,</w:t>
      </w:r>
      <w:r w:rsidR="00A16190">
        <w:t xml:space="preserve"> along with a report of an index case with some features of </w:t>
      </w:r>
      <w:proofErr w:type="spellStart"/>
      <w:r w:rsidR="00A16190">
        <w:t>Gorlin</w:t>
      </w:r>
      <w:proofErr w:type="spellEnd"/>
      <w:r w:rsidR="00A16190">
        <w:t xml:space="preserve"> syndrome (basal cell carcinomas, frontal bossing and a meningioma</w:t>
      </w:r>
      <w:r w:rsidR="00D96EBC">
        <w:t>, but microcephaly instead of macrocephaly</w:t>
      </w:r>
      <w:r w:rsidR="00A16190">
        <w:t>)</w:t>
      </w:r>
      <w:r w:rsidR="007F7FA6">
        <w:t>,</w:t>
      </w:r>
      <w:r w:rsidR="002832DB">
        <w:t xml:space="preserve"> has led to speculation </w:t>
      </w:r>
      <w:r w:rsidR="00B827DD">
        <w:t>that</w:t>
      </w:r>
      <w:r w:rsidR="002832DB" w:rsidRPr="00240B1B">
        <w:rPr>
          <w:i/>
          <w:iCs/>
        </w:rPr>
        <w:t xml:space="preserve"> GPR161</w:t>
      </w:r>
      <w:r w:rsidR="002832DB">
        <w:t xml:space="preserve"> may also cause </w:t>
      </w:r>
      <w:proofErr w:type="spellStart"/>
      <w:r w:rsidR="00D96EBC">
        <w:t>G</w:t>
      </w:r>
      <w:r w:rsidR="00BC766C">
        <w:t>orlin</w:t>
      </w:r>
      <w:proofErr w:type="spellEnd"/>
      <w:r w:rsidR="00BC766C">
        <w:t xml:space="preserve"> </w:t>
      </w:r>
      <w:r w:rsidR="00E07598">
        <w:t>s</w:t>
      </w:r>
      <w:r w:rsidR="00BC766C">
        <w:t>yndrome</w:t>
      </w:r>
      <w:r w:rsidR="002832DB">
        <w:t>[</w:t>
      </w:r>
      <w:r w:rsidR="00955B22">
        <w:t>5</w:t>
      </w:r>
      <w:r w:rsidR="002832DB">
        <w:t xml:space="preserve">]. </w:t>
      </w:r>
      <w:r w:rsidR="00A16190">
        <w:t xml:space="preserve"> </w:t>
      </w:r>
    </w:p>
    <w:p w14:paraId="724BD9FD" w14:textId="28BD6236" w:rsidR="00A16190" w:rsidRDefault="002832DB" w:rsidP="006B6391">
      <w:pPr>
        <w:spacing w:line="360" w:lineRule="auto"/>
      </w:pPr>
      <w:r>
        <w:t>As reported in both papers[</w:t>
      </w:r>
      <w:r w:rsidR="005B0C15">
        <w:t>4</w:t>
      </w:r>
      <w:r>
        <w:t>,</w:t>
      </w:r>
      <w:r w:rsidR="005B0C15">
        <w:t>5</w:t>
      </w:r>
      <w:r>
        <w:t>]</w:t>
      </w:r>
      <w:r w:rsidR="007F7FA6">
        <w:t>,</w:t>
      </w:r>
      <w:r>
        <w:t xml:space="preserve"> the frequency of presumed </w:t>
      </w:r>
      <w:r w:rsidR="00E07598">
        <w:t>l</w:t>
      </w:r>
      <w:r w:rsidR="00BC766C">
        <w:t xml:space="preserve">oss-of-function </w:t>
      </w:r>
      <w:r>
        <w:t xml:space="preserve"> variants in the population database </w:t>
      </w:r>
      <w:proofErr w:type="spellStart"/>
      <w:r>
        <w:t>gnomAD</w:t>
      </w:r>
      <w:proofErr w:type="spellEnd"/>
      <w:r w:rsidR="007F7FA6">
        <w:t xml:space="preserve"> (</w:t>
      </w:r>
      <w:r w:rsidR="007F7FA6" w:rsidRPr="007F7FA6">
        <w:t>https://gnomad.broadinstitute.org/</w:t>
      </w:r>
      <w:r w:rsidR="007F7FA6">
        <w:t>)</w:t>
      </w:r>
      <w:r>
        <w:t xml:space="preserve"> is high for a rare condition with both reports showing incidence above the rare disease threshold of 1 in 2,000</w:t>
      </w:r>
      <w:r w:rsidR="005B0C15">
        <w:t>-(Table</w:t>
      </w:r>
      <w:r w:rsidR="00E07598">
        <w:t xml:space="preserve"> 1</w:t>
      </w:r>
      <w:r w:rsidR="005B0C15">
        <w:t>)</w:t>
      </w:r>
      <w:r>
        <w:t xml:space="preserve">. Neither paper attempted to assess the overall likelihood of a child with either an </w:t>
      </w:r>
      <w:r w:rsidRPr="00240B1B">
        <w:rPr>
          <w:i/>
          <w:iCs/>
        </w:rPr>
        <w:t xml:space="preserve">ELP1 </w:t>
      </w:r>
      <w:r w:rsidRPr="00240B1B">
        <w:t xml:space="preserve">or </w:t>
      </w:r>
      <w:r w:rsidRPr="00240B1B">
        <w:rPr>
          <w:i/>
          <w:iCs/>
        </w:rPr>
        <w:t>GPR161</w:t>
      </w:r>
      <w:r>
        <w:t xml:space="preserve"> </w:t>
      </w:r>
      <w:r w:rsidR="00E07598">
        <w:t>l</w:t>
      </w:r>
      <w:r w:rsidR="00BC766C">
        <w:t>oss-of-</w:t>
      </w:r>
      <w:r w:rsidR="00BC766C">
        <w:lastRenderedPageBreak/>
        <w:t>function</w:t>
      </w:r>
      <w:r>
        <w:t xml:space="preserve"> variant</w:t>
      </w:r>
      <w:r w:rsidR="00955B22">
        <w:t>s</w:t>
      </w:r>
      <w:r>
        <w:t xml:space="preserve"> developing medulloblastoma.  In view of the likelihood that these genes will be added to multi</w:t>
      </w:r>
      <w:r w:rsidR="00B827DD">
        <w:t>-</w:t>
      </w:r>
      <w:r>
        <w:t xml:space="preserve">gene panels for childhood malignancy and possibly for </w:t>
      </w:r>
      <w:proofErr w:type="spellStart"/>
      <w:r w:rsidR="00D96EBC">
        <w:t>G</w:t>
      </w:r>
      <w:r w:rsidR="00BC766C">
        <w:t>orlin</w:t>
      </w:r>
      <w:proofErr w:type="spellEnd"/>
      <w:r w:rsidR="00BC766C">
        <w:t xml:space="preserve"> </w:t>
      </w:r>
      <w:r w:rsidR="00E07598">
        <w:t>s</w:t>
      </w:r>
      <w:r w:rsidR="00BC766C">
        <w:t>yndrome</w:t>
      </w:r>
      <w:r>
        <w:t xml:space="preserve"> assessment</w:t>
      </w:r>
      <w:r w:rsidR="007F7FA6">
        <w:t>,</w:t>
      </w:r>
      <w:r>
        <w:t xml:space="preserve"> we have assessed the overall likelihood of medulloblastoma with each gene and specifically tested for </w:t>
      </w:r>
      <w:r w:rsidRPr="00240B1B">
        <w:rPr>
          <w:i/>
          <w:iCs/>
        </w:rPr>
        <w:t>GPR161</w:t>
      </w:r>
      <w:r>
        <w:t xml:space="preserve"> variants in our currently unexplained </w:t>
      </w:r>
      <w:proofErr w:type="spellStart"/>
      <w:r w:rsidR="00D96EBC">
        <w:t>G</w:t>
      </w:r>
      <w:r w:rsidR="00BC766C">
        <w:t>orlin</w:t>
      </w:r>
      <w:proofErr w:type="spellEnd"/>
      <w:r w:rsidR="00BC766C">
        <w:t xml:space="preserve"> </w:t>
      </w:r>
      <w:r w:rsidR="00E07598">
        <w:t>s</w:t>
      </w:r>
      <w:r w:rsidR="00BC766C">
        <w:t>yndrome</w:t>
      </w:r>
      <w:r>
        <w:t xml:space="preserve"> families.</w:t>
      </w:r>
    </w:p>
    <w:p w14:paraId="4E651CFA" w14:textId="51C3F743" w:rsidR="002832DB" w:rsidRPr="002832DB" w:rsidRDefault="002832DB" w:rsidP="006B6391">
      <w:pPr>
        <w:spacing w:line="360" w:lineRule="auto"/>
        <w:rPr>
          <w:b/>
          <w:bCs/>
        </w:rPr>
      </w:pPr>
      <w:r w:rsidRPr="002832DB">
        <w:rPr>
          <w:b/>
          <w:bCs/>
        </w:rPr>
        <w:t>Methods</w:t>
      </w:r>
    </w:p>
    <w:p w14:paraId="06CAE62D" w14:textId="69D6F229" w:rsidR="00B827DD" w:rsidRDefault="002832DB" w:rsidP="006B6391">
      <w:pPr>
        <w:spacing w:line="360" w:lineRule="auto"/>
      </w:pPr>
      <w:r>
        <w:t>The population likelihood of medulloblastoma was assessed using data sources on annual rates of childhood medulloblastoma</w:t>
      </w:r>
      <w:r w:rsidR="00372484">
        <w:t>[</w:t>
      </w:r>
      <w:r w:rsidR="005B0C15">
        <w:t>1</w:t>
      </w:r>
      <w:r w:rsidR="00372484">
        <w:t>,</w:t>
      </w:r>
      <w:r w:rsidR="005B0C15">
        <w:t>2</w:t>
      </w:r>
      <w:r w:rsidR="00372484">
        <w:t>]</w:t>
      </w:r>
      <w:r>
        <w:t xml:space="preserve"> and number of children in the UK and USA</w:t>
      </w:r>
      <w:r w:rsidR="00E07598">
        <w:t>.</w:t>
      </w:r>
      <w:r w:rsidR="00372484">
        <w:t xml:space="preserve"> </w:t>
      </w:r>
      <w:r>
        <w:t xml:space="preserve">Relative risk of medulloblastoma was assessed from presumed </w:t>
      </w:r>
      <w:r w:rsidR="00E07598">
        <w:t>l</w:t>
      </w:r>
      <w:r w:rsidR="00BC766C">
        <w:t>oss-of-function</w:t>
      </w:r>
      <w:r>
        <w:t xml:space="preserve"> variants </w:t>
      </w:r>
      <w:r w:rsidR="0003729C">
        <w:t xml:space="preserve">for each gene </w:t>
      </w:r>
      <w:r>
        <w:t>in</w:t>
      </w:r>
      <w:r w:rsidR="0003729C">
        <w:t xml:space="preserve"> the published medulloblastoma series divided by the frequency in</w:t>
      </w:r>
      <w:r>
        <w:t xml:space="preserve"> </w:t>
      </w:r>
      <w:proofErr w:type="spellStart"/>
      <w:r>
        <w:t>gnomAD</w:t>
      </w:r>
      <w:proofErr w:type="spellEnd"/>
      <w:r w:rsidR="00240B1B">
        <w:t xml:space="preserve"> as previously described[</w:t>
      </w:r>
      <w:r w:rsidR="005B0C15">
        <w:t>3</w:t>
      </w:r>
      <w:r w:rsidR="00240B1B">
        <w:t>]</w:t>
      </w:r>
      <w:r w:rsidR="0003729C">
        <w:t xml:space="preserve">. </w:t>
      </w:r>
    </w:p>
    <w:p w14:paraId="10E25F06" w14:textId="7614F71E" w:rsidR="00B827DD" w:rsidRDefault="00B827DD" w:rsidP="006B6391">
      <w:pPr>
        <w:spacing w:line="360" w:lineRule="auto"/>
      </w:pPr>
      <w:r>
        <w:t xml:space="preserve">We also sequenced the </w:t>
      </w:r>
      <w:r w:rsidRPr="00A45673">
        <w:rPr>
          <w:i/>
        </w:rPr>
        <w:t>GPR161</w:t>
      </w:r>
      <w:r>
        <w:t xml:space="preserve"> gene (</w:t>
      </w:r>
      <w:r w:rsidRPr="00EE38B7">
        <w:t>NM_001375883.1</w:t>
      </w:r>
      <w:r>
        <w:t xml:space="preserve">) in 27 people with </w:t>
      </w:r>
      <w:proofErr w:type="spellStart"/>
      <w:r w:rsidR="00D96EBC">
        <w:t>G</w:t>
      </w:r>
      <w:r w:rsidR="00BC766C">
        <w:t>orlin</w:t>
      </w:r>
      <w:proofErr w:type="spellEnd"/>
      <w:r w:rsidR="00BC766C">
        <w:t xml:space="preserve"> </w:t>
      </w:r>
      <w:r w:rsidR="00E07598">
        <w:t>s</w:t>
      </w:r>
      <w:r w:rsidR="00BC766C">
        <w:t>yndrome</w:t>
      </w:r>
      <w:r>
        <w:t xml:space="preserve"> who had previously been screened for variants in </w:t>
      </w:r>
      <w:r w:rsidRPr="00EE38B7">
        <w:rPr>
          <w:i/>
        </w:rPr>
        <w:t>PTCH1</w:t>
      </w:r>
      <w:r>
        <w:t xml:space="preserve"> and </w:t>
      </w:r>
      <w:r w:rsidRPr="00EE38B7">
        <w:rPr>
          <w:i/>
        </w:rPr>
        <w:t>SUFU</w:t>
      </w:r>
      <w:r>
        <w:t xml:space="preserve"> and in whom no </w:t>
      </w:r>
      <w:r w:rsidR="007B4830">
        <w:t xml:space="preserve">causative </w:t>
      </w:r>
      <w:r>
        <w:t xml:space="preserve">variant had been </w:t>
      </w:r>
      <w:r w:rsidR="007B4830">
        <w:t>foun</w:t>
      </w:r>
      <w:r>
        <w:t>d.</w:t>
      </w:r>
    </w:p>
    <w:p w14:paraId="2B9EF4DB" w14:textId="30ED0B97" w:rsidR="00A16190" w:rsidRPr="0003729C" w:rsidRDefault="0003729C" w:rsidP="006B6391">
      <w:pPr>
        <w:spacing w:line="360" w:lineRule="auto"/>
        <w:rPr>
          <w:b/>
          <w:bCs/>
        </w:rPr>
      </w:pPr>
      <w:r w:rsidRPr="0003729C">
        <w:rPr>
          <w:b/>
          <w:bCs/>
        </w:rPr>
        <w:t>Results</w:t>
      </w:r>
    </w:p>
    <w:p w14:paraId="5B30E7B4" w14:textId="5DF36CD1" w:rsidR="00974250" w:rsidRDefault="0003729C" w:rsidP="006B6391">
      <w:pPr>
        <w:spacing w:line="360" w:lineRule="auto"/>
      </w:pPr>
      <w:r>
        <w:t xml:space="preserve">Table </w:t>
      </w:r>
      <w:r w:rsidR="00E07598">
        <w:t xml:space="preserve">1 </w:t>
      </w:r>
      <w:r>
        <w:t xml:space="preserve">shows the results of our analysis on likelihood of childhood medulloblastoma assuming 16 years of risk in childhood. The likelihood varied from 1 in 9,000 in the USA to 1 in 14,000 in the UK. We took the derived </w:t>
      </w:r>
      <w:proofErr w:type="spellStart"/>
      <w:r>
        <w:t>gnomAD</w:t>
      </w:r>
      <w:proofErr w:type="spellEnd"/>
      <w:r>
        <w:t xml:space="preserve"> population data from the </w:t>
      </w:r>
      <w:r w:rsidRPr="0003729C">
        <w:rPr>
          <w:i/>
          <w:iCs/>
        </w:rPr>
        <w:t>ELP1</w:t>
      </w:r>
      <w:r>
        <w:t xml:space="preserve"> paper for </w:t>
      </w:r>
      <w:r w:rsidR="00E07598">
        <w:t>l</w:t>
      </w:r>
      <w:r w:rsidR="00BC766C">
        <w:t>oss-of-function</w:t>
      </w:r>
      <w:r>
        <w:t xml:space="preserve"> variants showing a very high population frequency of close to 1 in 1000</w:t>
      </w:r>
      <w:r w:rsidR="006A58E7">
        <w:t>-</w:t>
      </w:r>
      <w:r>
        <w:t>(Table). Thus</w:t>
      </w:r>
      <w:r w:rsidR="00C624A2">
        <w:t>,</w:t>
      </w:r>
      <w:r>
        <w:t xml:space="preserve"> despite a 3.2% frequency </w:t>
      </w:r>
      <w:r w:rsidR="00B827DD">
        <w:t xml:space="preserve">of </w:t>
      </w:r>
      <w:r w:rsidR="00B827DD" w:rsidRPr="00D96EBC">
        <w:rPr>
          <w:i/>
        </w:rPr>
        <w:t>ELP1</w:t>
      </w:r>
      <w:r w:rsidR="00B827DD">
        <w:t xml:space="preserve"> </w:t>
      </w:r>
      <w:r w:rsidR="00E07598">
        <w:t>l</w:t>
      </w:r>
      <w:r w:rsidR="00BC766C">
        <w:t>oss-of-function</w:t>
      </w:r>
      <w:r w:rsidR="00B827DD">
        <w:t xml:space="preserve"> variants </w:t>
      </w:r>
      <w:r>
        <w:t>in medulloblastoma</w:t>
      </w:r>
      <w:r w:rsidR="00B827DD">
        <w:t>,</w:t>
      </w:r>
      <w:r>
        <w:t xml:space="preserve"> this only resulted in a relative risk of 33.5 and a childhood risk of 1</w:t>
      </w:r>
      <w:r w:rsidR="00E07598">
        <w:t>/</w:t>
      </w:r>
      <w:r>
        <w:t xml:space="preserve"> 270-</w:t>
      </w:r>
      <w:r w:rsidR="00E07598">
        <w:t>1/</w:t>
      </w:r>
      <w:r>
        <w:t>430 for medulloblastoma</w:t>
      </w:r>
      <w:r w:rsidR="005B0C15">
        <w:t>-(</w:t>
      </w:r>
      <w:r w:rsidR="00E07598">
        <w:t>T</w:t>
      </w:r>
      <w:r w:rsidR="005B0C15">
        <w:t>able</w:t>
      </w:r>
      <w:r w:rsidR="00E07598">
        <w:t xml:space="preserve"> 1</w:t>
      </w:r>
      <w:r w:rsidR="005B0C15">
        <w:t>-row 13)</w:t>
      </w:r>
      <w:r>
        <w:t xml:space="preserve">. For </w:t>
      </w:r>
      <w:r w:rsidRPr="00D96EBC">
        <w:rPr>
          <w:i/>
        </w:rPr>
        <w:t>GPR161</w:t>
      </w:r>
      <w:r>
        <w:t xml:space="preserve"> we found 86 </w:t>
      </w:r>
      <w:r w:rsidR="00E07598">
        <w:t>l</w:t>
      </w:r>
      <w:r w:rsidR="00BC766C">
        <w:t>oss-of-function</w:t>
      </w:r>
      <w:r>
        <w:t xml:space="preserve"> variants</w:t>
      </w:r>
      <w:r w:rsidR="00B827DD">
        <w:t>,</w:t>
      </w:r>
      <w:r>
        <w:t xml:space="preserve"> including canoni</w:t>
      </w:r>
      <w:r w:rsidR="00412600">
        <w:t>c</w:t>
      </w:r>
      <w:r>
        <w:t>al splicing variant</w:t>
      </w:r>
      <w:r w:rsidR="00B827DD">
        <w:t>s,</w:t>
      </w:r>
      <w:r>
        <w:t xml:space="preserve"> in an average of 125,153 individuals in </w:t>
      </w:r>
      <w:proofErr w:type="spellStart"/>
      <w:r w:rsidR="00412600">
        <w:t>gnomAD</w:t>
      </w:r>
      <w:proofErr w:type="spellEnd"/>
      <w:r w:rsidR="00412600">
        <w:t xml:space="preserve">. We excluded the putative missense variant in </w:t>
      </w:r>
      <w:r w:rsidR="00412600" w:rsidRPr="00D96EBC">
        <w:rPr>
          <w:i/>
        </w:rPr>
        <w:t>GPR161</w:t>
      </w:r>
      <w:r w:rsidR="00412600">
        <w:t xml:space="preserve"> and the index case leaving only </w:t>
      </w:r>
      <w:r w:rsidR="008F4BFC">
        <w:t>4</w:t>
      </w:r>
      <w:r w:rsidR="00412600">
        <w:t xml:space="preserve"> definite </w:t>
      </w:r>
      <w:r w:rsidR="00E07598">
        <w:t>l</w:t>
      </w:r>
      <w:r w:rsidR="00BC766C">
        <w:t>oss-of-function</w:t>
      </w:r>
      <w:r w:rsidR="00412600">
        <w:t xml:space="preserve"> variants amongst 1040 cases. This resulted in a relative risk of only 5.6-fold and childhood risk of 1 in 1600-2500 in the USA/UK. We did not assess the likelihood for the MB</w:t>
      </w:r>
      <w:r w:rsidR="00412600">
        <w:rPr>
          <w:vertAlign w:val="subscript"/>
        </w:rPr>
        <w:t xml:space="preserve">SHH </w:t>
      </w:r>
      <w:r w:rsidR="00412600">
        <w:t>subtype separately. However, as all but one of the cases was in the MB</w:t>
      </w:r>
      <w:r w:rsidR="00412600">
        <w:rPr>
          <w:vertAlign w:val="subscript"/>
        </w:rPr>
        <w:t xml:space="preserve">SHH </w:t>
      </w:r>
      <w:r w:rsidR="00412600">
        <w:t xml:space="preserve">subtype and the frequency in non SHH pathway medulloblastoma for </w:t>
      </w:r>
      <w:r w:rsidR="00412600" w:rsidRPr="00C624A2">
        <w:rPr>
          <w:i/>
          <w:iCs/>
        </w:rPr>
        <w:t>ELP1</w:t>
      </w:r>
      <w:r w:rsidR="00412600">
        <w:t xml:space="preserve"> was only 1/542 (0.18%)</w:t>
      </w:r>
      <w:r w:rsidR="00B827DD">
        <w:t>,</w:t>
      </w:r>
      <w:r w:rsidR="00412600">
        <w:t xml:space="preserve"> </w:t>
      </w:r>
      <w:r w:rsidR="00B827DD">
        <w:t>similar</w:t>
      </w:r>
      <w:r w:rsidR="00412600">
        <w:t xml:space="preserve"> to the 0.1% frequency in controls</w:t>
      </w:r>
      <w:r w:rsidR="00B827DD">
        <w:t>,</w:t>
      </w:r>
      <w:r w:rsidR="00412600">
        <w:t xml:space="preserve"> we have assumed that all of the risk related to the</w:t>
      </w:r>
      <w:r w:rsidR="00412600" w:rsidRPr="00412600">
        <w:t xml:space="preserve"> </w:t>
      </w:r>
      <w:r w:rsidR="00412600">
        <w:t>MB</w:t>
      </w:r>
      <w:r w:rsidR="00412600">
        <w:rPr>
          <w:vertAlign w:val="subscript"/>
        </w:rPr>
        <w:t xml:space="preserve">SHH </w:t>
      </w:r>
      <w:r w:rsidR="00412600">
        <w:t xml:space="preserve">subtype. </w:t>
      </w:r>
    </w:p>
    <w:p w14:paraId="58C520D6" w14:textId="1C72C254" w:rsidR="00B827DD" w:rsidRDefault="00C4064E" w:rsidP="006B6391">
      <w:pPr>
        <w:spacing w:line="360" w:lineRule="auto"/>
      </w:pPr>
      <w:r w:rsidRPr="00D96EBC">
        <w:t xml:space="preserve">Our specific screen of </w:t>
      </w:r>
      <w:r w:rsidRPr="0053141E">
        <w:rPr>
          <w:i/>
        </w:rPr>
        <w:t>GPR161</w:t>
      </w:r>
      <w:r w:rsidRPr="00C4064E">
        <w:t xml:space="preserve"> </w:t>
      </w:r>
      <w:r>
        <w:t xml:space="preserve">in our cohort of 27 </w:t>
      </w:r>
      <w:r w:rsidRPr="00D64F54">
        <w:rPr>
          <w:i/>
        </w:rPr>
        <w:t>PTCH1</w:t>
      </w:r>
      <w:r>
        <w:t>/</w:t>
      </w:r>
      <w:r w:rsidRPr="00D64F54">
        <w:rPr>
          <w:i/>
        </w:rPr>
        <w:t>SUFU</w:t>
      </w:r>
      <w:r>
        <w:t xml:space="preserve"> </w:t>
      </w:r>
      <w:r w:rsidR="006616AD">
        <w:t>pathogenic variant</w:t>
      </w:r>
      <w:r>
        <w:t xml:space="preserve">-negative patients with </w:t>
      </w:r>
      <w:proofErr w:type="spellStart"/>
      <w:r w:rsidR="00D96EBC">
        <w:t>G</w:t>
      </w:r>
      <w:r w:rsidR="00BC766C">
        <w:t>orlin</w:t>
      </w:r>
      <w:proofErr w:type="spellEnd"/>
      <w:r w:rsidR="00BC766C">
        <w:t xml:space="preserve"> </w:t>
      </w:r>
      <w:r w:rsidR="00E07598">
        <w:t>s</w:t>
      </w:r>
      <w:r w:rsidR="00BC766C">
        <w:t>yndrome</w:t>
      </w:r>
      <w:r w:rsidR="00B827DD">
        <w:t xml:space="preserve"> found no pathogenic or likely pathogenic variants.</w:t>
      </w:r>
    </w:p>
    <w:p w14:paraId="7CC57437" w14:textId="349758C4" w:rsidR="00412600" w:rsidRPr="00412600" w:rsidRDefault="00412600" w:rsidP="006B6391">
      <w:pPr>
        <w:spacing w:line="360" w:lineRule="auto"/>
        <w:rPr>
          <w:b/>
          <w:bCs/>
        </w:rPr>
      </w:pPr>
      <w:r w:rsidRPr="00412600">
        <w:rPr>
          <w:b/>
          <w:bCs/>
        </w:rPr>
        <w:t>Discussion</w:t>
      </w:r>
    </w:p>
    <w:p w14:paraId="4D278547" w14:textId="29235D45" w:rsidR="00412600" w:rsidRDefault="00412600" w:rsidP="006B6391">
      <w:pPr>
        <w:spacing w:line="360" w:lineRule="auto"/>
      </w:pPr>
      <w:r>
        <w:t xml:space="preserve">It is likely parents of children are already receiving results indicating that their child has </w:t>
      </w:r>
      <w:r w:rsidR="00E07598">
        <w:t>l</w:t>
      </w:r>
      <w:r w:rsidR="00BC766C">
        <w:t>oss-of-function</w:t>
      </w:r>
      <w:r>
        <w:t xml:space="preserve"> variant in </w:t>
      </w:r>
      <w:r w:rsidRPr="00D96EBC">
        <w:rPr>
          <w:i/>
        </w:rPr>
        <w:t>ELP1</w:t>
      </w:r>
      <w:r>
        <w:t xml:space="preserve"> or </w:t>
      </w:r>
      <w:r w:rsidRPr="00D96EBC">
        <w:rPr>
          <w:i/>
        </w:rPr>
        <w:t>GPR161</w:t>
      </w:r>
      <w:r>
        <w:t xml:space="preserve">. </w:t>
      </w:r>
      <w:r w:rsidR="002C69B5">
        <w:t xml:space="preserve">Indeed, in England neonates can now undergo genome </w:t>
      </w:r>
      <w:r w:rsidR="002C69B5">
        <w:lastRenderedPageBreak/>
        <w:t xml:space="preserve">sequencing at birth without any obvious </w:t>
      </w:r>
      <w:r w:rsidR="006616AD">
        <w:t>symptoms</w:t>
      </w:r>
      <w:r w:rsidR="002C69B5">
        <w:t xml:space="preserve"> and parents could receive results for an incidental pathogenic variant in </w:t>
      </w:r>
      <w:r w:rsidR="002C69B5" w:rsidRPr="00D96EBC">
        <w:rPr>
          <w:i/>
        </w:rPr>
        <w:t>ELP1</w:t>
      </w:r>
      <w:r w:rsidR="002C69B5">
        <w:t xml:space="preserve"> or </w:t>
      </w:r>
      <w:r w:rsidR="002C69B5" w:rsidRPr="002C69B5">
        <w:rPr>
          <w:i/>
        </w:rPr>
        <w:t xml:space="preserve">GPR161 </w:t>
      </w:r>
      <w:r w:rsidR="002C69B5" w:rsidRPr="00D0183B">
        <w:rPr>
          <w:iCs/>
        </w:rPr>
        <w:t xml:space="preserve">as genes </w:t>
      </w:r>
      <w:r w:rsidR="00F96172">
        <w:rPr>
          <w:iCs/>
        </w:rPr>
        <w:t xml:space="preserve">associated </w:t>
      </w:r>
      <w:r w:rsidR="002C69B5" w:rsidRPr="00D0183B">
        <w:rPr>
          <w:iCs/>
        </w:rPr>
        <w:t>with childhood malignancy.</w:t>
      </w:r>
      <w:r w:rsidR="002C69B5">
        <w:t xml:space="preserve"> The present study will provide counsellors with sufficient risk information to provide an accurate risk assessment and recommendations.</w:t>
      </w:r>
      <w:r w:rsidR="002C69B5" w:rsidRPr="00D0183B">
        <w:t xml:space="preserve"> </w:t>
      </w:r>
      <w:r w:rsidR="002C69B5">
        <w:t xml:space="preserve">For instance, parents of  neonates with a </w:t>
      </w:r>
      <w:r w:rsidR="002C69B5" w:rsidRPr="00D0183B">
        <w:rPr>
          <w:i/>
          <w:iCs/>
        </w:rPr>
        <w:t>GPR161</w:t>
      </w:r>
      <w:r w:rsidR="002C69B5">
        <w:rPr>
          <w:i/>
          <w:iCs/>
        </w:rPr>
        <w:t xml:space="preserve"> </w:t>
      </w:r>
      <w:r w:rsidR="002C69B5">
        <w:t>variant can be reassured that absolute risks of medulloblastoma are very small and the increased risk may disappear after age 4</w:t>
      </w:r>
      <w:r w:rsidR="006616AD">
        <w:t xml:space="preserve"> </w:t>
      </w:r>
      <w:r w:rsidR="002C69B5">
        <w:t xml:space="preserve">years (this will be reassuring if results are given for a 5year old) similar to </w:t>
      </w:r>
      <w:r w:rsidR="002C69B5" w:rsidRPr="00D0183B">
        <w:rPr>
          <w:i/>
          <w:iCs/>
        </w:rPr>
        <w:t xml:space="preserve">SUFU </w:t>
      </w:r>
      <w:r w:rsidR="002C69B5">
        <w:t>and</w:t>
      </w:r>
      <w:r w:rsidR="002C69B5" w:rsidRPr="00D0183B">
        <w:rPr>
          <w:i/>
          <w:iCs/>
        </w:rPr>
        <w:t xml:space="preserve"> PTCH1</w:t>
      </w:r>
      <w:r w:rsidR="002C69B5">
        <w:t>[</w:t>
      </w:r>
      <w:r w:rsidR="002C69B5" w:rsidRPr="002C69B5">
        <w:t>3</w:t>
      </w:r>
      <w:r w:rsidR="002C69B5">
        <w:t xml:space="preserve">,5,6]. Whereas, parents of neonates with an </w:t>
      </w:r>
      <w:r w:rsidR="002C69B5" w:rsidRPr="00D0183B">
        <w:rPr>
          <w:i/>
          <w:iCs/>
        </w:rPr>
        <w:t xml:space="preserve">ELP1 </w:t>
      </w:r>
      <w:r w:rsidR="002C69B5">
        <w:t>loss-of-function variant can be told the risk</w:t>
      </w:r>
      <w:r w:rsidR="00A31135">
        <w:t>s</w:t>
      </w:r>
      <w:r w:rsidR="002C69B5">
        <w:t xml:space="preserve"> are higher but not sufficient for MRI screening[3,6] and that the increased risk last</w:t>
      </w:r>
      <w:r w:rsidR="00A31135">
        <w:t>s</w:t>
      </w:r>
      <w:r w:rsidR="002C69B5">
        <w:t xml:space="preserve"> well beyond 7years of age. </w:t>
      </w:r>
      <w:r w:rsidR="00566FE5">
        <w:t>T</w:t>
      </w:r>
      <w:r w:rsidR="00566FE5" w:rsidRPr="00566FE5">
        <w:t>he risks for siblings of medulloblastoma cases who are heterozygotes may still justify closer monitoring</w:t>
      </w:r>
      <w:r w:rsidR="00566FE5">
        <w:t xml:space="preserve"> especially for </w:t>
      </w:r>
      <w:r w:rsidR="00566FE5" w:rsidRPr="00D0183B">
        <w:rPr>
          <w:i/>
          <w:iCs/>
        </w:rPr>
        <w:t>ELP1</w:t>
      </w:r>
      <w:r w:rsidR="00566FE5">
        <w:t xml:space="preserve"> as the family may carry additional genetic factors that predispose to medulloblastoma. </w:t>
      </w:r>
      <w:r>
        <w:t xml:space="preserve">Without </w:t>
      </w:r>
      <w:r w:rsidR="002C69B5">
        <w:t xml:space="preserve">this </w:t>
      </w:r>
      <w:r>
        <w:t xml:space="preserve">granular information on the true implications of this finding these parents may become distressed and concerned about the requirements for </w:t>
      </w:r>
      <w:r w:rsidR="00B827DD">
        <w:t xml:space="preserve">clinical </w:t>
      </w:r>
      <w:r>
        <w:t xml:space="preserve">screening. The implied likelihood of developing medulloblastoma for both </w:t>
      </w:r>
      <w:r w:rsidRPr="00B1571D">
        <w:rPr>
          <w:i/>
          <w:iCs/>
        </w:rPr>
        <w:t xml:space="preserve">ELP1 </w:t>
      </w:r>
      <w:r>
        <w:t xml:space="preserve">and particularly </w:t>
      </w:r>
      <w:r w:rsidRPr="00D96EBC">
        <w:rPr>
          <w:i/>
        </w:rPr>
        <w:t>GPR161</w:t>
      </w:r>
      <w:r>
        <w:t xml:space="preserve"> are </w:t>
      </w:r>
      <w:r w:rsidR="00B1571D">
        <w:t xml:space="preserve">overall quite low and </w:t>
      </w:r>
      <w:r w:rsidR="00B26FEB">
        <w:t>at or well</w:t>
      </w:r>
      <w:r w:rsidR="00B1571D">
        <w:t xml:space="preserve"> below that of </w:t>
      </w:r>
      <w:r w:rsidR="00B1571D" w:rsidRPr="00B1571D">
        <w:rPr>
          <w:i/>
          <w:iCs/>
        </w:rPr>
        <w:t xml:space="preserve">PTCH1 </w:t>
      </w:r>
      <w:r w:rsidR="00B1571D">
        <w:t>for which no screening in childhood for medulloblastoma is recommended[</w:t>
      </w:r>
      <w:r w:rsidR="00955B22">
        <w:t>3</w:t>
      </w:r>
      <w:r w:rsidR="00372484">
        <w:t>,6</w:t>
      </w:r>
      <w:r w:rsidR="00B1571D">
        <w:t xml:space="preserve">]. The suggestive features for a possible diagnosis of </w:t>
      </w:r>
      <w:proofErr w:type="spellStart"/>
      <w:r w:rsidR="00D96EBC">
        <w:t>G</w:t>
      </w:r>
      <w:r w:rsidR="00BC766C">
        <w:t>orlin</w:t>
      </w:r>
      <w:proofErr w:type="spellEnd"/>
      <w:r w:rsidR="00BC766C">
        <w:t xml:space="preserve"> </w:t>
      </w:r>
      <w:r w:rsidR="00F96172">
        <w:t>s</w:t>
      </w:r>
      <w:r w:rsidR="00BC766C">
        <w:t>yndrome</w:t>
      </w:r>
      <w:r w:rsidR="00B1571D">
        <w:t xml:space="preserve"> in the index </w:t>
      </w:r>
      <w:r w:rsidR="00B1571D" w:rsidRPr="00D96EBC">
        <w:rPr>
          <w:i/>
        </w:rPr>
        <w:t>GPR161</w:t>
      </w:r>
      <w:r w:rsidR="00B1571D">
        <w:t xml:space="preserve"> patient was not backed up by information on the father, brother and two nephews who were also heterozygo</w:t>
      </w:r>
      <w:r w:rsidR="006616AD">
        <w:t>us</w:t>
      </w:r>
      <w:r w:rsidR="00B1571D">
        <w:t xml:space="preserve">[2]. The population frequency of both </w:t>
      </w:r>
      <w:r w:rsidR="00B1571D" w:rsidRPr="00146111">
        <w:rPr>
          <w:i/>
          <w:iCs/>
        </w:rPr>
        <w:t>ELP1</w:t>
      </w:r>
      <w:r w:rsidR="00B1571D" w:rsidRPr="00146111">
        <w:t xml:space="preserve"> and </w:t>
      </w:r>
      <w:r w:rsidR="00B1571D" w:rsidRPr="00146111">
        <w:rPr>
          <w:i/>
          <w:iCs/>
        </w:rPr>
        <w:t>GPR161</w:t>
      </w:r>
      <w:r w:rsidR="00B1571D">
        <w:t xml:space="preserve"> of close to 1 in 1,000 are also far too high to account for the small amount of missing heritability in a condition with a birth incidence of only 1 in 14,500[</w:t>
      </w:r>
      <w:r w:rsidR="00372484">
        <w:t>7,8</w:t>
      </w:r>
      <w:r w:rsidR="00B1571D">
        <w:t>].</w:t>
      </w:r>
      <w:r w:rsidR="00146111">
        <w:t xml:space="preserve"> We did not identify </w:t>
      </w:r>
      <w:r w:rsidR="00146111" w:rsidRPr="00D96EBC">
        <w:rPr>
          <w:i/>
        </w:rPr>
        <w:t>GPR161</w:t>
      </w:r>
      <w:r w:rsidR="00146111">
        <w:t xml:space="preserve"> in </w:t>
      </w:r>
      <w:r w:rsidR="00B827DD">
        <w:t xml:space="preserve">27 </w:t>
      </w:r>
      <w:r w:rsidR="00146111" w:rsidRPr="00146111">
        <w:rPr>
          <w:i/>
          <w:iCs/>
        </w:rPr>
        <w:t>PTCH1/SUFU</w:t>
      </w:r>
      <w:r w:rsidR="00146111">
        <w:t xml:space="preserve"> negative </w:t>
      </w:r>
      <w:proofErr w:type="spellStart"/>
      <w:r w:rsidR="00D96EBC">
        <w:t>G</w:t>
      </w:r>
      <w:r w:rsidR="00BC766C">
        <w:t>orlin</w:t>
      </w:r>
      <w:proofErr w:type="spellEnd"/>
      <w:r w:rsidR="00BC766C">
        <w:t xml:space="preserve"> </w:t>
      </w:r>
      <w:r w:rsidR="00F96172">
        <w:t>s</w:t>
      </w:r>
      <w:r w:rsidR="00BC766C">
        <w:t>yndrome</w:t>
      </w:r>
      <w:r w:rsidR="00B827DD">
        <w:t xml:space="preserve"> </w:t>
      </w:r>
      <w:r w:rsidR="00146111">
        <w:t xml:space="preserve">families which represent </w:t>
      </w:r>
      <w:r w:rsidR="00D96EBC">
        <w:t>all</w:t>
      </w:r>
      <w:r w:rsidR="00146111">
        <w:t xml:space="preserve"> the 27/86</w:t>
      </w:r>
      <w:r w:rsidR="00D96EBC">
        <w:t>-</w:t>
      </w:r>
      <w:r w:rsidR="00146111">
        <w:t>(31.4%) unexplained by know</w:t>
      </w:r>
      <w:r w:rsidR="00B827DD">
        <w:t>n</w:t>
      </w:r>
      <w:r w:rsidR="00146111">
        <w:t xml:space="preserve"> genes</w:t>
      </w:r>
      <w:r w:rsidR="003A031D">
        <w:t xml:space="preserve"> (59 were due to </w:t>
      </w:r>
      <w:r w:rsidR="003A031D" w:rsidRPr="00D0183B">
        <w:rPr>
          <w:i/>
          <w:iCs/>
        </w:rPr>
        <w:t>PTCH1/SUFU</w:t>
      </w:r>
      <w:r w:rsidR="003A031D">
        <w:t>) meaning an unexplained population frequency far lower at 0.0021% (1 in 46,400)</w:t>
      </w:r>
      <w:r w:rsidR="00146111">
        <w:t xml:space="preserve">. Given the absence of clinical data and the even higher population frequency of </w:t>
      </w:r>
      <w:r w:rsidR="00146111" w:rsidRPr="00D96EBC">
        <w:rPr>
          <w:i/>
        </w:rPr>
        <w:t>ELP1</w:t>
      </w:r>
      <w:r w:rsidR="00146111">
        <w:t xml:space="preserve"> we have not assessed this gene in our </w:t>
      </w:r>
      <w:proofErr w:type="spellStart"/>
      <w:r w:rsidR="00146111">
        <w:t>Gorlin</w:t>
      </w:r>
      <w:proofErr w:type="spellEnd"/>
      <w:r w:rsidR="00146111">
        <w:t xml:space="preserve"> population. </w:t>
      </w:r>
      <w:r w:rsidR="00146111" w:rsidRPr="00146111">
        <w:rPr>
          <w:i/>
          <w:iCs/>
        </w:rPr>
        <w:t xml:space="preserve">ELP1 </w:t>
      </w:r>
      <w:r w:rsidR="00146111" w:rsidRPr="00146111">
        <w:t>and</w:t>
      </w:r>
      <w:r w:rsidR="00146111" w:rsidRPr="00146111">
        <w:rPr>
          <w:i/>
          <w:iCs/>
        </w:rPr>
        <w:t xml:space="preserve"> GPR161</w:t>
      </w:r>
      <w:r w:rsidR="00146111">
        <w:t xml:space="preserve"> therefore join </w:t>
      </w:r>
      <w:r w:rsidR="00146111" w:rsidRPr="00D96EBC">
        <w:rPr>
          <w:i/>
        </w:rPr>
        <w:t>PTCH2</w:t>
      </w:r>
      <w:r w:rsidR="00146111">
        <w:t xml:space="preserve"> as potential candidate genes for </w:t>
      </w:r>
      <w:proofErr w:type="spellStart"/>
      <w:r w:rsidR="00D96EBC">
        <w:t>G</w:t>
      </w:r>
      <w:r w:rsidR="00BC766C">
        <w:t>orlin</w:t>
      </w:r>
      <w:proofErr w:type="spellEnd"/>
      <w:r w:rsidR="00BC766C">
        <w:t xml:space="preserve"> </w:t>
      </w:r>
      <w:r w:rsidR="006616AD">
        <w:t>s</w:t>
      </w:r>
      <w:r w:rsidR="00BC766C">
        <w:t>yndrome</w:t>
      </w:r>
      <w:r w:rsidR="00146111">
        <w:t xml:space="preserve"> that can be dismissed on their population frequencies and</w:t>
      </w:r>
      <w:r w:rsidR="007F7FA6">
        <w:t>,</w:t>
      </w:r>
      <w:r w:rsidR="00146111">
        <w:t xml:space="preserve"> for </w:t>
      </w:r>
      <w:r w:rsidR="00146111" w:rsidRPr="00D96EBC">
        <w:rPr>
          <w:i/>
        </w:rPr>
        <w:t>PTCH2</w:t>
      </w:r>
      <w:r w:rsidR="00146111">
        <w:t xml:space="preserve"> and </w:t>
      </w:r>
      <w:r w:rsidR="00146111" w:rsidRPr="00D96EBC">
        <w:rPr>
          <w:i/>
        </w:rPr>
        <w:t>GPR161</w:t>
      </w:r>
      <w:r w:rsidR="007F7FA6">
        <w:rPr>
          <w:iCs/>
        </w:rPr>
        <w:t>,</w:t>
      </w:r>
      <w:r w:rsidR="00146111">
        <w:t xml:space="preserve"> their absence in </w:t>
      </w:r>
      <w:proofErr w:type="spellStart"/>
      <w:r w:rsidR="00BC766C" w:rsidRPr="00BC766C">
        <w:t>Gorlin</w:t>
      </w:r>
      <w:proofErr w:type="spellEnd"/>
      <w:r w:rsidR="00BC766C" w:rsidRPr="00BC766C">
        <w:t xml:space="preserve"> </w:t>
      </w:r>
      <w:r w:rsidR="006616AD">
        <w:t>s</w:t>
      </w:r>
      <w:r w:rsidR="00BC766C" w:rsidRPr="00BC766C">
        <w:t>yndrome</w:t>
      </w:r>
      <w:r w:rsidR="00146111">
        <w:t xml:space="preserve"> kindreds[</w:t>
      </w:r>
      <w:r w:rsidR="00B26FEB">
        <w:t>8</w:t>
      </w:r>
      <w:r w:rsidR="00146111">
        <w:t>].</w:t>
      </w:r>
    </w:p>
    <w:p w14:paraId="27EB211E" w14:textId="3F3E89C5" w:rsidR="003A031D" w:rsidRDefault="003A031D" w:rsidP="006B6391">
      <w:pPr>
        <w:spacing w:line="360" w:lineRule="auto"/>
      </w:pPr>
      <w:r>
        <w:t>We do not have an explanation for the apparent higher incidence of childhood medulloblastoma in the USA compared to the UK and this seems unlikely</w:t>
      </w:r>
      <w:r w:rsidR="006616AD">
        <w:t xml:space="preserve"> to be</w:t>
      </w:r>
      <w:r>
        <w:t xml:space="preserve"> linked to an increased frequency of the known predisposition genes.</w:t>
      </w:r>
    </w:p>
    <w:p w14:paraId="6357BD2D" w14:textId="30869385" w:rsidR="00146111" w:rsidRDefault="00146111" w:rsidP="006B6391">
      <w:pPr>
        <w:spacing w:line="360" w:lineRule="auto"/>
      </w:pPr>
      <w:r>
        <w:t xml:space="preserve">In examining </w:t>
      </w:r>
      <w:proofErr w:type="spellStart"/>
      <w:r>
        <w:t>gnomAD</w:t>
      </w:r>
      <w:proofErr w:type="spellEnd"/>
      <w:r w:rsidR="007F7FA6">
        <w:t>,</w:t>
      </w:r>
      <w:r>
        <w:t xml:space="preserve"> we </w:t>
      </w:r>
      <w:r w:rsidR="00B827DD">
        <w:t>found</w:t>
      </w:r>
      <w:r>
        <w:t xml:space="preserve"> a </w:t>
      </w:r>
      <w:proofErr w:type="spellStart"/>
      <w:r>
        <w:t>ClinVar</w:t>
      </w:r>
      <w:proofErr w:type="spellEnd"/>
      <w:r>
        <w:t xml:space="preserve"> entry for a putative likely pathogenic </w:t>
      </w:r>
      <w:r w:rsidR="00372484" w:rsidRPr="00372484">
        <w:rPr>
          <w:i/>
          <w:iCs/>
        </w:rPr>
        <w:t>GPR161</w:t>
      </w:r>
      <w:r w:rsidR="00372484">
        <w:t xml:space="preserve"> </w:t>
      </w:r>
      <w:r>
        <w:t>missense variant</w:t>
      </w:r>
      <w:r w:rsidR="00590044">
        <w:t>,</w:t>
      </w:r>
      <w:r>
        <w:t xml:space="preserve"> </w:t>
      </w:r>
      <w:r w:rsidRPr="00146111">
        <w:t>c.56T&gt;A</w:t>
      </w:r>
      <w:r w:rsidR="00590044">
        <w:t>,</w:t>
      </w:r>
      <w:r w:rsidRPr="00146111">
        <w:t>p.Leu19Gln</w:t>
      </w:r>
      <w:r w:rsidR="00590044">
        <w:t>;</w:t>
      </w:r>
      <w:r w:rsidRPr="00146111">
        <w:t>NM_001267609;chr1:g.168074093A&gt;T[hg19]</w:t>
      </w:r>
      <w:r w:rsidR="00590044">
        <w:t xml:space="preserve"> (this variant is annotated as </w:t>
      </w:r>
      <w:r w:rsidR="00B827DD" w:rsidRPr="00B827DD">
        <w:t xml:space="preserve">c.-5T&gt;A; 5'-UTR in the </w:t>
      </w:r>
      <w:r w:rsidR="00AE4733">
        <w:t>MANE</w:t>
      </w:r>
      <w:r w:rsidR="00B827DD" w:rsidRPr="00B827DD">
        <w:t xml:space="preserve"> select transcript:NM_001375883.1</w:t>
      </w:r>
      <w:r w:rsidRPr="00146111">
        <w:t>)</w:t>
      </w:r>
      <w:r w:rsidR="00590044">
        <w:t>. The variant</w:t>
      </w:r>
      <w:r>
        <w:t xml:space="preserve"> had been reported in homozygous form </w:t>
      </w:r>
      <w:r w:rsidR="009873C8">
        <w:t xml:space="preserve">in a Turkish family </w:t>
      </w:r>
      <w:r>
        <w:t xml:space="preserve">as causing </w:t>
      </w:r>
      <w:r w:rsidR="009873C8" w:rsidRPr="009873C8">
        <w:t>Pituitary Stalk Interruption Syndrome</w:t>
      </w:r>
      <w:r w:rsidR="009873C8">
        <w:t>[</w:t>
      </w:r>
      <w:r w:rsidR="00372484">
        <w:t>9</w:t>
      </w:r>
      <w:r w:rsidR="009873C8">
        <w:t xml:space="preserve">]. Although this quite clear syndromic diagnosis tracked with zygosity in </w:t>
      </w:r>
      <w:proofErr w:type="gramStart"/>
      <w:r w:rsidR="009873C8">
        <w:t>a consanguineous kindred</w:t>
      </w:r>
      <w:proofErr w:type="gramEnd"/>
      <w:r w:rsidR="009873C8">
        <w:t xml:space="preserve"> (the</w:t>
      </w:r>
      <w:r w:rsidR="00372484">
        <w:t xml:space="preserve"> </w:t>
      </w:r>
      <w:r w:rsidR="00372484">
        <w:lastRenderedPageBreak/>
        <w:t>unaffected</w:t>
      </w:r>
      <w:r w:rsidR="009873C8">
        <w:t xml:space="preserve"> heterozygote parents had 4 further unaffected children who were not homozygous) no population frequency for this variant was supplied. We have now assessed this in </w:t>
      </w:r>
      <w:proofErr w:type="spellStart"/>
      <w:r w:rsidR="009873C8">
        <w:t>gnomAD</w:t>
      </w:r>
      <w:proofErr w:type="spellEnd"/>
      <w:r w:rsidR="009873C8">
        <w:t xml:space="preserve"> and found that it is present 18 times in South Asians </w:t>
      </w:r>
      <w:r w:rsidR="00B827DD">
        <w:t xml:space="preserve">in </w:t>
      </w:r>
      <w:r w:rsidR="009873C8">
        <w:t xml:space="preserve">homozygous </w:t>
      </w:r>
      <w:r w:rsidR="00B827DD">
        <w:t xml:space="preserve">form </w:t>
      </w:r>
      <w:r w:rsidR="009873C8">
        <w:t xml:space="preserve">in 15,296 individuals (1 in 850 individuals) with a further 641 being heterozygote (1 in 24). This clearly cannot be a </w:t>
      </w:r>
      <w:r w:rsidR="006616AD">
        <w:t>l</w:t>
      </w:r>
      <w:r w:rsidR="00BC766C">
        <w:t xml:space="preserve">oss-of-function </w:t>
      </w:r>
      <w:r w:rsidR="009873C8">
        <w:t xml:space="preserve"> variant that could cause a medulloblastoma risk </w:t>
      </w:r>
      <w:r w:rsidR="006A58E7">
        <w:t xml:space="preserve">(particularly as homozygous) </w:t>
      </w:r>
      <w:r w:rsidR="009873C8">
        <w:t xml:space="preserve">or this would mean a much higher likelihood of medulloblastoma in South Asia and the </w:t>
      </w:r>
      <w:r w:rsidR="00B827DD">
        <w:t xml:space="preserve">homozygote frequency </w:t>
      </w:r>
      <w:r w:rsidR="009873C8">
        <w:t xml:space="preserve">is far too high to be associated with such a </w:t>
      </w:r>
      <w:r w:rsidR="00E12866">
        <w:t>rare</w:t>
      </w:r>
      <w:r w:rsidR="00B26FEB">
        <w:t xml:space="preserve"> (estimated 0.5 per million)</w:t>
      </w:r>
      <w:r w:rsidR="00E12866">
        <w:t xml:space="preserve"> </w:t>
      </w:r>
      <w:r w:rsidR="009873C8">
        <w:t xml:space="preserve">complex condition as </w:t>
      </w:r>
      <w:r w:rsidR="009873C8" w:rsidRPr="009873C8">
        <w:t>Pituitary Stalk Interruption Syndrome[</w:t>
      </w:r>
      <w:r w:rsidR="00372484">
        <w:t>10</w:t>
      </w:r>
      <w:r w:rsidR="009873C8">
        <w:t>].</w:t>
      </w:r>
    </w:p>
    <w:p w14:paraId="232EA01D" w14:textId="03EAB3CA" w:rsidR="00146111" w:rsidRDefault="00240B1B" w:rsidP="006B6391">
      <w:pPr>
        <w:spacing w:line="360" w:lineRule="auto"/>
      </w:pPr>
      <w:r>
        <w:t>In conclusion</w:t>
      </w:r>
      <w:r w:rsidR="00E12866">
        <w:t>,</w:t>
      </w:r>
      <w:r>
        <w:t xml:space="preserve"> the absolute risk of developing childhood medulloblastoma with </w:t>
      </w:r>
      <w:r w:rsidRPr="00240B1B">
        <w:rPr>
          <w:i/>
          <w:iCs/>
        </w:rPr>
        <w:t xml:space="preserve">ELP1 </w:t>
      </w:r>
      <w:r w:rsidRPr="00240B1B">
        <w:t xml:space="preserve">and </w:t>
      </w:r>
      <w:r w:rsidRPr="00240B1B">
        <w:rPr>
          <w:i/>
          <w:iCs/>
        </w:rPr>
        <w:t>GPR161</w:t>
      </w:r>
      <w:r>
        <w:t xml:space="preserve"> appears low and families can be reassured particularly if these genes are found incidentally on panels. </w:t>
      </w:r>
      <w:r w:rsidR="003A031D">
        <w:t>T</w:t>
      </w:r>
      <w:r w:rsidR="003A031D" w:rsidRPr="003A031D">
        <w:t>he</w:t>
      </w:r>
      <w:r w:rsidR="003A031D">
        <w:t>re is still a</w:t>
      </w:r>
      <w:r w:rsidR="003A031D" w:rsidRPr="003A031D">
        <w:t xml:space="preserve"> need to identify and follow patients</w:t>
      </w:r>
      <w:r w:rsidR="003A031D">
        <w:t xml:space="preserve"> with medulloblastoma</w:t>
      </w:r>
      <w:r w:rsidR="003A031D" w:rsidRPr="003A031D">
        <w:t xml:space="preserve"> in order to better analy</w:t>
      </w:r>
      <w:r w:rsidR="003A031D">
        <w:t>s</w:t>
      </w:r>
      <w:r w:rsidR="003A031D" w:rsidRPr="003A031D">
        <w:t>e the clinical features, outcome and risk of second malignancies associated with these variants</w:t>
      </w:r>
      <w:r w:rsidR="003A031D">
        <w:t xml:space="preserve"> </w:t>
      </w:r>
      <w:r>
        <w:t>Radiological screening for medulloblastoma appears not to be justified in incidentally identified cases but the risks for siblings of medulloblastoma</w:t>
      </w:r>
      <w:r w:rsidR="00C624A2">
        <w:t xml:space="preserve"> cases</w:t>
      </w:r>
      <w:r>
        <w:t xml:space="preserve"> </w:t>
      </w:r>
      <w:r w:rsidR="00C624A2">
        <w:t xml:space="preserve">who are heterozygotes </w:t>
      </w:r>
      <w:r>
        <w:t>may still justify closer monitoring.</w:t>
      </w:r>
      <w:r w:rsidR="00C624A2">
        <w:t xml:space="preserve"> </w:t>
      </w:r>
      <w:r w:rsidR="00C624A2" w:rsidRPr="00240B1B">
        <w:rPr>
          <w:i/>
          <w:iCs/>
        </w:rPr>
        <w:t xml:space="preserve">ELP1 </w:t>
      </w:r>
      <w:r w:rsidR="00C624A2" w:rsidRPr="00240B1B">
        <w:t xml:space="preserve">and </w:t>
      </w:r>
      <w:r w:rsidR="00C624A2" w:rsidRPr="00240B1B">
        <w:rPr>
          <w:i/>
          <w:iCs/>
        </w:rPr>
        <w:t>GPR161</w:t>
      </w:r>
      <w:r w:rsidR="00C624A2">
        <w:rPr>
          <w:i/>
          <w:iCs/>
        </w:rPr>
        <w:t xml:space="preserve"> </w:t>
      </w:r>
      <w:r w:rsidR="00C624A2">
        <w:t xml:space="preserve">can be dismissed as candidates for </w:t>
      </w:r>
      <w:proofErr w:type="spellStart"/>
      <w:r w:rsidR="00BC766C" w:rsidRPr="00BC766C">
        <w:t>Gorlin</w:t>
      </w:r>
      <w:proofErr w:type="spellEnd"/>
      <w:r w:rsidR="00BC766C" w:rsidRPr="00BC766C">
        <w:t xml:space="preserve"> </w:t>
      </w:r>
      <w:r w:rsidR="00F031AB">
        <w:t>s</w:t>
      </w:r>
      <w:r w:rsidR="00BC766C" w:rsidRPr="00BC766C">
        <w:t>yndrome</w:t>
      </w:r>
      <w:r w:rsidR="00C624A2">
        <w:t xml:space="preserve"> and it now </w:t>
      </w:r>
      <w:r w:rsidR="00A555C9">
        <w:t xml:space="preserve">also </w:t>
      </w:r>
      <w:r w:rsidR="00C624A2">
        <w:t xml:space="preserve">seems unlikely that </w:t>
      </w:r>
      <w:r w:rsidR="00C624A2" w:rsidRPr="00D96EBC">
        <w:rPr>
          <w:i/>
        </w:rPr>
        <w:t>GPR161</w:t>
      </w:r>
      <w:r w:rsidR="00C624A2">
        <w:t xml:space="preserve"> homozygotes have </w:t>
      </w:r>
      <w:r w:rsidR="00C624A2" w:rsidRPr="00C624A2">
        <w:t>Pituitary Stalk Interruption Syndrome</w:t>
      </w:r>
      <w:r w:rsidR="00C624A2">
        <w:t>.</w:t>
      </w:r>
    </w:p>
    <w:p w14:paraId="78BB58D5" w14:textId="77777777" w:rsidR="00C624A2" w:rsidRPr="00A555C9" w:rsidRDefault="00C624A2" w:rsidP="006B6391">
      <w:pPr>
        <w:spacing w:line="360" w:lineRule="auto"/>
        <w:rPr>
          <w:b/>
          <w:bCs/>
        </w:rPr>
      </w:pPr>
    </w:p>
    <w:p w14:paraId="6A89F813" w14:textId="77777777" w:rsidR="006B6391" w:rsidRPr="00B26FEB" w:rsidRDefault="006B6391" w:rsidP="006B6391">
      <w:pPr>
        <w:pStyle w:val="EndNoteBibliography"/>
        <w:numPr>
          <w:ilvl w:val="0"/>
          <w:numId w:val="0"/>
        </w:numPr>
        <w:spacing w:line="480" w:lineRule="auto"/>
        <w:ind w:left="45"/>
        <w:rPr>
          <w:b/>
        </w:rPr>
      </w:pPr>
      <w:r w:rsidRPr="00B26FEB">
        <w:rPr>
          <w:b/>
        </w:rPr>
        <w:t>Data Availability Statement</w:t>
      </w:r>
    </w:p>
    <w:p w14:paraId="49FEEA83" w14:textId="77777777" w:rsidR="006B6391" w:rsidRPr="00B26FEB" w:rsidRDefault="006B6391" w:rsidP="006B6391">
      <w:pPr>
        <w:pStyle w:val="EndNoteBibliography"/>
        <w:numPr>
          <w:ilvl w:val="0"/>
          <w:numId w:val="0"/>
        </w:numPr>
        <w:spacing w:line="480" w:lineRule="auto"/>
        <w:ind w:left="45"/>
      </w:pPr>
      <w:r w:rsidRPr="00B26FEB">
        <w:t>The data that support the findings of this study are available on request from the corresponding author. The data are not publicly available due to privacy or ethical restrictions.</w:t>
      </w:r>
    </w:p>
    <w:p w14:paraId="0ADBCA08" w14:textId="77777777" w:rsidR="006B6391" w:rsidRPr="00B26FEB" w:rsidRDefault="006B6391" w:rsidP="006B6391">
      <w:pPr>
        <w:pStyle w:val="EndNoteBibliography"/>
        <w:numPr>
          <w:ilvl w:val="0"/>
          <w:numId w:val="0"/>
        </w:numPr>
        <w:spacing w:line="480" w:lineRule="auto"/>
        <w:ind w:left="45"/>
        <w:rPr>
          <w:b/>
        </w:rPr>
      </w:pPr>
      <w:r w:rsidRPr="00B26FEB">
        <w:rPr>
          <w:b/>
        </w:rPr>
        <w:t>Acknowledgements</w:t>
      </w:r>
    </w:p>
    <w:p w14:paraId="537775DC" w14:textId="2CE25978" w:rsidR="006B6391" w:rsidRPr="00B26FEB" w:rsidRDefault="006B6391" w:rsidP="006B6391">
      <w:pPr>
        <w:pStyle w:val="EndNoteBibliography"/>
        <w:numPr>
          <w:ilvl w:val="0"/>
          <w:numId w:val="0"/>
        </w:numPr>
        <w:spacing w:line="480" w:lineRule="auto"/>
        <w:ind w:left="45"/>
      </w:pPr>
      <w:r w:rsidRPr="00B26FEB">
        <w:t>This research was supported by the Manchester National Institute for Health Research (NIHR) Biomedical Research Centre (IS-BRC-1215-20007).</w:t>
      </w:r>
    </w:p>
    <w:p w14:paraId="28F163B2" w14:textId="7C21B384" w:rsidR="006B6391" w:rsidRPr="00B26FEB" w:rsidRDefault="006B6391" w:rsidP="006B6391">
      <w:pPr>
        <w:pStyle w:val="EndNoteBibliography"/>
        <w:numPr>
          <w:ilvl w:val="0"/>
          <w:numId w:val="0"/>
        </w:numPr>
        <w:spacing w:line="480" w:lineRule="auto"/>
        <w:ind w:left="45"/>
      </w:pPr>
      <w:r w:rsidRPr="00B26FEB">
        <w:rPr>
          <w:b/>
        </w:rPr>
        <w:t>Author Information</w:t>
      </w:r>
      <w:r w:rsidRPr="00B26FEB">
        <w:br/>
        <w:t>Conceptualization: D.G.E Formal analysis D.G.E.</w:t>
      </w:r>
      <w:r w:rsidR="00F55958" w:rsidRPr="00B26FEB">
        <w:t>, M.J.S.</w:t>
      </w:r>
      <w:r w:rsidRPr="00B26FEB">
        <w:t xml:space="preserve"> Funding acquisition: D.G.E., M.J.S. Writing – original draft: D.G.E Writing – review &amp; editing: all</w:t>
      </w:r>
    </w:p>
    <w:p w14:paraId="4F8A7749" w14:textId="77777777" w:rsidR="006B6391" w:rsidRPr="00B26FEB" w:rsidRDefault="006B6391" w:rsidP="006B6391">
      <w:pPr>
        <w:pStyle w:val="EndNoteBibliography"/>
        <w:numPr>
          <w:ilvl w:val="0"/>
          <w:numId w:val="0"/>
        </w:numPr>
        <w:spacing w:line="480" w:lineRule="auto"/>
        <w:ind w:left="45"/>
      </w:pPr>
      <w:r w:rsidRPr="00B26FEB">
        <w:rPr>
          <w:b/>
        </w:rPr>
        <w:t>Ethics declaration</w:t>
      </w:r>
      <w:r w:rsidRPr="00B26FEB">
        <w:br/>
        <w:t xml:space="preserve">Ethical approval for the use of anonymised samples from the Manchester Centre for Genomic </w:t>
      </w:r>
      <w:r w:rsidRPr="00B26FEB">
        <w:lastRenderedPageBreak/>
        <w:t xml:space="preserve">Medicine archive was obtained from the North West – Greater Manchester Central Research Ethics Committee (reference 10/H1008/74). </w:t>
      </w:r>
    </w:p>
    <w:p w14:paraId="44C40AE4" w14:textId="77777777" w:rsidR="006B6391" w:rsidRPr="00A555C9" w:rsidRDefault="006B6391">
      <w:pPr>
        <w:rPr>
          <w:b/>
          <w:bCs/>
        </w:rPr>
      </w:pPr>
      <w:r w:rsidRPr="00A555C9">
        <w:rPr>
          <w:b/>
          <w:bCs/>
        </w:rPr>
        <w:br w:type="page"/>
      </w:r>
    </w:p>
    <w:p w14:paraId="55890ABF" w14:textId="59E45592" w:rsidR="00240B1B" w:rsidRPr="00240B1B" w:rsidRDefault="00240B1B">
      <w:pPr>
        <w:rPr>
          <w:b/>
          <w:bCs/>
        </w:rPr>
      </w:pPr>
      <w:r w:rsidRPr="00240B1B">
        <w:rPr>
          <w:b/>
          <w:bCs/>
        </w:rPr>
        <w:lastRenderedPageBreak/>
        <w:t>References</w:t>
      </w:r>
    </w:p>
    <w:p w14:paraId="29059F10" w14:textId="57B3E295" w:rsidR="00974250" w:rsidRDefault="00974250"/>
    <w:p w14:paraId="6E5F2B13" w14:textId="77777777" w:rsidR="00296035" w:rsidRDefault="00296035" w:rsidP="00296035">
      <w:pPr>
        <w:pStyle w:val="ListParagraph"/>
        <w:numPr>
          <w:ilvl w:val="0"/>
          <w:numId w:val="3"/>
        </w:numPr>
      </w:pPr>
      <w:hyperlink r:id="rId7" w:history="1">
        <w:r w:rsidRPr="0016410F">
          <w:rPr>
            <w:rStyle w:val="Hyperlink"/>
          </w:rPr>
          <w:t>https://www.cancerresearchuk.org/about-cancer/childrens-cancer/brain-tumours/types/medulloblastoma</w:t>
        </w:r>
      </w:hyperlink>
    </w:p>
    <w:p w14:paraId="540462AD" w14:textId="77777777" w:rsidR="00296035" w:rsidRDefault="00296035" w:rsidP="00296035">
      <w:pPr>
        <w:pStyle w:val="ListParagraph"/>
        <w:numPr>
          <w:ilvl w:val="0"/>
          <w:numId w:val="3"/>
        </w:numPr>
      </w:pPr>
      <w:hyperlink r:id="rId8" w:anchor=":~:text=About%2020%25%20of%20childhood%20brain,ages%20of%205%20and%209" w:history="1">
        <w:r w:rsidRPr="0016410F">
          <w:rPr>
            <w:rStyle w:val="Hyperlink"/>
          </w:rPr>
          <w:t>https://www.cancer.net/cancer-types/medulloblastoma-childhood/statistics#:~:text=About%2020%25%20of%20childhood%20brain,ages%20of%205%20and%209</w:t>
        </w:r>
      </w:hyperlink>
      <w:r w:rsidRPr="00974250">
        <w:t>.</w:t>
      </w:r>
    </w:p>
    <w:p w14:paraId="6F8BD4F5" w14:textId="77777777" w:rsidR="00094AA1" w:rsidRDefault="00094AA1" w:rsidP="00094AA1">
      <w:pPr>
        <w:pStyle w:val="ListParagraph"/>
        <w:numPr>
          <w:ilvl w:val="0"/>
          <w:numId w:val="3"/>
        </w:numPr>
      </w:pPr>
      <w:r>
        <w:t xml:space="preserve">Guerrini-Rousseau L, Smith MJ, Kratz CP, et al (2021). Current recommendations for cancer surveillance in </w:t>
      </w:r>
      <w:proofErr w:type="spellStart"/>
      <w:r>
        <w:t>Gorlin</w:t>
      </w:r>
      <w:proofErr w:type="spellEnd"/>
      <w:r>
        <w:t xml:space="preserve"> syndrome: a report from the SIOPE host genome working group (SIOPE HGWG). Fam Cancer;20(4):317-325. </w:t>
      </w:r>
      <w:proofErr w:type="spellStart"/>
      <w:r>
        <w:t>doi</w:t>
      </w:r>
      <w:proofErr w:type="spellEnd"/>
      <w:r>
        <w:t xml:space="preserve">: 10.1007/s10689-021-00247-z. </w:t>
      </w:r>
    </w:p>
    <w:p w14:paraId="461CFA1C" w14:textId="7070E585" w:rsidR="0003729C" w:rsidRDefault="0003729C" w:rsidP="00B26FEB">
      <w:pPr>
        <w:pStyle w:val="ListParagraph"/>
        <w:numPr>
          <w:ilvl w:val="0"/>
          <w:numId w:val="3"/>
        </w:numPr>
      </w:pPr>
      <w:proofErr w:type="spellStart"/>
      <w:r>
        <w:t>Waszak</w:t>
      </w:r>
      <w:proofErr w:type="spellEnd"/>
      <w:r>
        <w:t xml:space="preserve"> SM, Robinson GW, </w:t>
      </w:r>
      <w:proofErr w:type="spellStart"/>
      <w:r>
        <w:t>Gudenas</w:t>
      </w:r>
      <w:proofErr w:type="spellEnd"/>
      <w:r>
        <w:t xml:space="preserve"> BL, </w:t>
      </w:r>
      <w:r w:rsidR="009E4EFF">
        <w:t>et al (2020)</w:t>
      </w:r>
      <w:r>
        <w:t xml:space="preserve">. Germline Elongator mutations in Sonic Hedgehog medulloblastoma. Nature;580(7803):396-401. </w:t>
      </w:r>
      <w:proofErr w:type="spellStart"/>
      <w:r>
        <w:t>doi</w:t>
      </w:r>
      <w:proofErr w:type="spellEnd"/>
      <w:r>
        <w:t>: 10.1038/s41586-020-2164-5.</w:t>
      </w:r>
    </w:p>
    <w:p w14:paraId="69784E04" w14:textId="14907EEA" w:rsidR="0003729C" w:rsidRDefault="0003729C" w:rsidP="00B26FEB">
      <w:pPr>
        <w:pStyle w:val="ListParagraph"/>
        <w:numPr>
          <w:ilvl w:val="0"/>
          <w:numId w:val="3"/>
        </w:numPr>
      </w:pPr>
      <w:proofErr w:type="spellStart"/>
      <w:r>
        <w:t>Begemann</w:t>
      </w:r>
      <w:proofErr w:type="spellEnd"/>
      <w:r>
        <w:t xml:space="preserve"> M, </w:t>
      </w:r>
      <w:proofErr w:type="spellStart"/>
      <w:r>
        <w:t>Waszak</w:t>
      </w:r>
      <w:proofErr w:type="spellEnd"/>
      <w:r>
        <w:t xml:space="preserve"> SM, Robinson GW, </w:t>
      </w:r>
      <w:r w:rsidR="009E4EFF">
        <w:t>et al (2020)</w:t>
      </w:r>
      <w:r>
        <w:t xml:space="preserve">. Germline GPR161 Mutations Predispose to </w:t>
      </w:r>
      <w:proofErr w:type="spellStart"/>
      <w:r>
        <w:t>Pediatric</w:t>
      </w:r>
      <w:proofErr w:type="spellEnd"/>
      <w:r>
        <w:t xml:space="preserve"> Medulloblastoma. J Clin Oncol;38(1):43-50. </w:t>
      </w:r>
      <w:proofErr w:type="spellStart"/>
      <w:r>
        <w:t>doi</w:t>
      </w:r>
      <w:proofErr w:type="spellEnd"/>
      <w:r>
        <w:t xml:space="preserve">: 10.1200/JCO.19.00577. </w:t>
      </w:r>
      <w:proofErr w:type="spellStart"/>
      <w:r>
        <w:t>Epub</w:t>
      </w:r>
      <w:proofErr w:type="spellEnd"/>
      <w:r>
        <w:t xml:space="preserve"> 2019 Oct 14.</w:t>
      </w:r>
    </w:p>
    <w:p w14:paraId="0AD43E27" w14:textId="1AE3638E" w:rsidR="00B1571D" w:rsidRDefault="00B1571D" w:rsidP="00B26FEB">
      <w:pPr>
        <w:pStyle w:val="ListParagraph"/>
        <w:numPr>
          <w:ilvl w:val="0"/>
          <w:numId w:val="3"/>
        </w:numPr>
      </w:pPr>
      <w:r>
        <w:t xml:space="preserve">Foulkes WD, </w:t>
      </w:r>
      <w:proofErr w:type="spellStart"/>
      <w:r>
        <w:t>Kamihara</w:t>
      </w:r>
      <w:proofErr w:type="spellEnd"/>
      <w:r>
        <w:t xml:space="preserve"> J, Evans DGR, </w:t>
      </w:r>
      <w:r w:rsidR="00EC4B20">
        <w:t>et al</w:t>
      </w:r>
      <w:r w:rsidR="009E4EFF">
        <w:t xml:space="preserve"> (2017)</w:t>
      </w:r>
      <w:r>
        <w:t xml:space="preserve">. Cancer Surveillance in </w:t>
      </w:r>
      <w:proofErr w:type="spellStart"/>
      <w:r>
        <w:t>Gorlin</w:t>
      </w:r>
      <w:proofErr w:type="spellEnd"/>
      <w:r>
        <w:t xml:space="preserve"> Syndrome and Rhabdoid </w:t>
      </w:r>
      <w:proofErr w:type="spellStart"/>
      <w:r>
        <w:t>Tumor</w:t>
      </w:r>
      <w:proofErr w:type="spellEnd"/>
      <w:r>
        <w:t xml:space="preserve"> Predisposition Syndrome. Clin Cancer Res;23(12):e62-e67. </w:t>
      </w:r>
      <w:proofErr w:type="spellStart"/>
      <w:r>
        <w:t>doi</w:t>
      </w:r>
      <w:proofErr w:type="spellEnd"/>
      <w:r>
        <w:t>: 10.1158/1078-0432.CCR-17-0595</w:t>
      </w:r>
    </w:p>
    <w:p w14:paraId="44D5B9E6" w14:textId="05CA15F5" w:rsidR="00B1571D" w:rsidRDefault="00B1571D" w:rsidP="00B26FEB">
      <w:pPr>
        <w:pStyle w:val="ListParagraph"/>
        <w:numPr>
          <w:ilvl w:val="0"/>
          <w:numId w:val="3"/>
        </w:numPr>
      </w:pPr>
      <w:r>
        <w:t xml:space="preserve">Evans DG, Howard E, Giblin C, </w:t>
      </w:r>
      <w:r w:rsidR="00EC4B20">
        <w:t>et al</w:t>
      </w:r>
      <w:r w:rsidR="009E4EFF">
        <w:t xml:space="preserve"> (2010)</w:t>
      </w:r>
      <w:r>
        <w:t>.</w:t>
      </w:r>
      <w:r w:rsidR="00146111">
        <w:t xml:space="preserve"> </w:t>
      </w:r>
      <w:r>
        <w:t xml:space="preserve">Birth incidence and prevalence of </w:t>
      </w:r>
      <w:proofErr w:type="spellStart"/>
      <w:r>
        <w:t>tumor</w:t>
      </w:r>
      <w:proofErr w:type="spellEnd"/>
      <w:r>
        <w:t xml:space="preserve">-prone syndromes: estimates from a UK family genetic register service. Am J Med Genet A;152A(2):327-32. </w:t>
      </w:r>
      <w:proofErr w:type="spellStart"/>
      <w:r>
        <w:t>doi</w:t>
      </w:r>
      <w:proofErr w:type="spellEnd"/>
      <w:r>
        <w:t>: 10.1002/ajmg.a.33139.</w:t>
      </w:r>
    </w:p>
    <w:p w14:paraId="5597C0FB" w14:textId="4205272B" w:rsidR="00146111" w:rsidRDefault="00146111" w:rsidP="00B26FEB">
      <w:pPr>
        <w:pStyle w:val="ListParagraph"/>
        <w:numPr>
          <w:ilvl w:val="0"/>
          <w:numId w:val="3"/>
        </w:numPr>
      </w:pPr>
      <w:r>
        <w:t>Smith MJ, Evans DG</w:t>
      </w:r>
      <w:r w:rsidR="009E4EFF">
        <w:t xml:space="preserve"> (2022)</w:t>
      </w:r>
      <w:r>
        <w:t xml:space="preserve">. PTCH2 is not a strong candidate gene for </w:t>
      </w:r>
      <w:proofErr w:type="spellStart"/>
      <w:r>
        <w:t>gorlin</w:t>
      </w:r>
      <w:proofErr w:type="spellEnd"/>
      <w:r>
        <w:t xml:space="preserve"> syndrome predisposition. Fam Cancer;21(3):343-346. </w:t>
      </w:r>
      <w:proofErr w:type="spellStart"/>
      <w:r>
        <w:t>doi</w:t>
      </w:r>
      <w:proofErr w:type="spellEnd"/>
      <w:r>
        <w:t>: 10.1007/s10689-021-00269-7.</w:t>
      </w:r>
    </w:p>
    <w:p w14:paraId="09489181" w14:textId="5D3FC06F" w:rsidR="009873C8" w:rsidRDefault="00240B1B" w:rsidP="00B26FEB">
      <w:pPr>
        <w:pStyle w:val="ListParagraph"/>
        <w:numPr>
          <w:ilvl w:val="0"/>
          <w:numId w:val="3"/>
        </w:numPr>
      </w:pPr>
      <w:proofErr w:type="spellStart"/>
      <w:r>
        <w:t>Karaca</w:t>
      </w:r>
      <w:proofErr w:type="spellEnd"/>
      <w:r>
        <w:t xml:space="preserve"> E, </w:t>
      </w:r>
      <w:proofErr w:type="spellStart"/>
      <w:r>
        <w:t>Buyukkaya</w:t>
      </w:r>
      <w:proofErr w:type="spellEnd"/>
      <w:r>
        <w:t xml:space="preserve"> R, </w:t>
      </w:r>
      <w:proofErr w:type="spellStart"/>
      <w:r>
        <w:t>Pehlivan</w:t>
      </w:r>
      <w:proofErr w:type="spellEnd"/>
      <w:r>
        <w:t xml:space="preserve"> D, </w:t>
      </w:r>
      <w:r w:rsidR="009E4EFF">
        <w:t>et al (2015)</w:t>
      </w:r>
      <w:r>
        <w:t xml:space="preserve">. Whole-exome sequencing identifies homozygous GPR161 mutation in a family with pituitary stalk interruption syndrome. J Clin Endocrinol </w:t>
      </w:r>
      <w:proofErr w:type="spellStart"/>
      <w:r>
        <w:t>Metab</w:t>
      </w:r>
      <w:proofErr w:type="spellEnd"/>
      <w:r>
        <w:t>;</w:t>
      </w:r>
      <w:r w:rsidR="00B26FEB">
        <w:t xml:space="preserve"> </w:t>
      </w:r>
      <w:r>
        <w:t xml:space="preserve">100(1):E140-7. </w:t>
      </w:r>
      <w:proofErr w:type="spellStart"/>
      <w:r>
        <w:t>doi</w:t>
      </w:r>
      <w:proofErr w:type="spellEnd"/>
      <w:r>
        <w:t>: 10.1210/jc.2014-1984.</w:t>
      </w:r>
    </w:p>
    <w:p w14:paraId="6D75C5DC" w14:textId="4F8A2567" w:rsidR="00B26FEB" w:rsidRDefault="00B26FEB" w:rsidP="00B26FEB">
      <w:pPr>
        <w:pStyle w:val="ListParagraph"/>
        <w:numPr>
          <w:ilvl w:val="0"/>
          <w:numId w:val="3"/>
        </w:numPr>
      </w:pPr>
      <w:r w:rsidRPr="00B26FEB">
        <w:t xml:space="preserve">Guo Q, Yang Y, Mu Y, </w:t>
      </w:r>
      <w:r w:rsidR="009E4EFF">
        <w:t>et al (2013)</w:t>
      </w:r>
      <w:r w:rsidRPr="00B26FEB">
        <w:t xml:space="preserve">: Pituitary stalk interruption syndrome in Chinese people: clinical characteristic analysis of 55 cases. </w:t>
      </w:r>
      <w:proofErr w:type="spellStart"/>
      <w:r w:rsidRPr="00B26FEB">
        <w:t>PLoS</w:t>
      </w:r>
      <w:proofErr w:type="spellEnd"/>
      <w:r w:rsidRPr="00B26FEB">
        <w:t xml:space="preserve"> One. 8: e53579-10.1371/journal.pone.0053579.</w:t>
      </w:r>
    </w:p>
    <w:p w14:paraId="11C91634" w14:textId="57C59D4C" w:rsidR="009E4EFF" w:rsidRDefault="009E4EFF" w:rsidP="009E4EFF"/>
    <w:p w14:paraId="3A649A92" w14:textId="77777777" w:rsidR="00EC4B20" w:rsidRDefault="00EC4B20">
      <w:pPr>
        <w:rPr>
          <w:b/>
          <w:bCs/>
        </w:rPr>
      </w:pPr>
      <w:r>
        <w:rPr>
          <w:b/>
          <w:bCs/>
        </w:rPr>
        <w:br w:type="page"/>
      </w:r>
    </w:p>
    <w:p w14:paraId="7D8A2144" w14:textId="2F6EDAFE" w:rsidR="009E4EFF" w:rsidRDefault="009E4EFF" w:rsidP="009E4EFF">
      <w:r w:rsidRPr="00A16190">
        <w:rPr>
          <w:b/>
          <w:bCs/>
        </w:rPr>
        <w:lastRenderedPageBreak/>
        <w:t>Table</w:t>
      </w:r>
      <w:r w:rsidR="00E07598">
        <w:rPr>
          <w:b/>
          <w:bCs/>
        </w:rPr>
        <w:t xml:space="preserve"> 1.</w:t>
      </w:r>
      <w:r>
        <w:t xml:space="preserve"> Cases of medulloblastoma annually in USA and UK and implied overall childhood risk with inferred odds ratios and childhood risk with</w:t>
      </w:r>
      <w:r w:rsidRPr="00D0183B">
        <w:rPr>
          <w:i/>
          <w:iCs/>
        </w:rPr>
        <w:t xml:space="preserve"> ELP1</w:t>
      </w:r>
      <w:r>
        <w:t xml:space="preserve"> and </w:t>
      </w:r>
      <w:r w:rsidRPr="00D0183B">
        <w:rPr>
          <w:i/>
          <w:iCs/>
        </w:rPr>
        <w:t>GPR161</w:t>
      </w:r>
      <w:r>
        <w:t xml:space="preserve"> variants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1701"/>
      </w:tblGrid>
      <w:tr w:rsidR="009E4EFF" w:rsidRPr="00974250" w14:paraId="2FF9DEAE" w14:textId="77777777" w:rsidTr="00D0183B">
        <w:trPr>
          <w:trHeight w:val="300"/>
        </w:trPr>
        <w:tc>
          <w:tcPr>
            <w:tcW w:w="5524" w:type="dxa"/>
            <w:noWrap/>
            <w:hideMark/>
          </w:tcPr>
          <w:p w14:paraId="372B2716" w14:textId="77777777" w:rsidR="009E4EFF" w:rsidRPr="00974250" w:rsidRDefault="009E4EFF" w:rsidP="005571AC"/>
        </w:tc>
        <w:tc>
          <w:tcPr>
            <w:tcW w:w="1559" w:type="dxa"/>
            <w:noWrap/>
            <w:hideMark/>
          </w:tcPr>
          <w:p w14:paraId="0D875ABA" w14:textId="77777777" w:rsidR="009E4EFF" w:rsidRPr="00974250" w:rsidRDefault="009E4EFF" w:rsidP="005571AC">
            <w:r w:rsidRPr="00974250">
              <w:t>UK</w:t>
            </w:r>
          </w:p>
        </w:tc>
        <w:tc>
          <w:tcPr>
            <w:tcW w:w="1701" w:type="dxa"/>
            <w:noWrap/>
            <w:hideMark/>
          </w:tcPr>
          <w:p w14:paraId="1CB03BFB" w14:textId="77777777" w:rsidR="009E4EFF" w:rsidRPr="00974250" w:rsidRDefault="009E4EFF" w:rsidP="005571AC">
            <w:r w:rsidRPr="00974250">
              <w:t>USA</w:t>
            </w:r>
          </w:p>
        </w:tc>
      </w:tr>
      <w:tr w:rsidR="009E4EFF" w:rsidRPr="00974250" w14:paraId="21131170" w14:textId="77777777" w:rsidTr="00D0183B">
        <w:trPr>
          <w:trHeight w:val="300"/>
        </w:trPr>
        <w:tc>
          <w:tcPr>
            <w:tcW w:w="5524" w:type="dxa"/>
            <w:noWrap/>
            <w:hideMark/>
          </w:tcPr>
          <w:p w14:paraId="1FE09287" w14:textId="77777777" w:rsidR="009E4EFF" w:rsidRPr="00974250" w:rsidRDefault="009E4EFF" w:rsidP="005571AC">
            <w:r w:rsidRPr="00974250">
              <w:t>medulloblastoma cases annually in children</w:t>
            </w:r>
          </w:p>
        </w:tc>
        <w:tc>
          <w:tcPr>
            <w:tcW w:w="1559" w:type="dxa"/>
            <w:noWrap/>
            <w:hideMark/>
          </w:tcPr>
          <w:p w14:paraId="05620C4E" w14:textId="41FE40CD" w:rsidR="009E4EFF" w:rsidRPr="00974250" w:rsidRDefault="009E4EFF" w:rsidP="005571AC">
            <w:r w:rsidRPr="00974250">
              <w:t>55</w:t>
            </w:r>
            <w:r>
              <w:t xml:space="preserve"> [</w:t>
            </w:r>
            <w:r w:rsidR="005B0C15">
              <w:t>1</w:t>
            </w:r>
            <w:r>
              <w:t>]</w:t>
            </w:r>
          </w:p>
        </w:tc>
        <w:tc>
          <w:tcPr>
            <w:tcW w:w="1701" w:type="dxa"/>
            <w:noWrap/>
            <w:hideMark/>
          </w:tcPr>
          <w:p w14:paraId="1D7EB5D9" w14:textId="5208C2E0" w:rsidR="009E4EFF" w:rsidRPr="00974250" w:rsidRDefault="009E4EFF" w:rsidP="005571AC">
            <w:r w:rsidRPr="00974250">
              <w:t>500</w:t>
            </w:r>
            <w:r>
              <w:t xml:space="preserve"> [</w:t>
            </w:r>
            <w:r w:rsidR="005B0C15">
              <w:t>2</w:t>
            </w:r>
            <w:r>
              <w:t>]</w:t>
            </w:r>
          </w:p>
        </w:tc>
      </w:tr>
      <w:tr w:rsidR="009E4EFF" w:rsidRPr="00974250" w14:paraId="52D265E1" w14:textId="77777777" w:rsidTr="00D0183B">
        <w:trPr>
          <w:trHeight w:val="300"/>
        </w:trPr>
        <w:tc>
          <w:tcPr>
            <w:tcW w:w="5524" w:type="dxa"/>
            <w:noWrap/>
            <w:hideMark/>
          </w:tcPr>
          <w:p w14:paraId="7390B3BA" w14:textId="3528F360" w:rsidR="009E4EFF" w:rsidRPr="00974250" w:rsidRDefault="009E4EFF" w:rsidP="005571AC">
            <w:r w:rsidRPr="00974250">
              <w:t>Children in UK</w:t>
            </w:r>
            <w:r>
              <w:t>/USA [</w:t>
            </w:r>
            <w:r w:rsidR="005B0C15">
              <w:t>ref 1,2 below table</w:t>
            </w:r>
            <w:r>
              <w:t>]</w:t>
            </w:r>
          </w:p>
        </w:tc>
        <w:tc>
          <w:tcPr>
            <w:tcW w:w="1559" w:type="dxa"/>
            <w:noWrap/>
            <w:hideMark/>
          </w:tcPr>
          <w:p w14:paraId="114BCFB3" w14:textId="77777777" w:rsidR="009E4EFF" w:rsidRPr="00974250" w:rsidRDefault="009E4EFF" w:rsidP="005571AC">
            <w:r w:rsidRPr="00974250">
              <w:t>12,700,000</w:t>
            </w:r>
          </w:p>
        </w:tc>
        <w:tc>
          <w:tcPr>
            <w:tcW w:w="1701" w:type="dxa"/>
            <w:noWrap/>
            <w:hideMark/>
          </w:tcPr>
          <w:p w14:paraId="246BB383" w14:textId="77777777" w:rsidR="009E4EFF" w:rsidRPr="00974250" w:rsidRDefault="009E4EFF" w:rsidP="005571AC">
            <w:r w:rsidRPr="001640CD">
              <w:t>72,822,113</w:t>
            </w:r>
          </w:p>
        </w:tc>
      </w:tr>
      <w:tr w:rsidR="009E4EFF" w:rsidRPr="00974250" w14:paraId="680A84EA" w14:textId="77777777" w:rsidTr="00D0183B">
        <w:trPr>
          <w:trHeight w:val="300"/>
        </w:trPr>
        <w:tc>
          <w:tcPr>
            <w:tcW w:w="5524" w:type="dxa"/>
            <w:noWrap/>
            <w:hideMark/>
          </w:tcPr>
          <w:p w14:paraId="6C9B58E7" w14:textId="77777777" w:rsidR="009E4EFF" w:rsidRPr="00974250" w:rsidRDefault="009E4EFF" w:rsidP="005571AC">
            <w:r w:rsidRPr="00974250">
              <w:t>16-year number of medulloblastoma</w:t>
            </w:r>
          </w:p>
        </w:tc>
        <w:tc>
          <w:tcPr>
            <w:tcW w:w="1559" w:type="dxa"/>
            <w:noWrap/>
            <w:hideMark/>
          </w:tcPr>
          <w:p w14:paraId="1EAE92E7" w14:textId="77777777" w:rsidR="009E4EFF" w:rsidRPr="00974250" w:rsidRDefault="009E4EFF" w:rsidP="005571AC">
            <w:r w:rsidRPr="00974250">
              <w:t>880</w:t>
            </w:r>
          </w:p>
        </w:tc>
        <w:tc>
          <w:tcPr>
            <w:tcW w:w="1701" w:type="dxa"/>
            <w:noWrap/>
            <w:hideMark/>
          </w:tcPr>
          <w:p w14:paraId="2A465A7F" w14:textId="77777777" w:rsidR="009E4EFF" w:rsidRPr="00974250" w:rsidRDefault="009E4EFF" w:rsidP="005571AC">
            <w:r w:rsidRPr="001640CD">
              <w:t>8000</w:t>
            </w:r>
          </w:p>
        </w:tc>
      </w:tr>
      <w:tr w:rsidR="009E4EFF" w:rsidRPr="00974250" w14:paraId="0A779AA3" w14:textId="77777777" w:rsidTr="00D0183B">
        <w:trPr>
          <w:trHeight w:val="300"/>
        </w:trPr>
        <w:tc>
          <w:tcPr>
            <w:tcW w:w="5524" w:type="dxa"/>
            <w:noWrap/>
            <w:hideMark/>
          </w:tcPr>
          <w:p w14:paraId="7699E97C" w14:textId="126FFC1E" w:rsidR="009E4EFF" w:rsidRPr="00974250" w:rsidRDefault="009E4EFF" w:rsidP="005571AC">
            <w:r w:rsidRPr="00974250">
              <w:t xml:space="preserve">% </w:t>
            </w:r>
            <w:proofErr w:type="gramStart"/>
            <w:r w:rsidR="005B0C15">
              <w:t>of</w:t>
            </w:r>
            <w:proofErr w:type="gramEnd"/>
            <w:r w:rsidR="005B0C15">
              <w:t xml:space="preserve"> children </w:t>
            </w:r>
            <w:r w:rsidRPr="00974250">
              <w:t>who develop MB</w:t>
            </w:r>
          </w:p>
        </w:tc>
        <w:tc>
          <w:tcPr>
            <w:tcW w:w="1559" w:type="dxa"/>
            <w:noWrap/>
            <w:hideMark/>
          </w:tcPr>
          <w:p w14:paraId="099F2A25" w14:textId="77777777" w:rsidR="009E4EFF" w:rsidRPr="00974250" w:rsidRDefault="009E4EFF" w:rsidP="005571AC">
            <w:r w:rsidRPr="00974250">
              <w:t>0.007%</w:t>
            </w:r>
          </w:p>
        </w:tc>
        <w:tc>
          <w:tcPr>
            <w:tcW w:w="1701" w:type="dxa"/>
            <w:noWrap/>
            <w:hideMark/>
          </w:tcPr>
          <w:p w14:paraId="3A2076BA" w14:textId="77777777" w:rsidR="009E4EFF" w:rsidRPr="00974250" w:rsidRDefault="009E4EFF" w:rsidP="005571AC">
            <w:r w:rsidRPr="001640CD">
              <w:t>0.011%</w:t>
            </w:r>
          </w:p>
        </w:tc>
      </w:tr>
      <w:tr w:rsidR="009E4EFF" w:rsidRPr="00974250" w14:paraId="60865749" w14:textId="77777777" w:rsidTr="00D0183B">
        <w:trPr>
          <w:trHeight w:val="300"/>
        </w:trPr>
        <w:tc>
          <w:tcPr>
            <w:tcW w:w="5524" w:type="dxa"/>
            <w:noWrap/>
            <w:hideMark/>
          </w:tcPr>
          <w:p w14:paraId="29740342" w14:textId="77777777" w:rsidR="009E4EFF" w:rsidRPr="00974250" w:rsidRDefault="009E4EFF" w:rsidP="005571AC">
            <w:r>
              <w:t>frequency</w:t>
            </w:r>
          </w:p>
        </w:tc>
        <w:tc>
          <w:tcPr>
            <w:tcW w:w="1559" w:type="dxa"/>
            <w:noWrap/>
            <w:hideMark/>
          </w:tcPr>
          <w:p w14:paraId="62ADBC9D" w14:textId="77777777" w:rsidR="009E4EFF" w:rsidRPr="00974250" w:rsidRDefault="009E4EFF" w:rsidP="005571AC">
            <w:r>
              <w:t xml:space="preserve">1 in </w:t>
            </w:r>
            <w:r w:rsidRPr="00974250">
              <w:t>14431.8</w:t>
            </w:r>
          </w:p>
        </w:tc>
        <w:tc>
          <w:tcPr>
            <w:tcW w:w="1701" w:type="dxa"/>
            <w:noWrap/>
            <w:hideMark/>
          </w:tcPr>
          <w:p w14:paraId="3E29B15F" w14:textId="77777777" w:rsidR="009E4EFF" w:rsidRPr="00974250" w:rsidRDefault="009E4EFF" w:rsidP="005571AC">
            <w:r>
              <w:t xml:space="preserve">1 in </w:t>
            </w:r>
            <w:r w:rsidRPr="001640CD">
              <w:t>9102.</w:t>
            </w:r>
            <w:r>
              <w:t>8</w:t>
            </w:r>
          </w:p>
        </w:tc>
      </w:tr>
      <w:tr w:rsidR="008F4BFC" w:rsidRPr="00974250" w14:paraId="5D1D2EC4" w14:textId="77777777" w:rsidTr="00D0183B">
        <w:trPr>
          <w:trHeight w:val="300"/>
        </w:trPr>
        <w:tc>
          <w:tcPr>
            <w:tcW w:w="5524" w:type="dxa"/>
            <w:noWrap/>
            <w:hideMark/>
          </w:tcPr>
          <w:p w14:paraId="1CCF7A31" w14:textId="55106B30" w:rsidR="008F4BFC" w:rsidRPr="00974250" w:rsidRDefault="008F4BFC" w:rsidP="008F4BFC">
            <w:r w:rsidRPr="00D0183B">
              <w:t>Proportion of MB associated with germline</w:t>
            </w:r>
            <w:r w:rsidRPr="008F4BFC">
              <w:rPr>
                <w:i/>
                <w:iCs/>
              </w:rPr>
              <w:t xml:space="preserve"> ELP1 PV </w:t>
            </w:r>
            <w:r>
              <w:t>[4]</w:t>
            </w:r>
          </w:p>
        </w:tc>
        <w:tc>
          <w:tcPr>
            <w:tcW w:w="1559" w:type="dxa"/>
            <w:noWrap/>
            <w:hideMark/>
          </w:tcPr>
          <w:p w14:paraId="5E8F6824" w14:textId="0277339F" w:rsidR="008F4BFC" w:rsidRPr="00974250" w:rsidRDefault="008F4BFC" w:rsidP="008F4BFC">
            <w:r w:rsidRPr="00974250">
              <w:t>23</w:t>
            </w:r>
            <w:r>
              <w:t>/713 (3.23%)</w:t>
            </w:r>
          </w:p>
        </w:tc>
        <w:tc>
          <w:tcPr>
            <w:tcW w:w="1701" w:type="dxa"/>
            <w:noWrap/>
            <w:hideMark/>
          </w:tcPr>
          <w:p w14:paraId="3E9B0BB7" w14:textId="77832156" w:rsidR="008F4BFC" w:rsidRPr="00974250" w:rsidRDefault="008F4BFC" w:rsidP="008F4BFC">
            <w:r w:rsidRPr="00974250">
              <w:t>23</w:t>
            </w:r>
            <w:r>
              <w:t>/713    (3.23%)</w:t>
            </w:r>
          </w:p>
        </w:tc>
      </w:tr>
      <w:tr w:rsidR="008F4BFC" w:rsidRPr="00974250" w14:paraId="2440AA94" w14:textId="77777777" w:rsidTr="00D0183B">
        <w:trPr>
          <w:trHeight w:val="300"/>
        </w:trPr>
        <w:tc>
          <w:tcPr>
            <w:tcW w:w="5524" w:type="dxa"/>
            <w:noWrap/>
            <w:hideMark/>
          </w:tcPr>
          <w:p w14:paraId="4397F363" w14:textId="7F0D8835" w:rsidR="008F4BFC" w:rsidRPr="00974250" w:rsidRDefault="008F4BFC" w:rsidP="008F4BFC">
            <w:r w:rsidRPr="00974250">
              <w:t xml:space="preserve">Controls in </w:t>
            </w:r>
            <w:proofErr w:type="spellStart"/>
            <w:r w:rsidRPr="00974250">
              <w:t>gnomAD</w:t>
            </w:r>
            <w:proofErr w:type="spellEnd"/>
            <w:r w:rsidRPr="00974250">
              <w:t xml:space="preserve"> with ELP1</w:t>
            </w:r>
            <w:r>
              <w:t xml:space="preserve"> [from ref 4]</w:t>
            </w:r>
          </w:p>
        </w:tc>
        <w:tc>
          <w:tcPr>
            <w:tcW w:w="1559" w:type="dxa"/>
            <w:noWrap/>
            <w:hideMark/>
          </w:tcPr>
          <w:p w14:paraId="3761032B" w14:textId="693BA168" w:rsidR="008F4BFC" w:rsidRPr="00974250" w:rsidRDefault="008F4BFC" w:rsidP="008F4BFC">
            <w:r w:rsidRPr="00974250">
              <w:t>114</w:t>
            </w:r>
          </w:p>
        </w:tc>
        <w:tc>
          <w:tcPr>
            <w:tcW w:w="1701" w:type="dxa"/>
            <w:noWrap/>
            <w:hideMark/>
          </w:tcPr>
          <w:p w14:paraId="1FC3592C" w14:textId="75EB7007" w:rsidR="008F4BFC" w:rsidRPr="00974250" w:rsidRDefault="008F4BFC" w:rsidP="008F4BFC">
            <w:r w:rsidRPr="001640CD">
              <w:t>114</w:t>
            </w:r>
          </w:p>
        </w:tc>
      </w:tr>
      <w:tr w:rsidR="008F4BFC" w:rsidRPr="00974250" w14:paraId="12385BDA" w14:textId="77777777" w:rsidTr="00D0183B">
        <w:trPr>
          <w:trHeight w:val="300"/>
        </w:trPr>
        <w:tc>
          <w:tcPr>
            <w:tcW w:w="5524" w:type="dxa"/>
            <w:noWrap/>
            <w:hideMark/>
          </w:tcPr>
          <w:p w14:paraId="5FDCAF14" w14:textId="452F4D65" w:rsidR="008F4BFC" w:rsidRPr="00974250" w:rsidRDefault="008F4BFC" w:rsidP="008F4BFC">
            <w:r>
              <w:t xml:space="preserve">All tested in </w:t>
            </w:r>
            <w:proofErr w:type="spellStart"/>
            <w:r>
              <w:t>gnomAD</w:t>
            </w:r>
            <w:proofErr w:type="spellEnd"/>
            <w:r>
              <w:t xml:space="preserve"> [from ref 4]</w:t>
            </w:r>
          </w:p>
        </w:tc>
        <w:tc>
          <w:tcPr>
            <w:tcW w:w="1559" w:type="dxa"/>
            <w:noWrap/>
            <w:hideMark/>
          </w:tcPr>
          <w:p w14:paraId="30357EC3" w14:textId="6B3B0881" w:rsidR="008F4BFC" w:rsidRPr="00974250" w:rsidRDefault="008F4BFC" w:rsidP="008F4BFC">
            <w:r w:rsidRPr="00974250">
              <w:t>118479</w:t>
            </w:r>
          </w:p>
        </w:tc>
        <w:tc>
          <w:tcPr>
            <w:tcW w:w="1701" w:type="dxa"/>
            <w:noWrap/>
            <w:hideMark/>
          </w:tcPr>
          <w:p w14:paraId="0F4CD948" w14:textId="7C215B5F" w:rsidR="008F4BFC" w:rsidRPr="00974250" w:rsidRDefault="008F4BFC" w:rsidP="008F4BFC">
            <w:r w:rsidRPr="001640CD">
              <w:t>118479</w:t>
            </w:r>
          </w:p>
        </w:tc>
      </w:tr>
      <w:tr w:rsidR="008F4BFC" w:rsidRPr="00974250" w14:paraId="2E166D58" w14:textId="77777777" w:rsidTr="00D0183B">
        <w:trPr>
          <w:trHeight w:val="300"/>
        </w:trPr>
        <w:tc>
          <w:tcPr>
            <w:tcW w:w="5524" w:type="dxa"/>
            <w:noWrap/>
            <w:hideMark/>
          </w:tcPr>
          <w:p w14:paraId="1728729E" w14:textId="7982A6BD" w:rsidR="008F4BFC" w:rsidRPr="00974250" w:rsidRDefault="008F4BFC" w:rsidP="008F4BFC">
            <w:r w:rsidRPr="00974250">
              <w:t xml:space="preserve">% </w:t>
            </w:r>
            <w:proofErr w:type="gramStart"/>
            <w:r w:rsidRPr="00974250">
              <w:t>with</w:t>
            </w:r>
            <w:proofErr w:type="gramEnd"/>
            <w:r w:rsidRPr="00974250">
              <w:t xml:space="preserve"> EL</w:t>
            </w:r>
            <w:r>
              <w:t>P</w:t>
            </w:r>
            <w:r w:rsidRPr="00974250">
              <w:t>1</w:t>
            </w:r>
            <w:r>
              <w:t xml:space="preserve"> in general population</w:t>
            </w:r>
          </w:p>
        </w:tc>
        <w:tc>
          <w:tcPr>
            <w:tcW w:w="1559" w:type="dxa"/>
            <w:noWrap/>
            <w:hideMark/>
          </w:tcPr>
          <w:p w14:paraId="05C1E8A0" w14:textId="529BA34E" w:rsidR="008F4BFC" w:rsidRPr="00974250" w:rsidRDefault="008F4BFC" w:rsidP="008F4BFC">
            <w:r w:rsidRPr="00974250">
              <w:t>0.0962%</w:t>
            </w:r>
          </w:p>
        </w:tc>
        <w:tc>
          <w:tcPr>
            <w:tcW w:w="1701" w:type="dxa"/>
            <w:noWrap/>
            <w:hideMark/>
          </w:tcPr>
          <w:p w14:paraId="7B05F1B4" w14:textId="7662DFC5" w:rsidR="008F4BFC" w:rsidRPr="00974250" w:rsidRDefault="008F4BFC" w:rsidP="008F4BFC">
            <w:r w:rsidRPr="001640CD">
              <w:t>0.0962%</w:t>
            </w:r>
          </w:p>
        </w:tc>
      </w:tr>
      <w:tr w:rsidR="008F4BFC" w:rsidRPr="00974250" w14:paraId="7CBC75D8" w14:textId="77777777" w:rsidTr="00D0183B">
        <w:trPr>
          <w:trHeight w:val="300"/>
        </w:trPr>
        <w:tc>
          <w:tcPr>
            <w:tcW w:w="5524" w:type="dxa"/>
            <w:noWrap/>
            <w:hideMark/>
          </w:tcPr>
          <w:p w14:paraId="2D6D92A0" w14:textId="6046D5E4" w:rsidR="008F4BFC" w:rsidRPr="00974250" w:rsidRDefault="008F4BFC" w:rsidP="008F4BFC">
            <w:r w:rsidRPr="00974250">
              <w:t>O</w:t>
            </w:r>
            <w:r>
              <w:t xml:space="preserve">dds </w:t>
            </w:r>
            <w:r w:rsidRPr="00974250">
              <w:t>R</w:t>
            </w:r>
            <w:r>
              <w:t>atio</w:t>
            </w:r>
            <w:r w:rsidRPr="00974250">
              <w:t xml:space="preserve"> of MB in ELP1</w:t>
            </w:r>
          </w:p>
        </w:tc>
        <w:tc>
          <w:tcPr>
            <w:tcW w:w="1559" w:type="dxa"/>
            <w:noWrap/>
            <w:hideMark/>
          </w:tcPr>
          <w:p w14:paraId="5F9ECCCE" w14:textId="02D9F23C" w:rsidR="008F4BFC" w:rsidRPr="00974250" w:rsidRDefault="008F4BFC" w:rsidP="008F4BFC">
            <w:r w:rsidRPr="00974250">
              <w:t>33.53</w:t>
            </w:r>
          </w:p>
        </w:tc>
        <w:tc>
          <w:tcPr>
            <w:tcW w:w="1701" w:type="dxa"/>
            <w:noWrap/>
            <w:hideMark/>
          </w:tcPr>
          <w:p w14:paraId="6A23DC04" w14:textId="5DA00E3E" w:rsidR="008F4BFC" w:rsidRPr="00974250" w:rsidRDefault="008F4BFC" w:rsidP="008F4BFC">
            <w:r w:rsidRPr="001640CD">
              <w:t>33.53</w:t>
            </w:r>
          </w:p>
        </w:tc>
      </w:tr>
      <w:tr w:rsidR="008F4BFC" w:rsidRPr="00974250" w14:paraId="10B8EBE4" w14:textId="77777777" w:rsidTr="00D0183B">
        <w:trPr>
          <w:trHeight w:val="300"/>
        </w:trPr>
        <w:tc>
          <w:tcPr>
            <w:tcW w:w="5524" w:type="dxa"/>
            <w:noWrap/>
            <w:hideMark/>
          </w:tcPr>
          <w:p w14:paraId="6501CAFD" w14:textId="5F755A4B" w:rsidR="008F4BFC" w:rsidRPr="00974250" w:rsidRDefault="008F4BFC" w:rsidP="008F4BFC">
            <w:bookmarkStart w:id="2" w:name="_Hlk119431645"/>
            <w:r w:rsidRPr="00974250">
              <w:t xml:space="preserve">Chance of developing childhood MB with </w:t>
            </w:r>
            <w:r w:rsidRPr="008F4BFC">
              <w:rPr>
                <w:i/>
                <w:iCs/>
              </w:rPr>
              <w:t>ELP1</w:t>
            </w:r>
          </w:p>
        </w:tc>
        <w:tc>
          <w:tcPr>
            <w:tcW w:w="1559" w:type="dxa"/>
            <w:noWrap/>
            <w:hideMark/>
          </w:tcPr>
          <w:p w14:paraId="10D53EEE" w14:textId="45BB810A" w:rsidR="008F4BFC" w:rsidRPr="00974250" w:rsidRDefault="008F4BFC" w:rsidP="008F4BFC">
            <w:r w:rsidRPr="00974250">
              <w:t>0.23%</w:t>
            </w:r>
          </w:p>
        </w:tc>
        <w:tc>
          <w:tcPr>
            <w:tcW w:w="1701" w:type="dxa"/>
            <w:noWrap/>
            <w:hideMark/>
          </w:tcPr>
          <w:p w14:paraId="5FDBDCF7" w14:textId="7E56CDBF" w:rsidR="008F4BFC" w:rsidRPr="00974250" w:rsidRDefault="008F4BFC" w:rsidP="008F4BFC">
            <w:r w:rsidRPr="001640CD">
              <w:t>0.37%</w:t>
            </w:r>
          </w:p>
        </w:tc>
      </w:tr>
      <w:tr w:rsidR="008F4BFC" w:rsidRPr="00974250" w14:paraId="274BEC0B" w14:textId="77777777" w:rsidTr="00D0183B">
        <w:trPr>
          <w:trHeight w:val="300"/>
        </w:trPr>
        <w:tc>
          <w:tcPr>
            <w:tcW w:w="5524" w:type="dxa"/>
            <w:noWrap/>
            <w:hideMark/>
          </w:tcPr>
          <w:p w14:paraId="213E3C7B" w14:textId="42B8E426" w:rsidR="008F4BFC" w:rsidRPr="00974250" w:rsidRDefault="008F4BFC" w:rsidP="008F4BFC">
            <w:r w:rsidRPr="00974250">
              <w:t xml:space="preserve">1 in </w:t>
            </w:r>
            <w:r>
              <w:t xml:space="preserve">x chance </w:t>
            </w:r>
            <w:r w:rsidRPr="006D4EB5">
              <w:t>of developing childhood</w:t>
            </w:r>
            <w:r w:rsidR="00566FE5">
              <w:t xml:space="preserve"> (&lt;16y) </w:t>
            </w:r>
            <w:r w:rsidRPr="006D4EB5">
              <w:t xml:space="preserve">MB with </w:t>
            </w:r>
            <w:r w:rsidRPr="00D0183B">
              <w:rPr>
                <w:i/>
                <w:iCs/>
              </w:rPr>
              <w:t>ELP1</w:t>
            </w:r>
          </w:p>
        </w:tc>
        <w:tc>
          <w:tcPr>
            <w:tcW w:w="1559" w:type="dxa"/>
            <w:noWrap/>
            <w:hideMark/>
          </w:tcPr>
          <w:p w14:paraId="6BA30C6E" w14:textId="4A155215" w:rsidR="008F4BFC" w:rsidRPr="00974250" w:rsidRDefault="008F4BFC" w:rsidP="008F4BFC">
            <w:r>
              <w:t xml:space="preserve">1 in </w:t>
            </w:r>
            <w:r w:rsidRPr="00974250">
              <w:t>430.4</w:t>
            </w:r>
          </w:p>
        </w:tc>
        <w:tc>
          <w:tcPr>
            <w:tcW w:w="1701" w:type="dxa"/>
            <w:noWrap/>
            <w:hideMark/>
          </w:tcPr>
          <w:p w14:paraId="6920B851" w14:textId="2EFAC606" w:rsidR="008F4BFC" w:rsidRPr="00974250" w:rsidRDefault="008F4BFC" w:rsidP="008F4BFC">
            <w:r>
              <w:t xml:space="preserve">1 in </w:t>
            </w:r>
            <w:r w:rsidRPr="001640CD">
              <w:t>271.5</w:t>
            </w:r>
          </w:p>
        </w:tc>
      </w:tr>
      <w:tr w:rsidR="008F4BFC" w:rsidRPr="00974250" w14:paraId="418B8763" w14:textId="77777777" w:rsidTr="00D0183B">
        <w:trPr>
          <w:trHeight w:val="300"/>
        </w:trPr>
        <w:tc>
          <w:tcPr>
            <w:tcW w:w="5524" w:type="dxa"/>
            <w:noWrap/>
            <w:hideMark/>
          </w:tcPr>
          <w:p w14:paraId="26AB3C10" w14:textId="36816C83" w:rsidR="008F4BFC" w:rsidRPr="008F4BFC" w:rsidRDefault="008F4BFC" w:rsidP="008F4BFC">
            <w:r w:rsidRPr="00D0183B">
              <w:t>Proportion of MB associated with germline</w:t>
            </w:r>
            <w:r>
              <w:t xml:space="preserve"> </w:t>
            </w:r>
            <w:r w:rsidRPr="008F4BFC">
              <w:rPr>
                <w:i/>
                <w:iCs/>
              </w:rPr>
              <w:t>GPR161</w:t>
            </w:r>
            <w:r>
              <w:rPr>
                <w:i/>
                <w:iCs/>
              </w:rPr>
              <w:t xml:space="preserve"> </w:t>
            </w:r>
            <w:r>
              <w:t>PV</w:t>
            </w:r>
          </w:p>
        </w:tc>
        <w:tc>
          <w:tcPr>
            <w:tcW w:w="1559" w:type="dxa"/>
            <w:noWrap/>
            <w:hideMark/>
          </w:tcPr>
          <w:p w14:paraId="122BF207" w14:textId="6D009DC0" w:rsidR="008F4BFC" w:rsidRPr="00974250" w:rsidRDefault="008F4BFC" w:rsidP="008F4BFC">
            <w:r w:rsidRPr="00974250">
              <w:t>4</w:t>
            </w:r>
            <w:r>
              <w:t>*/1040 (0.38%</w:t>
            </w:r>
          </w:p>
        </w:tc>
        <w:tc>
          <w:tcPr>
            <w:tcW w:w="1701" w:type="dxa"/>
            <w:noWrap/>
            <w:hideMark/>
          </w:tcPr>
          <w:p w14:paraId="3AF0C392" w14:textId="7FC69BF3" w:rsidR="008F4BFC" w:rsidRPr="00974250" w:rsidRDefault="008F4BFC" w:rsidP="008F4BFC">
            <w:r w:rsidRPr="001640CD">
              <w:t>4</w:t>
            </w:r>
            <w:r>
              <w:t>*/1040    (0.38%)</w:t>
            </w:r>
          </w:p>
        </w:tc>
      </w:tr>
      <w:bookmarkEnd w:id="2"/>
      <w:tr w:rsidR="008F4BFC" w:rsidRPr="00974250" w14:paraId="6FA226BA" w14:textId="77777777" w:rsidTr="00D0183B">
        <w:trPr>
          <w:trHeight w:val="300"/>
        </w:trPr>
        <w:tc>
          <w:tcPr>
            <w:tcW w:w="5524" w:type="dxa"/>
            <w:noWrap/>
            <w:hideMark/>
          </w:tcPr>
          <w:p w14:paraId="20D5C885" w14:textId="69672328" w:rsidR="008F4BFC" w:rsidRPr="00974250" w:rsidRDefault="008F4BFC" w:rsidP="008F4BFC">
            <w:r w:rsidRPr="00974250">
              <w:t xml:space="preserve">Controls in </w:t>
            </w:r>
            <w:proofErr w:type="spellStart"/>
            <w:r w:rsidRPr="00974250">
              <w:t>gnomAD</w:t>
            </w:r>
            <w:proofErr w:type="spellEnd"/>
            <w:r w:rsidRPr="00974250">
              <w:t xml:space="preserve"> with ELP1</w:t>
            </w:r>
          </w:p>
        </w:tc>
        <w:tc>
          <w:tcPr>
            <w:tcW w:w="1559" w:type="dxa"/>
            <w:noWrap/>
            <w:hideMark/>
          </w:tcPr>
          <w:p w14:paraId="447A4AD7" w14:textId="42D1CA4B" w:rsidR="008F4BFC" w:rsidRPr="00974250" w:rsidRDefault="008F4BFC" w:rsidP="008F4BFC">
            <w:r w:rsidRPr="00974250">
              <w:t>86</w:t>
            </w:r>
          </w:p>
        </w:tc>
        <w:tc>
          <w:tcPr>
            <w:tcW w:w="1701" w:type="dxa"/>
            <w:noWrap/>
            <w:hideMark/>
          </w:tcPr>
          <w:p w14:paraId="2296009C" w14:textId="14EEB459" w:rsidR="008F4BFC" w:rsidRPr="00974250" w:rsidRDefault="008F4BFC" w:rsidP="008F4BFC">
            <w:r w:rsidRPr="001640CD">
              <w:t>86</w:t>
            </w:r>
          </w:p>
        </w:tc>
      </w:tr>
      <w:tr w:rsidR="008F4BFC" w:rsidRPr="00974250" w14:paraId="69DF8303" w14:textId="77777777" w:rsidTr="00D0183B">
        <w:trPr>
          <w:trHeight w:val="300"/>
        </w:trPr>
        <w:tc>
          <w:tcPr>
            <w:tcW w:w="5524" w:type="dxa"/>
            <w:noWrap/>
            <w:hideMark/>
          </w:tcPr>
          <w:p w14:paraId="3AB4A768" w14:textId="497CB665" w:rsidR="008F4BFC" w:rsidRPr="00974250" w:rsidRDefault="008F4BFC" w:rsidP="008F4BFC">
            <w:r>
              <w:t xml:space="preserve">All tested in </w:t>
            </w:r>
            <w:proofErr w:type="spellStart"/>
            <w:r>
              <w:t>gnomAD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F8701BF" w14:textId="29FCD097" w:rsidR="008F4BFC" w:rsidRPr="00974250" w:rsidRDefault="008F4BFC" w:rsidP="008F4BFC">
            <w:r w:rsidRPr="00974250">
              <w:t>125153</w:t>
            </w:r>
          </w:p>
        </w:tc>
        <w:tc>
          <w:tcPr>
            <w:tcW w:w="1701" w:type="dxa"/>
            <w:noWrap/>
            <w:hideMark/>
          </w:tcPr>
          <w:p w14:paraId="395AC25F" w14:textId="059E1E37" w:rsidR="008F4BFC" w:rsidRPr="00974250" w:rsidRDefault="008F4BFC" w:rsidP="008F4BFC">
            <w:r w:rsidRPr="001640CD">
              <w:t>125153</w:t>
            </w:r>
          </w:p>
        </w:tc>
      </w:tr>
      <w:tr w:rsidR="008F4BFC" w:rsidRPr="00974250" w14:paraId="0F579E7F" w14:textId="77777777" w:rsidTr="00D0183B">
        <w:trPr>
          <w:trHeight w:val="300"/>
        </w:trPr>
        <w:tc>
          <w:tcPr>
            <w:tcW w:w="5524" w:type="dxa"/>
            <w:noWrap/>
            <w:hideMark/>
          </w:tcPr>
          <w:p w14:paraId="3EB1F563" w14:textId="339FADDC" w:rsidR="008F4BFC" w:rsidRPr="00974250" w:rsidRDefault="008F4BFC" w:rsidP="008F4BFC">
            <w:r w:rsidRPr="00974250">
              <w:t xml:space="preserve">% </w:t>
            </w:r>
            <w:proofErr w:type="gramStart"/>
            <w:r w:rsidRPr="00974250">
              <w:t>with</w:t>
            </w:r>
            <w:proofErr w:type="gramEnd"/>
            <w:r w:rsidRPr="00974250">
              <w:t xml:space="preserve"> </w:t>
            </w:r>
            <w:r w:rsidRPr="00D0183B">
              <w:rPr>
                <w:i/>
                <w:iCs/>
              </w:rPr>
              <w:t>GPR161</w:t>
            </w:r>
          </w:p>
        </w:tc>
        <w:tc>
          <w:tcPr>
            <w:tcW w:w="1559" w:type="dxa"/>
            <w:noWrap/>
            <w:hideMark/>
          </w:tcPr>
          <w:p w14:paraId="4C1FB500" w14:textId="0FDDA9DD" w:rsidR="008F4BFC" w:rsidRPr="00974250" w:rsidRDefault="008F4BFC" w:rsidP="008F4BFC">
            <w:r w:rsidRPr="00974250">
              <w:t>0.06</w:t>
            </w:r>
            <w:r w:rsidR="00566FE5">
              <w:t>9</w:t>
            </w:r>
            <w:r w:rsidRPr="00974250">
              <w:t>%</w:t>
            </w:r>
          </w:p>
        </w:tc>
        <w:tc>
          <w:tcPr>
            <w:tcW w:w="1701" w:type="dxa"/>
            <w:noWrap/>
            <w:hideMark/>
          </w:tcPr>
          <w:p w14:paraId="776F9943" w14:textId="45CA4E10" w:rsidR="008F4BFC" w:rsidRPr="00974250" w:rsidRDefault="008F4BFC" w:rsidP="008F4BFC">
            <w:r w:rsidRPr="001640CD">
              <w:t>0.06</w:t>
            </w:r>
            <w:r w:rsidR="00566FE5">
              <w:t>9</w:t>
            </w:r>
            <w:r w:rsidRPr="001640CD">
              <w:t>%</w:t>
            </w:r>
          </w:p>
        </w:tc>
      </w:tr>
      <w:tr w:rsidR="008F4BFC" w:rsidRPr="00974250" w14:paraId="4D6F0537" w14:textId="77777777" w:rsidTr="00D0183B">
        <w:trPr>
          <w:trHeight w:val="300"/>
        </w:trPr>
        <w:tc>
          <w:tcPr>
            <w:tcW w:w="5524" w:type="dxa"/>
            <w:noWrap/>
            <w:hideMark/>
          </w:tcPr>
          <w:p w14:paraId="2F682B0E" w14:textId="7D21A04A" w:rsidR="008F4BFC" w:rsidRPr="00974250" w:rsidRDefault="008F4BFC" w:rsidP="008F4BFC">
            <w:r w:rsidRPr="00974250">
              <w:t xml:space="preserve">OR of MB in </w:t>
            </w:r>
            <w:r w:rsidR="00566FE5">
              <w:rPr>
                <w:i/>
                <w:iCs/>
              </w:rPr>
              <w:t xml:space="preserve"> </w:t>
            </w:r>
            <w:r w:rsidR="00566FE5" w:rsidRPr="00FF28A0">
              <w:rPr>
                <w:i/>
                <w:iCs/>
              </w:rPr>
              <w:t>GPR161</w:t>
            </w:r>
          </w:p>
        </w:tc>
        <w:tc>
          <w:tcPr>
            <w:tcW w:w="1559" w:type="dxa"/>
            <w:noWrap/>
            <w:hideMark/>
          </w:tcPr>
          <w:p w14:paraId="4A488569" w14:textId="6A1954C9" w:rsidR="008F4BFC" w:rsidRPr="00974250" w:rsidRDefault="008F4BFC" w:rsidP="008F4BFC">
            <w:r w:rsidRPr="00974250">
              <w:t>5.60</w:t>
            </w:r>
          </w:p>
        </w:tc>
        <w:tc>
          <w:tcPr>
            <w:tcW w:w="1701" w:type="dxa"/>
            <w:noWrap/>
            <w:hideMark/>
          </w:tcPr>
          <w:p w14:paraId="5B32F85E" w14:textId="0C0D0138" w:rsidR="008F4BFC" w:rsidRPr="00974250" w:rsidRDefault="008F4BFC" w:rsidP="008F4BFC">
            <w:r w:rsidRPr="001640CD">
              <w:t>5.60</w:t>
            </w:r>
          </w:p>
        </w:tc>
      </w:tr>
      <w:tr w:rsidR="008F4BFC" w:rsidRPr="00974250" w14:paraId="45117E99" w14:textId="77777777" w:rsidTr="00D0183B">
        <w:trPr>
          <w:trHeight w:val="300"/>
        </w:trPr>
        <w:tc>
          <w:tcPr>
            <w:tcW w:w="5524" w:type="dxa"/>
            <w:noWrap/>
            <w:hideMark/>
          </w:tcPr>
          <w:p w14:paraId="3727EB5E" w14:textId="64F86E04" w:rsidR="008F4BFC" w:rsidRPr="00974250" w:rsidRDefault="008F4BFC" w:rsidP="008F4BFC">
            <w:r w:rsidRPr="00974250">
              <w:t xml:space="preserve">Chance of developing childhood MB with </w:t>
            </w:r>
            <w:r w:rsidRPr="008F4BFC">
              <w:rPr>
                <w:i/>
                <w:iCs/>
              </w:rPr>
              <w:t>GPR161</w:t>
            </w:r>
          </w:p>
        </w:tc>
        <w:tc>
          <w:tcPr>
            <w:tcW w:w="1559" w:type="dxa"/>
            <w:noWrap/>
            <w:hideMark/>
          </w:tcPr>
          <w:p w14:paraId="117D4D91" w14:textId="32EEF5C9" w:rsidR="008F4BFC" w:rsidRPr="00974250" w:rsidRDefault="008F4BFC" w:rsidP="008F4BFC">
            <w:r w:rsidRPr="00974250">
              <w:t>0.04%</w:t>
            </w:r>
          </w:p>
        </w:tc>
        <w:tc>
          <w:tcPr>
            <w:tcW w:w="1701" w:type="dxa"/>
            <w:noWrap/>
            <w:hideMark/>
          </w:tcPr>
          <w:p w14:paraId="0F15740B" w14:textId="0DDCE150" w:rsidR="008F4BFC" w:rsidRPr="00974250" w:rsidRDefault="008F4BFC" w:rsidP="008F4BFC">
            <w:r w:rsidRPr="001640CD">
              <w:t>0.06%</w:t>
            </w:r>
          </w:p>
        </w:tc>
      </w:tr>
      <w:tr w:rsidR="008F4BFC" w:rsidRPr="00974250" w14:paraId="34240C05" w14:textId="77777777" w:rsidTr="00D0183B">
        <w:trPr>
          <w:trHeight w:val="300"/>
        </w:trPr>
        <w:tc>
          <w:tcPr>
            <w:tcW w:w="5524" w:type="dxa"/>
            <w:noWrap/>
            <w:hideMark/>
          </w:tcPr>
          <w:p w14:paraId="4B327AB0" w14:textId="0E0F26FB" w:rsidR="008F4BFC" w:rsidRPr="00974250" w:rsidRDefault="008F4BFC" w:rsidP="008F4BFC">
            <w:r w:rsidRPr="00974250">
              <w:t xml:space="preserve">1 in </w:t>
            </w:r>
            <w:r>
              <w:t xml:space="preserve">x chance </w:t>
            </w:r>
            <w:r w:rsidRPr="006D4EB5">
              <w:t xml:space="preserve">of developing childhood </w:t>
            </w:r>
            <w:r w:rsidR="00566FE5">
              <w:t xml:space="preserve">(&lt;16y) </w:t>
            </w:r>
            <w:r w:rsidRPr="006D4EB5">
              <w:t xml:space="preserve">MB with </w:t>
            </w:r>
            <w:r>
              <w:rPr>
                <w:i/>
                <w:iCs/>
              </w:rPr>
              <w:t>GPR</w:t>
            </w:r>
            <w:r w:rsidRPr="00FF28A0">
              <w:rPr>
                <w:i/>
                <w:iCs/>
              </w:rPr>
              <w:t>1</w:t>
            </w:r>
            <w:r>
              <w:rPr>
                <w:i/>
                <w:iCs/>
              </w:rPr>
              <w:t>61</w:t>
            </w:r>
          </w:p>
        </w:tc>
        <w:tc>
          <w:tcPr>
            <w:tcW w:w="1559" w:type="dxa"/>
            <w:noWrap/>
            <w:hideMark/>
          </w:tcPr>
          <w:p w14:paraId="6A999A3C" w14:textId="0D733897" w:rsidR="008F4BFC" w:rsidRPr="00974250" w:rsidRDefault="008F4BFC" w:rsidP="008F4BFC">
            <w:r>
              <w:t xml:space="preserve">1 in </w:t>
            </w:r>
            <w:r w:rsidRPr="00974250">
              <w:t>2578.4</w:t>
            </w:r>
          </w:p>
        </w:tc>
        <w:tc>
          <w:tcPr>
            <w:tcW w:w="1701" w:type="dxa"/>
            <w:noWrap/>
            <w:hideMark/>
          </w:tcPr>
          <w:p w14:paraId="21BEEA02" w14:textId="1E8C1B2A" w:rsidR="008F4BFC" w:rsidRPr="00974250" w:rsidRDefault="008F4BFC" w:rsidP="008F4BFC">
            <w:r>
              <w:t xml:space="preserve">1 in </w:t>
            </w:r>
            <w:r w:rsidRPr="001640CD">
              <w:t>1626.3</w:t>
            </w:r>
          </w:p>
        </w:tc>
      </w:tr>
    </w:tbl>
    <w:p w14:paraId="0A7A8785" w14:textId="29A8B778" w:rsidR="009E4EFF" w:rsidRDefault="009E4EFF" w:rsidP="009E4EFF">
      <w:r>
        <w:t>*Excludes missense variant as only compared to truncating variants. Also excludes index case as not clear from series of 1040 cases.</w:t>
      </w:r>
      <w:r w:rsidR="008F4BFC">
        <w:t xml:space="preserve"> PV-pathogenic variant, MB-medulloblastoma</w:t>
      </w:r>
      <w:r w:rsidR="00566FE5">
        <w:t>; OR Odds Ratio</w:t>
      </w:r>
    </w:p>
    <w:p w14:paraId="19ADAFF1" w14:textId="77777777" w:rsidR="009E4EFF" w:rsidRDefault="00000000" w:rsidP="009E4EFF">
      <w:pPr>
        <w:pStyle w:val="ListParagraph"/>
        <w:numPr>
          <w:ilvl w:val="0"/>
          <w:numId w:val="1"/>
        </w:numPr>
      </w:pPr>
      <w:hyperlink r:id="rId9" w:history="1">
        <w:r w:rsidR="009E4EFF" w:rsidRPr="0016410F">
          <w:rPr>
            <w:rStyle w:val="Hyperlink"/>
          </w:rPr>
          <w:t>https://www.ons.gov.uk/peoplepopulationandcommunity/populationandmigration/populationestimates/bulletins/annualmidyearpopulationestimates/mid2019estimates</w:t>
        </w:r>
      </w:hyperlink>
    </w:p>
    <w:p w14:paraId="374373FD" w14:textId="77777777" w:rsidR="009E4EFF" w:rsidRDefault="00000000" w:rsidP="009E4EFF">
      <w:pPr>
        <w:pStyle w:val="ListParagraph"/>
        <w:numPr>
          <w:ilvl w:val="0"/>
          <w:numId w:val="1"/>
        </w:numPr>
      </w:pPr>
      <w:hyperlink r:id="rId10" w:history="1">
        <w:r w:rsidR="009E4EFF" w:rsidRPr="0016410F">
          <w:rPr>
            <w:rStyle w:val="Hyperlink"/>
          </w:rPr>
          <w:t>https://www.ojjdp.gov/ojstatbb/population/qa01104.asp</w:t>
        </w:r>
      </w:hyperlink>
    </w:p>
    <w:p w14:paraId="31C576AB" w14:textId="77777777" w:rsidR="009E4EFF" w:rsidRDefault="009E4EFF" w:rsidP="009E4EFF"/>
    <w:p w14:paraId="53304313" w14:textId="0BCAFB16" w:rsidR="009E4EFF" w:rsidRPr="009E4EFF" w:rsidRDefault="009E4EFF" w:rsidP="009E4EFF">
      <w:pPr>
        <w:rPr>
          <w:b/>
          <w:bCs/>
        </w:rPr>
      </w:pPr>
    </w:p>
    <w:sectPr w:rsidR="009E4EFF" w:rsidRPr="009E4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8FF"/>
    <w:multiLevelType w:val="hybridMultilevel"/>
    <w:tmpl w:val="67B637A0"/>
    <w:lvl w:ilvl="0" w:tplc="9CAAA7C6">
      <w:numFmt w:val="bullet"/>
      <w:pStyle w:val="EndNoteBibliography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6610734"/>
    <w:multiLevelType w:val="hybridMultilevel"/>
    <w:tmpl w:val="ACFCC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507EF"/>
    <w:multiLevelType w:val="hybridMultilevel"/>
    <w:tmpl w:val="ACFCC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505501">
    <w:abstractNumId w:val="1"/>
  </w:num>
  <w:num w:numId="2" w16cid:durableId="1369838581">
    <w:abstractNumId w:val="0"/>
  </w:num>
  <w:num w:numId="3" w16cid:durableId="576784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50"/>
    <w:rsid w:val="0003729C"/>
    <w:rsid w:val="00086DBD"/>
    <w:rsid w:val="00094AA1"/>
    <w:rsid w:val="00146111"/>
    <w:rsid w:val="00240B1B"/>
    <w:rsid w:val="002832DB"/>
    <w:rsid w:val="00296035"/>
    <w:rsid w:val="002C69B5"/>
    <w:rsid w:val="00317AE5"/>
    <w:rsid w:val="00372484"/>
    <w:rsid w:val="003A031D"/>
    <w:rsid w:val="003C3D18"/>
    <w:rsid w:val="00412600"/>
    <w:rsid w:val="00562913"/>
    <w:rsid w:val="00566FE5"/>
    <w:rsid w:val="00590044"/>
    <w:rsid w:val="005B0C15"/>
    <w:rsid w:val="006616AD"/>
    <w:rsid w:val="00685B52"/>
    <w:rsid w:val="006A58E7"/>
    <w:rsid w:val="006B6391"/>
    <w:rsid w:val="006D4EB5"/>
    <w:rsid w:val="00704F2C"/>
    <w:rsid w:val="007B4830"/>
    <w:rsid w:val="007F7FA6"/>
    <w:rsid w:val="00855214"/>
    <w:rsid w:val="008A299D"/>
    <w:rsid w:val="008F4BFC"/>
    <w:rsid w:val="00954E6C"/>
    <w:rsid w:val="00955B22"/>
    <w:rsid w:val="00974250"/>
    <w:rsid w:val="009873C8"/>
    <w:rsid w:val="009E4EFF"/>
    <w:rsid w:val="00A16190"/>
    <w:rsid w:val="00A31135"/>
    <w:rsid w:val="00A555C9"/>
    <w:rsid w:val="00AB3BFA"/>
    <w:rsid w:val="00AE4733"/>
    <w:rsid w:val="00B01759"/>
    <w:rsid w:val="00B1571D"/>
    <w:rsid w:val="00B26FEB"/>
    <w:rsid w:val="00B826FC"/>
    <w:rsid w:val="00B827DD"/>
    <w:rsid w:val="00BC766C"/>
    <w:rsid w:val="00C4064E"/>
    <w:rsid w:val="00C624A2"/>
    <w:rsid w:val="00D0183B"/>
    <w:rsid w:val="00D25F0B"/>
    <w:rsid w:val="00D61319"/>
    <w:rsid w:val="00D96EBC"/>
    <w:rsid w:val="00DF79BC"/>
    <w:rsid w:val="00E07598"/>
    <w:rsid w:val="00E12866"/>
    <w:rsid w:val="00EC4B20"/>
    <w:rsid w:val="00F031AB"/>
    <w:rsid w:val="00F55958"/>
    <w:rsid w:val="00F9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F03F"/>
  <w15:chartTrackingRefBased/>
  <w15:docId w15:val="{A01C8BC9-C966-4CCF-A850-1FC0C4FA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2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2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DD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6B6391"/>
    <w:pPr>
      <w:numPr>
        <w:numId w:val="2"/>
      </w:num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B6391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7F7F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7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F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er.net/cancer-types/medulloblastoma-childhood/statistic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ancerresearchuk.org/about-cancer/childrens-cancer/brain-tumours/types/medulloblastom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eth.evans@mft.nhs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jjdp.gov/ojstatbb/population/qa01104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s.gov.uk/peoplepopulationandcommunity/populationandmigration/populationestimates/bulletins/annualmidyearpopulationestimates/mid2019estim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1A22-6EDF-4EFD-AE13-D67D204A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Evans</dc:creator>
  <cp:keywords/>
  <dc:description/>
  <cp:lastModifiedBy>Dafydd Evans</cp:lastModifiedBy>
  <cp:revision>2</cp:revision>
  <dcterms:created xsi:type="dcterms:W3CDTF">2023-02-27T09:17:00Z</dcterms:created>
  <dcterms:modified xsi:type="dcterms:W3CDTF">2023-02-27T09:17:00Z</dcterms:modified>
</cp:coreProperties>
</file>