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480"/>
        <w:jc w:val="center"/>
        <w:rPr>
          <w:rFonts w:ascii="Times New Roman" w:hAnsi="Times New Roman"/>
        </w:rPr>
      </w:pPr>
      <w:r>
        <w:rPr>
          <w:rFonts w:ascii="Times New Roman" w:hAnsi="Times New Roman"/>
          <w:szCs w:val="24"/>
          <w:lang w:val="en-US"/>
        </w:rPr>
        <w:t>Work Addiction and Work Engagement: A Network Approach to Cross-Cultural Data</w:t>
      </w:r>
    </w:p>
    <w:p>
      <w:pPr>
        <w:pStyle w:val="Standard"/>
        <w:spacing w:lineRule="auto" w:line="480"/>
        <w:jc w:val="center"/>
        <w:rPr>
          <w:rFonts w:ascii="Times New Roman" w:hAnsi="Times New Roman"/>
        </w:rPr>
      </w:pPr>
      <w:r>
        <w:rPr>
          <w:rFonts w:ascii="Times New Roman" w:hAnsi="Times New Roman"/>
          <w:b/>
          <w:bCs/>
          <w:szCs w:val="24"/>
          <w:lang w:val="en-US"/>
        </w:rPr>
        <w:t>Supplemental Materials</w:t>
      </w:r>
      <w:r>
        <w:br w:type="page"/>
      </w:r>
    </w:p>
    <w:p>
      <w:pPr>
        <w:pStyle w:val="Standard"/>
        <w:spacing w:lineRule="auto" w:line="480"/>
        <w:jc w:val="center"/>
        <w:rPr>
          <w:rFonts w:ascii="Times New Roman" w:hAnsi="Times New Roman"/>
        </w:rPr>
      </w:pPr>
      <w:r>
        <w:rPr>
          <w:rFonts w:ascii="Times New Roman" w:hAnsi="Times New Roman"/>
          <w:b/>
          <w:bCs/>
          <w:szCs w:val="24"/>
          <w:lang w:val="en-US"/>
        </w:rPr>
        <w:t>Method</w:t>
      </w:r>
    </w:p>
    <w:p>
      <w:pPr>
        <w:pStyle w:val="Standard"/>
        <w:spacing w:lineRule="auto" w:line="480"/>
        <w:rPr>
          <w:rFonts w:ascii="Times New Roman" w:hAnsi="Times New Roman"/>
        </w:rPr>
      </w:pPr>
      <w:r>
        <w:rPr>
          <w:rFonts w:ascii="Times New Roman" w:hAnsi="Times New Roman"/>
          <w:b/>
          <w:bCs/>
          <w:szCs w:val="24"/>
          <w:lang w:val="en-US"/>
        </w:rPr>
        <w:t>Participants and Procedure</w:t>
      </w:r>
    </w:p>
    <w:p>
      <w:pPr>
        <w:pStyle w:val="Standard"/>
        <w:spacing w:lineRule="auto" w:line="480"/>
        <w:ind w:firstLine="709"/>
        <w:rPr>
          <w:rFonts w:ascii="Times New Roman" w:hAnsi="Times New Roman"/>
        </w:rPr>
      </w:pPr>
      <w:r>
        <w:rPr>
          <w:rFonts w:eastAsia="Times New Roman" w:cs="Times New Roman" w:ascii="Times New Roman" w:hAnsi="Times New Roman"/>
          <w:lang w:val="en-US"/>
        </w:rPr>
        <w:t xml:space="preserve">Compensation for participation varied across samples. In Sample </w:t>
      </w:r>
      <w:r>
        <w:rPr>
          <w:rFonts w:eastAsia="Times New Roman" w:cs="Times New Roman" w:ascii="Times New Roman" w:hAnsi="Times New Roman"/>
          <w:szCs w:val="24"/>
          <w:lang w:val="en-US"/>
        </w:rPr>
        <w:t xml:space="preserve">1 </w:t>
      </w:r>
      <w:r>
        <w:rPr>
          <w:rFonts w:eastAsia="Times New Roman" w:cs="Times New Roman" w:ascii="Times New Roman" w:hAnsi="Times New Roman"/>
          <w:lang w:val="en-US"/>
        </w:rPr>
        <w:t xml:space="preserve">and Sample </w:t>
      </w:r>
      <w:r>
        <w:rPr>
          <w:rFonts w:eastAsia="Times New Roman" w:cs="Times New Roman" w:ascii="Times New Roman" w:hAnsi="Times New Roman"/>
          <w:szCs w:val="24"/>
          <w:lang w:val="en-US"/>
        </w:rPr>
        <w:t>3</w:t>
      </w:r>
      <w:r>
        <w:rPr>
          <w:rFonts w:eastAsia="Times New Roman" w:cs="Times New Roman" w:ascii="Times New Roman" w:hAnsi="Times New Roman"/>
          <w:lang w:val="en-US"/>
        </w:rPr>
        <w:t xml:space="preserve">, each individual had a small </w:t>
      </w:r>
      <w:r>
        <w:rPr>
          <w:rFonts w:eastAsia="Times New Roman" w:cs="Times New Roman" w:ascii="Times New Roman" w:hAnsi="Times New Roman"/>
          <w:szCs w:val="24"/>
          <w:lang w:val="en-US"/>
        </w:rPr>
        <w:t xml:space="preserve">chance </w:t>
      </w:r>
      <w:r>
        <w:rPr>
          <w:rFonts w:eastAsia="Times New Roman" w:cs="Times New Roman" w:ascii="Times New Roman" w:hAnsi="Times New Roman"/>
          <w:lang w:val="en-US"/>
        </w:rPr>
        <w:t xml:space="preserve">of being awarded a gift card (value of a card equaled 500 NOK in Norway and 50 PLN in Poland) as a form of compensation for participation. In Sample </w:t>
      </w:r>
      <w:r>
        <w:rPr>
          <w:rFonts w:eastAsia="Times New Roman" w:cs="Times New Roman" w:ascii="Times New Roman" w:hAnsi="Times New Roman"/>
          <w:szCs w:val="24"/>
          <w:lang w:val="en-US"/>
        </w:rPr>
        <w:t>2</w:t>
      </w:r>
      <w:r>
        <w:rPr>
          <w:rFonts w:eastAsia="Times New Roman" w:cs="Times New Roman" w:ascii="Times New Roman" w:hAnsi="Times New Roman"/>
          <w:lang w:val="en-US"/>
        </w:rPr>
        <w:t>, no monetary or other material rewards were given for participation.</w:t>
      </w:r>
    </w:p>
    <w:p>
      <w:pPr>
        <w:pStyle w:val="Standard"/>
        <w:spacing w:lineRule="auto" w:line="480"/>
        <w:ind w:firstLine="709"/>
        <w:rPr>
          <w:rFonts w:ascii="Times New Roman" w:hAnsi="Times New Roman"/>
        </w:rPr>
      </w:pPr>
      <w:r>
        <w:rPr>
          <w:rFonts w:eastAsia="Times New Roman" w:cs="Times New Roman" w:ascii="Times New Roman" w:hAnsi="Times New Roman"/>
          <w:szCs w:val="24"/>
          <w:lang w:val="en-US"/>
        </w:rPr>
        <w:t>Thirteen individuals in Sample 1 and six individuals in Sample 3 reported that they work zero hours per week; therefore, their data were listwise deleted. Additionally, 62 individuals in Sample 1, 22 individuals in Sample 2, and 70 individuals in Sample 4 had missing data on at least one question regarding the symptoms of work addiction or the dimensions of work engagement; their data were also listwise deleted. In Sample 1, the removed observations had lower mean age (</w:t>
      </w:r>
      <w:r>
        <w:rPr>
          <w:rFonts w:eastAsia="Times New Roman" w:cs="Times New Roman" w:ascii="Times New Roman" w:hAnsi="Times New Roman"/>
          <w:i/>
          <w:iCs/>
          <w:szCs w:val="24"/>
          <w:lang w:val="en-US"/>
        </w:rPr>
        <w:t>M</w:t>
      </w:r>
      <w:r>
        <w:rPr>
          <w:rFonts w:eastAsia="Times New Roman" w:cs="Times New Roman" w:ascii="Times New Roman" w:hAnsi="Times New Roman"/>
          <w:szCs w:val="24"/>
          <w:lang w:val="en-US"/>
        </w:rPr>
        <w:t xml:space="preserve"> = 27.16, </w:t>
      </w:r>
      <w:r>
        <w:rPr>
          <w:rFonts w:eastAsia="Times New Roman" w:cs="Times New Roman" w:ascii="Times New Roman" w:hAnsi="Times New Roman"/>
          <w:i/>
          <w:iCs/>
          <w:szCs w:val="24"/>
          <w:lang w:val="en-US"/>
        </w:rPr>
        <w:t>SD</w:t>
      </w:r>
      <w:r>
        <w:rPr>
          <w:rFonts w:eastAsia="Times New Roman" w:cs="Times New Roman" w:ascii="Times New Roman" w:hAnsi="Times New Roman"/>
          <w:szCs w:val="24"/>
          <w:lang w:val="en-US"/>
        </w:rPr>
        <w:t xml:space="preserve"> = 7.15) than retained observations (</w:t>
      </w:r>
      <w:r>
        <w:rPr>
          <w:rFonts w:eastAsia="Times New Roman" w:cs="Times New Roman" w:ascii="Times New Roman" w:hAnsi="Times New Roman"/>
          <w:i/>
          <w:iCs/>
          <w:szCs w:val="24"/>
          <w:lang w:val="en-US"/>
        </w:rPr>
        <w:t>M</w:t>
      </w:r>
      <w:r>
        <w:rPr>
          <w:rFonts w:eastAsia="Times New Roman" w:cs="Times New Roman" w:ascii="Times New Roman" w:hAnsi="Times New Roman"/>
          <w:szCs w:val="24"/>
          <w:lang w:val="en-US"/>
        </w:rPr>
        <w:t xml:space="preserve"> = 29.77, </w:t>
      </w:r>
      <w:r>
        <w:rPr>
          <w:rFonts w:eastAsia="Times New Roman" w:cs="Times New Roman" w:ascii="Times New Roman" w:hAnsi="Times New Roman"/>
          <w:i/>
          <w:iCs/>
          <w:szCs w:val="24"/>
          <w:lang w:val="en-US"/>
        </w:rPr>
        <w:t>SD</w:t>
      </w:r>
      <w:r>
        <w:rPr>
          <w:rFonts w:eastAsia="Times New Roman" w:cs="Times New Roman" w:ascii="Times New Roman" w:hAnsi="Times New Roman"/>
          <w:szCs w:val="24"/>
          <w:lang w:val="en-US"/>
        </w:rPr>
        <w:t xml:space="preserve"> = 3.93), </w:t>
      </w:r>
      <w:r>
        <w:rPr>
          <w:rFonts w:eastAsia="Times New Roman" w:cs="Times New Roman" w:ascii="Times New Roman" w:hAnsi="Times New Roman"/>
          <w:i/>
          <w:iCs/>
          <w:szCs w:val="24"/>
          <w:lang w:val="en-US"/>
        </w:rPr>
        <w:t>t</w:t>
      </w:r>
      <w:r>
        <w:rPr>
          <w:rFonts w:eastAsia="Times New Roman" w:cs="Times New Roman" w:ascii="Times New Roman" w:hAnsi="Times New Roman"/>
          <w:szCs w:val="24"/>
          <w:lang w:val="en-US"/>
        </w:rPr>
        <w:t>(59.18) = 3.99,</w:t>
      </w:r>
      <w:r>
        <w:rPr>
          <w:rFonts w:eastAsia="Times New Roman" w:cs="Times New Roman" w:ascii="Times New Roman" w:hAnsi="Times New Roman"/>
          <w:i/>
          <w:iCs/>
          <w:szCs w:val="24"/>
          <w:lang w:val="en-US"/>
        </w:rPr>
        <w:t xml:space="preserve"> p</w:t>
      </w:r>
      <w:r>
        <w:rPr>
          <w:rFonts w:eastAsia="Times New Roman" w:cs="Times New Roman" w:ascii="Times New Roman" w:hAnsi="Times New Roman"/>
          <w:szCs w:val="24"/>
          <w:lang w:val="en-US"/>
        </w:rPr>
        <w:t xml:space="preserve"> &lt; .001, and did not differ in terms of other sociodemographic characteristics. In Sample 2, the removed observations had a different distribution of the number of children (four individuals had zero children, two individuals had one child, and 14 individuals had 2 children) than the retained observations (see Table 1), χ</w:t>
      </w:r>
      <w:r>
        <w:rPr>
          <w:rFonts w:eastAsia="Times New Roman" w:cs="Times New Roman" w:ascii="Times New Roman" w:hAnsi="Times New Roman"/>
          <w:szCs w:val="24"/>
          <w:vertAlign w:val="superscript"/>
          <w:lang w:val="en-US"/>
        </w:rPr>
        <w:t>2</w:t>
      </w:r>
      <w:r>
        <w:rPr>
          <w:rFonts w:eastAsia="Times New Roman" w:cs="Times New Roman" w:ascii="Times New Roman" w:hAnsi="Times New Roman"/>
          <w:szCs w:val="24"/>
          <w:lang w:val="en-US"/>
        </w:rPr>
        <w:t xml:space="preserve">(4) = 21.60, </w:t>
      </w:r>
      <w:r>
        <w:rPr>
          <w:rFonts w:eastAsia="Times New Roman" w:cs="Times New Roman" w:ascii="Times New Roman" w:hAnsi="Times New Roman"/>
          <w:i/>
          <w:iCs/>
          <w:szCs w:val="24"/>
          <w:lang w:val="en-US"/>
        </w:rPr>
        <w:t>p</w:t>
      </w:r>
      <w:r>
        <w:rPr>
          <w:rFonts w:eastAsia="Times New Roman" w:cs="Times New Roman" w:ascii="Times New Roman" w:hAnsi="Times New Roman"/>
          <w:szCs w:val="24"/>
          <w:lang w:val="en-US"/>
        </w:rPr>
        <w:t xml:space="preserve"> &lt; 0.001, and did not differ in terms of other sociodemographic characteristics. In Sample 3, the remove observations more often were male, χ</w:t>
      </w:r>
      <w:r>
        <w:rPr>
          <w:rFonts w:eastAsia="Times New Roman" w:cs="Times New Roman" w:ascii="Times New Roman" w:hAnsi="Times New Roman"/>
          <w:szCs w:val="24"/>
          <w:vertAlign w:val="superscript"/>
          <w:lang w:val="en-US"/>
        </w:rPr>
        <w:t>2</w:t>
      </w:r>
      <w:r>
        <w:rPr>
          <w:rFonts w:eastAsia="Times New Roman" w:cs="Times New Roman" w:ascii="Times New Roman" w:hAnsi="Times New Roman"/>
          <w:szCs w:val="24"/>
          <w:lang w:val="en-US"/>
        </w:rPr>
        <w:t xml:space="preserve">(1) = 6.60, </w:t>
      </w:r>
      <w:r>
        <w:rPr>
          <w:rFonts w:eastAsia="Times New Roman" w:cs="Times New Roman" w:ascii="Times New Roman" w:hAnsi="Times New Roman"/>
          <w:i/>
          <w:iCs/>
          <w:szCs w:val="24"/>
          <w:lang w:val="en-US"/>
        </w:rPr>
        <w:t>p</w:t>
      </w:r>
      <w:r>
        <w:rPr>
          <w:rFonts w:eastAsia="Times New Roman" w:cs="Times New Roman" w:ascii="Times New Roman" w:hAnsi="Times New Roman"/>
          <w:szCs w:val="24"/>
          <w:lang w:val="en-US"/>
        </w:rPr>
        <w:t xml:space="preserve"> = 0.010, had different distribution of the number of children (fifty individuals had zero children, two individuals had one child, and five individuals had 2 children), χ</w:t>
      </w:r>
      <w:r>
        <w:rPr>
          <w:rFonts w:eastAsia="Times New Roman" w:cs="Times New Roman" w:ascii="Times New Roman" w:hAnsi="Times New Roman"/>
          <w:szCs w:val="24"/>
          <w:vertAlign w:val="superscript"/>
          <w:lang w:val="en-US"/>
        </w:rPr>
        <w:t>2</w:t>
      </w:r>
      <w:r>
        <w:rPr>
          <w:rFonts w:eastAsia="Times New Roman" w:cs="Times New Roman" w:ascii="Times New Roman" w:hAnsi="Times New Roman"/>
          <w:szCs w:val="24"/>
          <w:lang w:val="en-US"/>
        </w:rPr>
        <w:t xml:space="preserve">(2) = 9.84, </w:t>
      </w:r>
      <w:r>
        <w:rPr>
          <w:rFonts w:eastAsia="Times New Roman" w:cs="Times New Roman" w:ascii="Times New Roman" w:hAnsi="Times New Roman"/>
          <w:i/>
          <w:iCs/>
          <w:szCs w:val="24"/>
          <w:lang w:val="en-US"/>
        </w:rPr>
        <w:t>p</w:t>
      </w:r>
      <w:r>
        <w:rPr>
          <w:rFonts w:eastAsia="Times New Roman" w:cs="Times New Roman" w:ascii="Times New Roman" w:hAnsi="Times New Roman"/>
          <w:szCs w:val="24"/>
          <w:lang w:val="en-US"/>
        </w:rPr>
        <w:t xml:space="preserve"> = 0.007, had lower highest level of education (34 individuals had Bachelor’s degree and 24 individuals had Master’s degree), χ</w:t>
      </w:r>
      <w:r>
        <w:rPr>
          <w:rFonts w:eastAsia="Times New Roman" w:cs="Times New Roman" w:ascii="Times New Roman" w:hAnsi="Times New Roman"/>
          <w:szCs w:val="24"/>
          <w:vertAlign w:val="superscript"/>
          <w:lang w:val="en-US"/>
        </w:rPr>
        <w:t>2</w:t>
      </w:r>
      <w:r>
        <w:rPr>
          <w:rFonts w:eastAsia="Times New Roman" w:cs="Times New Roman" w:ascii="Times New Roman" w:hAnsi="Times New Roman"/>
          <w:szCs w:val="24"/>
          <w:lang w:val="en-US"/>
        </w:rPr>
        <w:t xml:space="preserve">(2) = 7.88, </w:t>
      </w:r>
      <w:r>
        <w:rPr>
          <w:rFonts w:eastAsia="Times New Roman" w:cs="Times New Roman" w:ascii="Times New Roman" w:hAnsi="Times New Roman"/>
          <w:i/>
          <w:iCs/>
          <w:szCs w:val="24"/>
          <w:lang w:val="en-US"/>
        </w:rPr>
        <w:t>p</w:t>
      </w:r>
      <w:r>
        <w:rPr>
          <w:rFonts w:eastAsia="Times New Roman" w:cs="Times New Roman" w:ascii="Times New Roman" w:hAnsi="Times New Roman"/>
          <w:szCs w:val="24"/>
          <w:lang w:val="en-US"/>
        </w:rPr>
        <w:t xml:space="preserve"> = 0.019, and more often worked part-time, χ</w:t>
      </w:r>
      <w:r>
        <w:rPr>
          <w:rFonts w:eastAsia="Times New Roman" w:cs="Times New Roman" w:ascii="Times New Roman" w:hAnsi="Times New Roman"/>
          <w:szCs w:val="24"/>
          <w:vertAlign w:val="superscript"/>
          <w:lang w:val="en-US"/>
        </w:rPr>
        <w:t>2</w:t>
      </w:r>
      <w:r>
        <w:rPr>
          <w:rFonts w:eastAsia="Times New Roman" w:cs="Times New Roman" w:ascii="Times New Roman" w:hAnsi="Times New Roman"/>
          <w:szCs w:val="24"/>
          <w:lang w:val="en-US"/>
        </w:rPr>
        <w:t xml:space="preserve">(1) = 4.42, </w:t>
      </w:r>
      <w:r>
        <w:rPr>
          <w:rFonts w:eastAsia="Times New Roman" w:cs="Times New Roman" w:ascii="Times New Roman" w:hAnsi="Times New Roman"/>
          <w:i/>
          <w:iCs/>
          <w:szCs w:val="24"/>
          <w:lang w:val="en-US"/>
        </w:rPr>
        <w:t>p</w:t>
      </w:r>
      <w:r>
        <w:rPr>
          <w:rFonts w:eastAsia="Times New Roman" w:cs="Times New Roman" w:ascii="Times New Roman" w:hAnsi="Times New Roman"/>
          <w:szCs w:val="24"/>
          <w:lang w:val="en-US"/>
        </w:rPr>
        <w:t xml:space="preserve"> = 0.036, than retained observations (see Table 1). The results of the analysis of contrasts for analyses of variance comparing the three samples are presented in the analytical code.</w:t>
      </w:r>
    </w:p>
    <w:p>
      <w:pPr>
        <w:pStyle w:val="Standard"/>
        <w:spacing w:lineRule="auto" w:line="480"/>
        <w:rPr>
          <w:rFonts w:ascii="Times New Roman" w:hAnsi="Times New Roman"/>
        </w:rPr>
      </w:pPr>
      <w:r>
        <w:rPr>
          <w:rFonts w:eastAsia="Times New Roman" w:cs="Times New Roman" w:ascii="Times New Roman" w:hAnsi="Times New Roman"/>
          <w:b/>
          <w:bCs/>
          <w:szCs w:val="24"/>
          <w:lang w:val="en-US"/>
        </w:rPr>
        <w:t>Statistical Analyses</w:t>
      </w:r>
    </w:p>
    <w:p>
      <w:pPr>
        <w:pStyle w:val="Standard"/>
        <w:spacing w:lineRule="auto" w:line="480"/>
        <w:ind w:firstLine="709"/>
        <w:rPr>
          <w:rFonts w:ascii="Times New Roman" w:hAnsi="Times New Roman"/>
        </w:rPr>
      </w:pPr>
      <w:r>
        <w:rPr>
          <w:rFonts w:eastAsia="Times New Roman" w:cs="Times New Roman" w:ascii="Times New Roman" w:hAnsi="Times New Roman"/>
          <w:b/>
          <w:bCs/>
          <w:szCs w:val="24"/>
          <w:lang w:val="en-US"/>
        </w:rPr>
        <w:t>Alternative Methods of Estimating the Three Networks</w:t>
      </w:r>
    </w:p>
    <w:p>
      <w:pPr>
        <w:pStyle w:val="Standard"/>
        <w:spacing w:lineRule="auto" w:line="480"/>
        <w:ind w:firstLine="709"/>
        <w:rPr/>
      </w:pPr>
      <w:r>
        <w:rPr>
          <w:rFonts w:eastAsia="Times New Roman" w:cs="Times New Roman" w:ascii="Times New Roman" w:hAnsi="Times New Roman"/>
          <w:szCs w:val="24"/>
          <w:lang w:val="en-US"/>
        </w:rPr>
        <w:t xml:space="preserve">For the sake of comparison, we used two alternative methods for estimating networks in the three samples. The first method was a joint network estimation method similar to the one reported in the manuscript but selecting the tuning parameters of FGL based on information criteria instead of cross-validation. The second method was an individual estimation of the three networks using the bootnet 1.4.7 package (Epskamp </w:t>
      </w:r>
      <w:r>
        <w:rPr>
          <w:rStyle w:val="Nagwek3stopniaChar"/>
          <w:rFonts w:eastAsia="Times New Roman" w:cs="Times New Roman" w:ascii="Times New Roman" w:hAnsi="Times New Roman"/>
          <w:color w:val="auto"/>
          <w:lang w:val="en-US"/>
        </w:rPr>
        <w:t>et al.</w:t>
      </w:r>
      <w:r>
        <w:rPr>
          <w:rFonts w:eastAsia="Times New Roman" w:cs="Times New Roman" w:ascii="Times New Roman" w:hAnsi="Times New Roman"/>
          <w:szCs w:val="24"/>
          <w:lang w:val="en-US"/>
        </w:rPr>
        <w:t>, 2018) and the EBICglasso method with the threshold parameter equal to TRUE.</w:t>
      </w:r>
    </w:p>
    <w:p>
      <w:pPr>
        <w:pStyle w:val="Standard"/>
        <w:spacing w:lineRule="auto" w:line="480"/>
        <w:ind w:firstLine="709"/>
        <w:rPr>
          <w:rFonts w:ascii="Times New Roman" w:hAnsi="Times New Roman"/>
        </w:rPr>
      </w:pPr>
      <w:r>
        <w:rPr>
          <w:rFonts w:eastAsia="Times New Roman" w:cs="Times New Roman" w:ascii="Times New Roman" w:hAnsi="Times New Roman"/>
          <w:b/>
          <w:bCs/>
          <w:szCs w:val="24"/>
          <w:lang w:val="en-US"/>
        </w:rPr>
        <w:t>Additional Analyses Regarding Jointly Estimated Networks via Cross-Validation</w:t>
      </w:r>
    </w:p>
    <w:p>
      <w:pPr>
        <w:pStyle w:val="Standard"/>
        <w:spacing w:lineRule="auto" w:line="480"/>
        <w:ind w:firstLine="709"/>
        <w:rPr/>
      </w:pPr>
      <w:r>
        <w:rPr>
          <w:rFonts w:eastAsia="Times New Roman" w:cs="Times New Roman" w:ascii="Times New Roman" w:hAnsi="Times New Roman"/>
          <w:szCs w:val="24"/>
          <w:lang w:val="en-US"/>
        </w:rPr>
        <w:t xml:space="preserve">We used the bootnet 1.4.7 package (Epskamp </w:t>
      </w:r>
      <w:r>
        <w:rPr>
          <w:rStyle w:val="Nagwek3stopniaChar"/>
          <w:rFonts w:eastAsia="Times New Roman" w:cs="Times New Roman" w:ascii="Times New Roman" w:hAnsi="Times New Roman"/>
          <w:color w:val="auto"/>
          <w:lang w:val="en-US"/>
        </w:rPr>
        <w:t>et al.</w:t>
      </w:r>
      <w:r>
        <w:rPr>
          <w:rFonts w:eastAsia="Times New Roman" w:cs="Times New Roman" w:ascii="Times New Roman" w:hAnsi="Times New Roman"/>
          <w:szCs w:val="24"/>
          <w:lang w:val="en-US"/>
        </w:rPr>
        <w:t xml:space="preserve">, 2018) to estimate bootstrapped 95% confidence intervals around edge weights in each network, to plot </w:t>
      </w:r>
      <w:r>
        <w:rPr>
          <w:rFonts w:ascii="Times New Roman" w:hAnsi="Times New Roman"/>
          <w:szCs w:val="24"/>
          <w:lang w:val="en-US"/>
        </w:rPr>
        <w:t>a</w:t>
      </w:r>
      <w:r>
        <w:rPr>
          <w:rFonts w:ascii="Times New Roman" w:hAnsi="Times New Roman"/>
          <w:lang w:val="en-US"/>
        </w:rPr>
        <w:t xml:space="preserve">verage correlations between </w:t>
      </w:r>
      <w:r>
        <w:rPr>
          <w:rFonts w:ascii="Times New Roman" w:hAnsi="Times New Roman"/>
          <w:szCs w:val="24"/>
          <w:lang w:val="en-US"/>
        </w:rPr>
        <w:t>the values of the standard version of node strength</w:t>
      </w:r>
      <w:r>
        <w:rPr>
          <w:rFonts w:ascii="Times New Roman" w:hAnsi="Times New Roman"/>
          <w:lang w:val="en-US"/>
        </w:rPr>
        <w:t xml:space="preserve"> of networks sampled with persons dropped and the original sample</w:t>
      </w:r>
      <w:r>
        <w:rPr>
          <w:rFonts w:eastAsia="Times New Roman" w:cs="Times New Roman" w:ascii="Times New Roman" w:hAnsi="Times New Roman"/>
          <w:szCs w:val="24"/>
          <w:lang w:val="en-US"/>
        </w:rPr>
        <w:t>, to estimate differences between edge weights in each network, and to estimate differences in values of the standard version of the node strength in each network. Moreover, we calculated the average predictability of the symptoms of work addiction, average predictability of the dimensions of work engagement, and reported exact values of predictability for each node in each network.</w:t>
      </w:r>
    </w:p>
    <w:p>
      <w:pPr>
        <w:pStyle w:val="Standard"/>
        <w:spacing w:lineRule="auto" w:line="480"/>
        <w:ind w:firstLine="709"/>
        <w:rPr>
          <w:rFonts w:ascii="Times New Roman" w:hAnsi="Times New Roman"/>
        </w:rPr>
      </w:pPr>
      <w:r>
        <w:rPr>
          <w:rFonts w:eastAsia="Times New Roman" w:cs="Times New Roman" w:ascii="Times New Roman" w:hAnsi="Times New Roman"/>
          <w:b/>
          <w:bCs/>
          <w:szCs w:val="24"/>
          <w:lang w:val="en-US"/>
        </w:rPr>
        <w:t>Additional Analyses Regarding the Cross-Sample Network</w:t>
      </w:r>
    </w:p>
    <w:p>
      <w:pPr>
        <w:pStyle w:val="Standard"/>
        <w:spacing w:lineRule="auto" w:line="480"/>
        <w:ind w:firstLine="709"/>
        <w:rPr/>
      </w:pPr>
      <w:r>
        <w:rPr>
          <w:rFonts w:eastAsia="Times New Roman" w:cs="Times New Roman" w:ascii="Times New Roman" w:hAnsi="Times New Roman"/>
          <w:szCs w:val="24"/>
          <w:lang w:val="en-US"/>
        </w:rPr>
        <w:t xml:space="preserve">We estimated the cross-sample network using the bootnet 1.4.7 package (Epskamp </w:t>
      </w:r>
      <w:r>
        <w:rPr>
          <w:rStyle w:val="Nagwek3stopniaChar"/>
          <w:rFonts w:eastAsia="Times New Roman" w:cs="Times New Roman" w:ascii="Times New Roman" w:hAnsi="Times New Roman"/>
          <w:color w:val="auto"/>
          <w:lang w:val="en-US"/>
        </w:rPr>
        <w:t>et al.</w:t>
      </w:r>
      <w:r>
        <w:rPr>
          <w:rFonts w:eastAsia="Times New Roman" w:cs="Times New Roman" w:ascii="Times New Roman" w:hAnsi="Times New Roman"/>
          <w:szCs w:val="24"/>
          <w:lang w:val="en-US"/>
        </w:rPr>
        <w:t>, 2018) and the EBICglasso method with the threshold parameter equal to TRUE. A layout for visualizations of the cross-sample network and the cross-sample variability network was obtained via averaging the layouts for the three individually estimated networks.</w:t>
      </w:r>
    </w:p>
    <w:p>
      <w:pPr>
        <w:pStyle w:val="Standard"/>
        <w:spacing w:lineRule="auto" w:line="480"/>
        <w:ind w:firstLine="709"/>
        <w:rPr/>
      </w:pPr>
      <w:r>
        <w:rPr>
          <w:rFonts w:eastAsia="Times New Roman" w:cs="Times New Roman" w:ascii="Times New Roman" w:hAnsi="Times New Roman"/>
          <w:szCs w:val="24"/>
          <w:lang w:val="en-US"/>
        </w:rPr>
        <w:t xml:space="preserve">To investigate the stability of the cross-sample network, we used the bootnet 1.4.7 package (Epskamp </w:t>
      </w:r>
      <w:r>
        <w:rPr>
          <w:rStyle w:val="Nagwek3stopniaChar"/>
          <w:rFonts w:eastAsia="Times New Roman" w:cs="Times New Roman" w:ascii="Times New Roman" w:hAnsi="Times New Roman"/>
          <w:color w:val="auto"/>
          <w:lang w:val="en-US"/>
        </w:rPr>
        <w:t>et al.</w:t>
      </w:r>
      <w:r>
        <w:rPr>
          <w:rFonts w:eastAsia="Times New Roman" w:cs="Times New Roman" w:ascii="Times New Roman" w:hAnsi="Times New Roman"/>
          <w:szCs w:val="24"/>
          <w:lang w:val="en-US"/>
        </w:rPr>
        <w:t xml:space="preserve">, 2018), using nonparametric bootstrapping and case bootstrapping based on 1000 bootstrap samples. As a measure of network stability, we used the correlation stability coefficient, which represents the maximum proportion of cases that can be dropped, such that with 95% probability, the correlation between original centrality measures and centrality of networks based on subsets is .70 or higher. The correlation stability coefficient higher than .50 is regarded as an indicator of good stability, and the correlation stability coefficient higher than .25 is regarded as an indicator of acceptable stability (Epskamp et al., 2018). Additionally, we estimated bootstrapped 95% confidence intervals around edge weights in the cross-sample network, plotted </w:t>
      </w:r>
      <w:r>
        <w:rPr>
          <w:rFonts w:ascii="Times New Roman" w:hAnsi="Times New Roman"/>
          <w:szCs w:val="24"/>
          <w:lang w:val="en-US"/>
        </w:rPr>
        <w:t>a</w:t>
      </w:r>
      <w:r>
        <w:rPr>
          <w:rFonts w:eastAsia="Times New Roman" w:cs="Times New Roman" w:ascii="Times New Roman" w:hAnsi="Times New Roman"/>
          <w:szCs w:val="24"/>
          <w:lang w:val="en-US"/>
        </w:rPr>
        <w:t xml:space="preserve">verage correlations between </w:t>
      </w:r>
      <w:r>
        <w:rPr>
          <w:rFonts w:ascii="Times New Roman" w:hAnsi="Times New Roman"/>
          <w:szCs w:val="24"/>
          <w:lang w:val="en-US"/>
        </w:rPr>
        <w:t>the values of the standard version of node strength</w:t>
      </w:r>
      <w:r>
        <w:rPr>
          <w:rFonts w:eastAsia="Times New Roman" w:cs="Times New Roman" w:ascii="Times New Roman" w:hAnsi="Times New Roman"/>
          <w:szCs w:val="24"/>
          <w:lang w:val="en-US"/>
        </w:rPr>
        <w:t xml:space="preserve"> of networks sampled with persons dropped and the original sample, estimated differences between edge weights in the cross-sample network, and estimated differences in values of the standard version of the node strength in the cross-sample network. </w:t>
      </w:r>
    </w:p>
    <w:p>
      <w:pPr>
        <w:pStyle w:val="Standard"/>
        <w:spacing w:lineRule="auto" w:line="480"/>
        <w:ind w:firstLine="709"/>
        <w:rPr>
          <w:rFonts w:ascii="Times New Roman" w:hAnsi="Times New Roman"/>
        </w:rPr>
      </w:pPr>
      <w:r>
        <w:rPr>
          <w:rFonts w:eastAsia="Times New Roman" w:cs="Times New Roman" w:ascii="Times New Roman" w:hAnsi="Times New Roman"/>
          <w:lang w:val="en-US"/>
        </w:rPr>
        <w:t>We estimated node centrality based on</w:t>
      </w:r>
      <w:r>
        <w:rPr>
          <w:rFonts w:eastAsia="Times New Roman" w:cs="Times New Roman" w:ascii="Times New Roman" w:hAnsi="Times New Roman"/>
          <w:szCs w:val="24"/>
          <w:lang w:val="en-US"/>
        </w:rPr>
        <w:t xml:space="preserve"> the node strength. A standard version of the node strength is a metric equal to the sum of absolute values of all edges of a given node to all other nodes. We argue that the standard version of the node strength could poorly identify bridge nodes when tightly connected clusters of nodes are weakly connected with each other. Therefore, we created a modified version of the node strength which should better capture bridge nodes in this special case. The modified version of the node strength is a metric equal to the sum of absolute values of all edges of a given node to all other nodes which represent different psychological phenomenon (e.g., for absorption, this is the sum of absolute values of all edges which absorption has with work addiction symptoms).</w:t>
      </w:r>
    </w:p>
    <w:p>
      <w:pPr>
        <w:pStyle w:val="Standard"/>
        <w:spacing w:lineRule="auto" w:line="480"/>
        <w:ind w:firstLine="709"/>
        <w:rPr>
          <w:rFonts w:ascii="Times New Roman" w:hAnsi="Times New Roman"/>
        </w:rPr>
      </w:pPr>
      <w:r>
        <w:rPr>
          <w:rFonts w:eastAsia="Times New Roman" w:cs="Times New Roman" w:ascii="Times New Roman" w:hAnsi="Times New Roman"/>
          <w:szCs w:val="24"/>
          <w:lang w:val="en-US"/>
        </w:rPr>
        <w:t>To estimate the predictability of nodes, we used the mgm 1.2-11 package (Haslbeck, 2019), which estimates predictability based on individually estimated networks. For continuous data (dimensions of work engagement), node predictability indicates the percentage of variance explained by all of its neighbours (</w:t>
      </w:r>
      <w:r>
        <w:rPr>
          <w:rFonts w:eastAsia="Times New Roman" w:cs="Times New Roman" w:ascii="Times New Roman" w:hAnsi="Times New Roman"/>
          <w:i/>
          <w:iCs/>
          <w:szCs w:val="24"/>
          <w:lang w:val="en-US"/>
        </w:rPr>
        <w:t>R</w:t>
      </w:r>
      <w:r>
        <w:rPr>
          <w:rFonts w:eastAsia="Times New Roman" w:cs="Times New Roman" w:ascii="Times New Roman" w:hAnsi="Times New Roman"/>
          <w:szCs w:val="24"/>
          <w:vertAlign w:val="superscript"/>
          <w:lang w:val="en-US"/>
        </w:rPr>
        <w:t>2</w:t>
      </w:r>
      <w:r>
        <w:rPr>
          <w:rFonts w:eastAsia="Times New Roman" w:cs="Times New Roman" w:ascii="Times New Roman" w:hAnsi="Times New Roman"/>
          <w:szCs w:val="24"/>
          <w:lang w:val="en-US"/>
        </w:rPr>
        <w:t>). For ordinal data (symptoms of work addiction), node predictability indicates how much a node can be predicted by all of its neighbours, beyond what is trivially predicted by the marginal distribution of this node (for a detailed explanation, see Haslbeck &amp; Waldorp, 2018).</w:t>
      </w:r>
    </w:p>
    <w:p>
      <w:pPr>
        <w:pStyle w:val="Standard"/>
        <w:spacing w:lineRule="auto" w:line="480"/>
        <w:jc w:val="center"/>
        <w:rPr>
          <w:rFonts w:ascii="Times New Roman" w:hAnsi="Times New Roman"/>
        </w:rPr>
      </w:pPr>
      <w:r>
        <w:rPr>
          <w:rFonts w:ascii="Times New Roman" w:hAnsi="Times New Roman"/>
          <w:b/>
          <w:bCs/>
          <w:szCs w:val="24"/>
          <w:lang w:val="en-US"/>
        </w:rPr>
        <w:t>Results</w:t>
      </w:r>
    </w:p>
    <w:p>
      <w:pPr>
        <w:pStyle w:val="Standard"/>
        <w:spacing w:lineRule="auto" w:line="480"/>
        <w:rPr>
          <w:rFonts w:ascii="Times New Roman" w:hAnsi="Times New Roman"/>
        </w:rPr>
      </w:pPr>
      <w:r>
        <w:rPr>
          <w:rFonts w:eastAsia="Times New Roman" w:cs="Times New Roman" w:ascii="Times New Roman" w:hAnsi="Times New Roman"/>
          <w:b/>
          <w:bCs/>
          <w:szCs w:val="24"/>
          <w:lang w:val="en-US"/>
        </w:rPr>
        <w:t>Alternative Methods of Estimating the Three Networks</w:t>
      </w:r>
    </w:p>
    <w:p>
      <w:pPr>
        <w:pStyle w:val="Standard"/>
        <w:spacing w:lineRule="auto" w:line="480"/>
        <w:ind w:firstLine="709"/>
        <w:rPr>
          <w:rFonts w:ascii="Times New Roman" w:hAnsi="Times New Roman"/>
        </w:rPr>
      </w:pPr>
      <w:r>
        <w:rPr>
          <w:rFonts w:eastAsia="Times New Roman" w:cs="Times New Roman" w:ascii="Times New Roman" w:hAnsi="Times New Roman"/>
          <w:szCs w:val="24"/>
          <w:lang w:val="en-US"/>
        </w:rPr>
        <w:t>The three networks estimated individually for the three samples are visualized in Figure S1. The three networks estimated jointly (via information criteria) for the three samples are visualized in Figure S2.</w:t>
      </w:r>
    </w:p>
    <w:p>
      <w:pPr>
        <w:pStyle w:val="Standard"/>
        <w:spacing w:lineRule="auto" w:line="480"/>
        <w:rPr>
          <w:rFonts w:ascii="Times New Roman" w:hAnsi="Times New Roman"/>
        </w:rPr>
      </w:pPr>
      <w:r>
        <w:rPr>
          <w:rFonts w:eastAsia="Times New Roman" w:cs="Times New Roman" w:ascii="Times New Roman" w:hAnsi="Times New Roman"/>
          <w:b/>
          <w:bCs/>
          <w:szCs w:val="24"/>
          <w:lang w:val="en-US"/>
        </w:rPr>
        <w:t>Additional Analyses Regarding Jointly Estimated Networks via Cross-Validation</w:t>
      </w:r>
    </w:p>
    <w:p>
      <w:pPr>
        <w:pStyle w:val="Standard"/>
        <w:spacing w:lineRule="auto" w:line="480"/>
        <w:ind w:firstLine="709"/>
        <w:rPr>
          <w:rFonts w:ascii="Times New Roman" w:hAnsi="Times New Roman"/>
        </w:rPr>
      </w:pPr>
      <w:r>
        <w:rPr>
          <w:rFonts w:eastAsia="Times New Roman" w:cs="Times New Roman" w:ascii="Times New Roman" w:hAnsi="Times New Roman"/>
          <w:szCs w:val="24"/>
          <w:lang w:val="en-US"/>
        </w:rPr>
        <w:t xml:space="preserve">The three correlation matrices used to estimate the jointly estimated networks (via k-fold cross-validation) and the three edge weights matrices of the three jointly estimated networks (via k-fold cross-validation) are available in the folder ‘exact_values.’ The bootstrapped 95% confidence intervals around edge weights in each network are visualized in Figure S3 (all supplemental figures are available in the folder ‘supplemental_figures’). The average correlations between the </w:t>
      </w:r>
      <w:r>
        <w:rPr>
          <w:rFonts w:ascii="Times New Roman" w:hAnsi="Times New Roman"/>
          <w:szCs w:val="24"/>
          <w:lang w:val="en-US"/>
        </w:rPr>
        <w:t>values of the standard version of node strength</w:t>
      </w:r>
      <w:r>
        <w:rPr>
          <w:rFonts w:eastAsia="Times New Roman" w:cs="Times New Roman" w:ascii="Times New Roman" w:hAnsi="Times New Roman"/>
          <w:szCs w:val="24"/>
          <w:lang w:val="en-US"/>
        </w:rPr>
        <w:t xml:space="preserve"> of networks sampled with persons dropped and the original sample are visualized in Figure S4. The differences between the edge weights in each network are visualized in Figure S5. The differences between the values of the standard version of the node strength in each network are visualized in Figure S6. The Average predictability of symptoms of work addiction equaled 22.9% in Network 1, 27.5% in Network 2, and 29.4% in Network 3 (marginals accounted for 42.9%, 34.1%, and 37.9%, respectively). The average predictability of dimensions of work engagement equaled 67.9% in Network 1, 59.2% in Network 2, and 59.8% in Network 3. The exact values of node predictability of each node in each network are available in the folder ‘exact_values’.</w:t>
      </w:r>
    </w:p>
    <w:p>
      <w:pPr>
        <w:pStyle w:val="Standard"/>
        <w:spacing w:lineRule="auto" w:line="480"/>
        <w:rPr>
          <w:rFonts w:ascii="Times New Roman" w:hAnsi="Times New Roman"/>
        </w:rPr>
      </w:pPr>
      <w:r>
        <w:rPr>
          <w:rFonts w:eastAsia="Times New Roman" w:cs="Times New Roman" w:ascii="Times New Roman" w:hAnsi="Times New Roman"/>
          <w:b/>
          <w:bCs/>
          <w:szCs w:val="24"/>
          <w:lang w:val="en-US"/>
        </w:rPr>
        <w:t>Additional Analyses Regarding the Cross-Sample Network</w:t>
      </w:r>
    </w:p>
    <w:p>
      <w:pPr>
        <w:pStyle w:val="Standard"/>
        <w:spacing w:lineRule="auto" w:line="480"/>
        <w:ind w:firstLine="709"/>
        <w:rPr>
          <w:rFonts w:ascii="Times New Roman" w:hAnsi="Times New Roman"/>
        </w:rPr>
      </w:pPr>
      <w:r>
        <w:rPr>
          <w:rFonts w:eastAsia="Times New Roman" w:cs="Times New Roman" w:ascii="Times New Roman" w:hAnsi="Times New Roman"/>
          <w:szCs w:val="24"/>
          <w:lang w:val="en-US"/>
        </w:rPr>
        <w:t xml:space="preserve">The correlation matrix used to estimate the cross-sample network and the edge weights matrix of the cross-sample network are available in the folder ‘exact_values’. The bootstrapped 95% confidence intervals around edge weights of the cross-sample network are visualized in Figure S7. The average correlations between the </w:t>
      </w:r>
      <w:r>
        <w:rPr>
          <w:rFonts w:ascii="Times New Roman" w:hAnsi="Times New Roman"/>
          <w:szCs w:val="24"/>
          <w:lang w:val="en-US"/>
        </w:rPr>
        <w:t>values of the standard version of node strength</w:t>
      </w:r>
      <w:r>
        <w:rPr>
          <w:rFonts w:eastAsia="Times New Roman" w:cs="Times New Roman" w:ascii="Times New Roman" w:hAnsi="Times New Roman"/>
          <w:szCs w:val="24"/>
          <w:lang w:val="en-US"/>
        </w:rPr>
        <w:t xml:space="preserve"> of networks sampled with persons dropped and the original sample are visualized in Figure S8. The differences between the edge weights in the cross-sample network are visualized in Figure S9. The differences between the values of the standard version of the node strength in the cross-sample network are visualized in Figure S10. Average predictability in the cross-sample network equaled 36.4%. The average predictability of symptoms of work addiction in the cross-sample network equaled 23.9% (marginals accounted for 37.6%). The average predictability of dimensions of work engagement in the cross-sample network equaled 65.6%. The exact values of node predictability in the cross-sample network are available in the folder ‘exact_values.’</w:t>
      </w:r>
    </w:p>
    <w:p>
      <w:pPr>
        <w:pStyle w:val="Standard"/>
        <w:spacing w:lineRule="auto" w:line="480" w:before="0" w:after="160"/>
        <w:rPr>
          <w:rFonts w:ascii="Times New Roman" w:hAnsi="Times New Roman"/>
        </w:rPr>
      </w:pPr>
      <w:r>
        <w:rPr>
          <w:rFonts w:ascii="Times New Roman" w:hAnsi="Times New Roman"/>
        </w:rPr>
      </w:r>
    </w:p>
    <w:sectPr>
      <w:headerReference w:type="default" r:id="rId2"/>
      <w:type w:val="nextPage"/>
      <w:pgSz w:w="12240" w:h="15840"/>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w:t>
    </w:r>
    <w:r>
      <w:rPr/>
      <w:fldChar w:fldCharType="end"/>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Noto Sans Devanagari"/>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Droid Sans Fallback" w:cs="Noto Sans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Nagwek3stopniaChar" w:customStyle="1">
    <w:name w:val="Nagłówek 3 stopnia Char"/>
    <w:qFormat/>
    <w:rPr>
      <w:rFonts w:ascii="Calibri Light" w:hAnsi="Calibri Light" w:eastAsia="Calibri Light" w:cs="Calibri Light"/>
      <w:i w:val="false"/>
      <w:caps w:val="false"/>
      <w:smallCaps w:val="false"/>
      <w:vanish w:val="false"/>
      <w:color w:val="000000"/>
      <w:spacing w:val="0"/>
      <w:w w:val="100"/>
      <w:kern w:val="0"/>
      <w:sz w:val="24"/>
      <w:szCs w:val="24"/>
      <w:lang w:eastAsia="zh-CN"/>
    </w:rPr>
  </w:style>
  <w:style w:type="character" w:styleId="LineNumbering">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Source Han Sans CN"/>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Standard" w:customStyle="1">
    <w:name w:val="Standard"/>
    <w:qFormat/>
    <w:pPr>
      <w:widowControl/>
      <w:suppressAutoHyphens w:val="true"/>
      <w:bidi w:val="0"/>
      <w:spacing w:lineRule="auto" w:line="252" w:before="0" w:after="160"/>
      <w:jc w:val="left"/>
    </w:pPr>
    <w:rPr>
      <w:rFonts w:ascii="Times New Roman" w:hAnsi="Times New Roman" w:eastAsia="Calibri" w:cs="Arial"/>
      <w:color w:val="auto"/>
      <w:kern w:val="2"/>
      <w:sz w:val="24"/>
      <w:szCs w:val="22"/>
      <w:lang w:val="en-GB" w:eastAsia="zh-CN" w:bidi="ar-SA"/>
    </w:rPr>
  </w:style>
  <w:style w:type="paragraph" w:styleId="Normalny1" w:customStyle="1">
    <w:name w:val="Normalny1"/>
    <w:qFormat/>
    <w:pPr>
      <w:widowControl/>
      <w:suppressAutoHyphens w:val="true"/>
      <w:bidi w:val="0"/>
      <w:spacing w:lineRule="auto" w:line="252" w:before="0" w:after="160"/>
      <w:jc w:val="left"/>
    </w:pPr>
    <w:rPr>
      <w:rFonts w:ascii="Times New Roman" w:hAnsi="Times New Roman" w:eastAsia="Calibri" w:cs="Arial"/>
      <w:color w:val="auto"/>
      <w:kern w:val="2"/>
      <w:sz w:val="24"/>
      <w:szCs w:val="22"/>
      <w:lang w:val="en-GB" w:eastAsia="zh-CN" w:bidi="ar-SA"/>
    </w:rPr>
  </w:style>
  <w:style w:type="paragraph" w:styleId="HeaderandFooter" w:customStyle="1">
    <w:name w:val="Header and Footer"/>
    <w:basedOn w:val="Normal"/>
    <w:qFormat/>
    <w:pPr>
      <w:suppressLineNumbers/>
      <w:tabs>
        <w:tab w:val="clear" w:pos="709"/>
        <w:tab w:val="center" w:pos="4986" w:leader="none"/>
        <w:tab w:val="right" w:pos="9972" w:leader="none"/>
      </w:tabs>
    </w:pPr>
    <w:rPr/>
  </w:style>
  <w:style w:type="paragraph" w:styleId="Header">
    <w:name w:val="Header"/>
    <w:basedOn w:val="HeaderandFooter"/>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LibreOffice/7.1.6.2.0$Linux_X86_64 LibreOffice_project/10$Build-2</Application>
  <AppVersion>15.0000</AppVersion>
  <Pages>6</Pages>
  <Words>1405</Words>
  <Characters>7797</Characters>
  <CharactersWithSpaces>9179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2021-06-22T16:22:00Z</dcterms:created>
  <dc:creator>Paweł Atroszko</dc:creator>
  <dc:description/>
  <dc:language>en-US</dc:language>
  <cp:lastModifiedBy/>
  <dcterms:modified xsi:type="dcterms:W3CDTF">2021-10-11T10:43:48Z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