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109E" w14:textId="77777777" w:rsidR="00733242" w:rsidRPr="00A32C19" w:rsidRDefault="00733242" w:rsidP="00733242">
      <w:pPr>
        <w:spacing w:before="240" w:line="240" w:lineRule="auto"/>
        <w:rPr>
          <w:b/>
          <w:color w:val="000000" w:themeColor="text1"/>
          <w:u w:val="single"/>
          <w:lang w:val="en-CA"/>
        </w:rPr>
      </w:pPr>
      <w:r w:rsidRPr="00A32C19">
        <w:rPr>
          <w:b/>
          <w:color w:val="000000" w:themeColor="text1"/>
          <w:u w:val="single"/>
          <w:lang w:val="en-CA"/>
        </w:rPr>
        <w:t>Supplementary Information</w:t>
      </w:r>
    </w:p>
    <w:p w14:paraId="1C7D457B" w14:textId="77777777" w:rsidR="00733242" w:rsidRPr="00A32C19" w:rsidRDefault="00733242" w:rsidP="00733242">
      <w:pPr>
        <w:spacing w:before="240" w:line="240" w:lineRule="auto"/>
        <w:rPr>
          <w:b/>
          <w:color w:val="000000" w:themeColor="text1"/>
          <w:lang w:val="en-CA"/>
        </w:rPr>
      </w:pPr>
      <w:r w:rsidRPr="00A32C19">
        <w:rPr>
          <w:b/>
          <w:color w:val="000000" w:themeColor="text1"/>
          <w:lang w:val="en-CA"/>
        </w:rPr>
        <w:t xml:space="preserve">Archives of Osteoporosis </w:t>
      </w:r>
    </w:p>
    <w:p w14:paraId="0CDF4F7C" w14:textId="77777777" w:rsidR="00733242" w:rsidRPr="00A32C19" w:rsidRDefault="00733242" w:rsidP="00733242">
      <w:pPr>
        <w:spacing w:before="240" w:line="240" w:lineRule="auto"/>
        <w:rPr>
          <w:color w:val="000000" w:themeColor="text1"/>
          <w:lang w:val="en-CA"/>
        </w:rPr>
      </w:pPr>
      <w:r w:rsidRPr="00A32C19">
        <w:rPr>
          <w:b/>
          <w:color w:val="000000" w:themeColor="text1"/>
          <w:lang w:val="en-CA"/>
        </w:rPr>
        <w:t>Title:</w:t>
      </w:r>
      <w:r w:rsidRPr="00A32C19">
        <w:rPr>
          <w:bCs/>
          <w:color w:val="000000" w:themeColor="text1"/>
          <w:lang w:val="en-CA"/>
        </w:rPr>
        <w:t xml:space="preserve"> A Retrospective Observational Study of</w:t>
      </w:r>
      <w:r w:rsidRPr="00A32C19">
        <w:rPr>
          <w:b/>
          <w:color w:val="000000" w:themeColor="text1"/>
          <w:lang w:val="en-CA"/>
        </w:rPr>
        <w:t xml:space="preserve"> </w:t>
      </w:r>
      <w:r w:rsidRPr="00A32C19">
        <w:rPr>
          <w:color w:val="000000" w:themeColor="text1"/>
          <w:lang w:val="en-CA"/>
        </w:rPr>
        <w:t>Osteoporosis Management after a Fragility Fracture in Primary Care</w:t>
      </w:r>
    </w:p>
    <w:p w14:paraId="6DF90CAE" w14:textId="77777777" w:rsidR="00733242" w:rsidRPr="00A32C19" w:rsidRDefault="00733242" w:rsidP="00733242">
      <w:pPr>
        <w:spacing w:line="240" w:lineRule="auto"/>
        <w:rPr>
          <w:b/>
          <w:bCs/>
          <w:color w:val="000000" w:themeColor="text1"/>
          <w:lang w:val="en-CA"/>
        </w:rPr>
      </w:pPr>
    </w:p>
    <w:p w14:paraId="066857BD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b/>
          <w:bCs/>
          <w:color w:val="000000" w:themeColor="text1"/>
          <w:lang w:val="en-CA"/>
        </w:rPr>
        <w:t>Authors:</w:t>
      </w:r>
      <w:r w:rsidRPr="00A32C19">
        <w:rPr>
          <w:color w:val="000000" w:themeColor="text1"/>
          <w:lang w:val="en-CA"/>
        </w:rPr>
        <w:t xml:space="preserve"> Alan Bell</w:t>
      </w:r>
      <w:r w:rsidRPr="00A32C19">
        <w:rPr>
          <w:color w:val="000000" w:themeColor="text1"/>
          <w:vertAlign w:val="superscript"/>
          <w:lang w:val="en-CA"/>
        </w:rPr>
        <w:t>1</w:t>
      </w:r>
      <w:r w:rsidRPr="00A32C19">
        <w:rPr>
          <w:color w:val="000000" w:themeColor="text1"/>
          <w:lang w:val="en-CA"/>
        </w:rPr>
        <w:t>, David L. Kendler</w:t>
      </w:r>
      <w:r w:rsidRPr="00A32C19">
        <w:rPr>
          <w:color w:val="000000" w:themeColor="text1"/>
          <w:vertAlign w:val="superscript"/>
          <w:lang w:val="en-CA"/>
        </w:rPr>
        <w:t>2</w:t>
      </w:r>
      <w:r w:rsidRPr="00A32C19">
        <w:rPr>
          <w:color w:val="000000" w:themeColor="text1"/>
          <w:lang w:val="en-CA"/>
        </w:rPr>
        <w:t>, Aliya A. Khan</w:t>
      </w:r>
      <w:r w:rsidRPr="00A32C19">
        <w:rPr>
          <w:color w:val="000000" w:themeColor="text1"/>
          <w:vertAlign w:val="superscript"/>
          <w:lang w:val="en-CA"/>
        </w:rPr>
        <w:t>3</w:t>
      </w:r>
      <w:r w:rsidRPr="00A32C19">
        <w:rPr>
          <w:color w:val="000000" w:themeColor="text1"/>
          <w:lang w:val="en-CA"/>
        </w:rPr>
        <w:t>, Marla Shapiro</w:t>
      </w:r>
      <w:r w:rsidRPr="00A32C19">
        <w:rPr>
          <w:color w:val="000000" w:themeColor="text1"/>
          <w:vertAlign w:val="superscript"/>
          <w:lang w:val="en-CA"/>
        </w:rPr>
        <w:t>4</w:t>
      </w:r>
      <w:r w:rsidRPr="00A32C19">
        <w:rPr>
          <w:color w:val="000000" w:themeColor="text1"/>
          <w:lang w:val="en-CA"/>
        </w:rPr>
        <w:t>, Anne Morisset</w:t>
      </w:r>
      <w:r w:rsidRPr="00A32C19">
        <w:rPr>
          <w:color w:val="000000" w:themeColor="text1"/>
          <w:vertAlign w:val="superscript"/>
          <w:lang w:val="en-CA"/>
        </w:rPr>
        <w:t>5</w:t>
      </w:r>
      <w:r w:rsidRPr="00A32C19">
        <w:rPr>
          <w:color w:val="000000" w:themeColor="text1"/>
          <w:lang w:val="en-CA"/>
        </w:rPr>
        <w:t>, Jean-Pierre Leung</w:t>
      </w:r>
      <w:r w:rsidRPr="00A32C19">
        <w:rPr>
          <w:color w:val="000000" w:themeColor="text1"/>
          <w:vertAlign w:val="superscript"/>
          <w:lang w:val="en-CA"/>
        </w:rPr>
        <w:t>6</w:t>
      </w:r>
      <w:r w:rsidRPr="00A32C19">
        <w:rPr>
          <w:color w:val="000000" w:themeColor="text1"/>
          <w:lang w:val="en-CA"/>
        </w:rPr>
        <w:t>, Maureen Reiner</w:t>
      </w:r>
      <w:r w:rsidRPr="00A32C19">
        <w:rPr>
          <w:color w:val="000000" w:themeColor="text1"/>
          <w:vertAlign w:val="superscript"/>
          <w:lang w:val="en-CA"/>
        </w:rPr>
        <w:t>7</w:t>
      </w:r>
      <w:r w:rsidRPr="00A32C19">
        <w:rPr>
          <w:color w:val="000000" w:themeColor="text1"/>
          <w:lang w:val="en-CA"/>
        </w:rPr>
        <w:t>, Stephen M. Colgan</w:t>
      </w:r>
      <w:r w:rsidRPr="00A32C19">
        <w:rPr>
          <w:color w:val="000000" w:themeColor="text1"/>
          <w:vertAlign w:val="superscript"/>
          <w:lang w:val="en-CA"/>
        </w:rPr>
        <w:t>7</w:t>
      </w:r>
      <w:r w:rsidRPr="00A32C19">
        <w:rPr>
          <w:color w:val="000000" w:themeColor="text1"/>
          <w:lang w:val="en-CA"/>
        </w:rPr>
        <w:t>, Lubomira Slatkovska</w:t>
      </w:r>
      <w:r w:rsidRPr="00A32C19">
        <w:rPr>
          <w:color w:val="000000" w:themeColor="text1"/>
          <w:vertAlign w:val="superscript"/>
          <w:lang w:val="en-CA"/>
        </w:rPr>
        <w:t>8</w:t>
      </w:r>
      <w:r w:rsidRPr="00A32C19">
        <w:rPr>
          <w:color w:val="000000" w:themeColor="text1"/>
          <w:lang w:val="en-CA"/>
        </w:rPr>
        <w:t>,</w:t>
      </w:r>
      <w:r w:rsidRPr="00A32C19">
        <w:rPr>
          <w:color w:val="000000" w:themeColor="text1"/>
          <w:vertAlign w:val="superscript"/>
          <w:lang w:val="en-CA"/>
        </w:rPr>
        <w:t xml:space="preserve"> </w:t>
      </w:r>
      <w:r w:rsidRPr="00A32C19">
        <w:rPr>
          <w:color w:val="000000" w:themeColor="text1"/>
          <w:lang w:val="en-CA"/>
        </w:rPr>
        <w:t>Millicent Packalen</w:t>
      </w:r>
      <w:r w:rsidRPr="00A32C19">
        <w:rPr>
          <w:color w:val="000000" w:themeColor="text1"/>
          <w:vertAlign w:val="superscript"/>
          <w:lang w:val="en-CA"/>
        </w:rPr>
        <w:t>8</w:t>
      </w:r>
    </w:p>
    <w:p w14:paraId="6BFAB01F" w14:textId="77777777" w:rsidR="00733242" w:rsidRPr="00A32C19" w:rsidRDefault="00733242" w:rsidP="00733242">
      <w:pPr>
        <w:spacing w:line="240" w:lineRule="auto"/>
        <w:rPr>
          <w:b/>
          <w:bCs/>
          <w:color w:val="000000" w:themeColor="text1"/>
          <w:lang w:val="en-CA"/>
        </w:rPr>
      </w:pPr>
    </w:p>
    <w:p w14:paraId="0B437386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b/>
          <w:bCs/>
          <w:color w:val="000000" w:themeColor="text1"/>
          <w:lang w:val="en-CA"/>
        </w:rPr>
        <w:t>Affiliations:</w:t>
      </w:r>
    </w:p>
    <w:p w14:paraId="35B3A2A3" w14:textId="77777777" w:rsidR="00733242" w:rsidRPr="00A32C19" w:rsidRDefault="00733242" w:rsidP="00733242">
      <w:pPr>
        <w:spacing w:line="240" w:lineRule="auto"/>
        <w:rPr>
          <w:color w:val="000000" w:themeColor="text1"/>
          <w:vertAlign w:val="superscript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1</w:t>
      </w:r>
      <w:r w:rsidRPr="00A32C19">
        <w:rPr>
          <w:color w:val="000000" w:themeColor="text1"/>
        </w:rPr>
        <w:t xml:space="preserve">Department of Family and Community Medicine, </w:t>
      </w:r>
      <w:r w:rsidRPr="00A32C19">
        <w:rPr>
          <w:color w:val="000000" w:themeColor="text1"/>
          <w:lang w:val="en-CA"/>
        </w:rPr>
        <w:t>University of Toronto, Toronto, ON, Canada</w:t>
      </w:r>
      <w:r w:rsidRPr="00A32C19">
        <w:rPr>
          <w:color w:val="000000" w:themeColor="text1"/>
          <w:vertAlign w:val="superscript"/>
          <w:lang w:val="en-CA"/>
        </w:rPr>
        <w:t xml:space="preserve"> </w:t>
      </w:r>
    </w:p>
    <w:p w14:paraId="47732194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2</w:t>
      </w:r>
      <w:r w:rsidRPr="00A32C19">
        <w:rPr>
          <w:color w:val="000000" w:themeColor="text1"/>
          <w:lang w:val="en-CA"/>
        </w:rPr>
        <w:t>Department of Medicine, Division of Endocrinology, University of British Columbia, Vancouver, BC, Canada</w:t>
      </w:r>
    </w:p>
    <w:p w14:paraId="26DC06DB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3</w:t>
      </w:r>
      <w:r w:rsidRPr="00A32C19">
        <w:rPr>
          <w:color w:val="000000" w:themeColor="text1"/>
          <w:lang w:val="en-CA"/>
        </w:rPr>
        <w:t>Department of Medicine, Divisions of Endocrinology and Metabolism and Geriatrics, McMaster University, Hamilton, ON, Canada</w:t>
      </w:r>
    </w:p>
    <w:p w14:paraId="61FFBC19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4</w:t>
      </w:r>
      <w:r w:rsidRPr="00A32C19">
        <w:rPr>
          <w:color w:val="000000" w:themeColor="text1"/>
          <w:lang w:val="en-CA"/>
        </w:rPr>
        <w:t>Department of Family and Community Medicine, University of Toronto, Toronto, ON, Canada</w:t>
      </w:r>
    </w:p>
    <w:p w14:paraId="2AE0024B" w14:textId="77777777" w:rsidR="00733242" w:rsidRPr="00A32C19" w:rsidRDefault="00733242" w:rsidP="00733242">
      <w:pPr>
        <w:spacing w:line="240" w:lineRule="auto"/>
        <w:rPr>
          <w:color w:val="000000" w:themeColor="text1"/>
          <w:vertAlign w:val="superscript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5</w:t>
      </w:r>
      <w:r w:rsidRPr="00A32C19">
        <w:rPr>
          <w:color w:val="000000" w:themeColor="text1"/>
          <w:lang w:val="en-CA"/>
        </w:rPr>
        <w:t>Department of Medicine, Division of Internal Medicine, Sherbrooke University, Sherbrooke, QC, Canada</w:t>
      </w:r>
    </w:p>
    <w:p w14:paraId="6EC4D0B5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6</w:t>
      </w:r>
      <w:r w:rsidRPr="00A32C19">
        <w:rPr>
          <w:color w:val="000000" w:themeColor="text1"/>
          <w:lang w:val="en-CA"/>
        </w:rPr>
        <w:t>Department of Family Medicine, University of Calgary, Calgary, AB, Canada</w:t>
      </w:r>
    </w:p>
    <w:p w14:paraId="0F87AB50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7</w:t>
      </w:r>
      <w:r w:rsidRPr="00A32C19">
        <w:rPr>
          <w:color w:val="000000" w:themeColor="text1"/>
          <w:lang w:val="en-CA"/>
        </w:rPr>
        <w:t>Amgen Inc., California, USA</w:t>
      </w:r>
    </w:p>
    <w:p w14:paraId="62C3E3C4" w14:textId="77777777" w:rsidR="00733242" w:rsidRPr="00A32C19" w:rsidRDefault="00733242" w:rsidP="00733242">
      <w:pPr>
        <w:spacing w:line="240" w:lineRule="auto"/>
        <w:rPr>
          <w:color w:val="000000" w:themeColor="text1"/>
          <w:lang w:val="en-CA"/>
        </w:rPr>
      </w:pPr>
      <w:r w:rsidRPr="00A32C19">
        <w:rPr>
          <w:color w:val="000000" w:themeColor="text1"/>
          <w:vertAlign w:val="superscript"/>
          <w:lang w:val="en-CA"/>
        </w:rPr>
        <w:t>8</w:t>
      </w:r>
      <w:r w:rsidRPr="00A32C19">
        <w:rPr>
          <w:color w:val="000000" w:themeColor="text1"/>
          <w:lang w:val="en-CA"/>
        </w:rPr>
        <w:t>Amgen Canada Inc., Mississauga, ON, Canada</w:t>
      </w:r>
    </w:p>
    <w:p w14:paraId="1005CFE4" w14:textId="77777777" w:rsidR="00733242" w:rsidRPr="00A32C19" w:rsidRDefault="00733242" w:rsidP="00733242">
      <w:pPr>
        <w:spacing w:line="240" w:lineRule="auto"/>
        <w:rPr>
          <w:b/>
          <w:bCs/>
          <w:color w:val="000000" w:themeColor="text1"/>
          <w:lang w:val="en-CA"/>
        </w:rPr>
      </w:pPr>
    </w:p>
    <w:p w14:paraId="4A0510B4" w14:textId="77777777" w:rsidR="00733242" w:rsidRPr="00A32C19" w:rsidRDefault="00733242" w:rsidP="00733242">
      <w:pPr>
        <w:spacing w:line="240" w:lineRule="auto"/>
        <w:rPr>
          <w:b/>
          <w:color w:val="000000" w:themeColor="text1"/>
          <w:lang w:val="en-CA"/>
        </w:rPr>
      </w:pPr>
      <w:r w:rsidRPr="00A32C19">
        <w:rPr>
          <w:b/>
          <w:bCs/>
          <w:color w:val="000000" w:themeColor="text1"/>
          <w:lang w:val="en-CA"/>
        </w:rPr>
        <w:t>Corresponding author:</w:t>
      </w:r>
      <w:r w:rsidRPr="00A32C19">
        <w:rPr>
          <w:color w:val="000000" w:themeColor="text1"/>
          <w:lang w:val="en-CA"/>
        </w:rPr>
        <w:t xml:space="preserve"> Millicent Packalen: </w:t>
      </w:r>
      <w:r w:rsidRPr="00A32C19">
        <w:rPr>
          <w:color w:val="000000" w:themeColor="text1"/>
          <w:u w:val="single"/>
          <w:lang w:val="en-CA"/>
        </w:rPr>
        <w:t>mhume@amgen.com</w:t>
      </w:r>
    </w:p>
    <w:p w14:paraId="3F5EB00B" w14:textId="77777777" w:rsidR="00733242" w:rsidRPr="00A32C19" w:rsidRDefault="00733242" w:rsidP="00733242">
      <w:pPr>
        <w:spacing w:before="240" w:line="240" w:lineRule="auto"/>
        <w:rPr>
          <w:b/>
          <w:color w:val="000000" w:themeColor="text1"/>
          <w:lang w:val="en-CA"/>
        </w:rPr>
      </w:pPr>
    </w:p>
    <w:p w14:paraId="2E9469FE" w14:textId="77777777" w:rsidR="00733242" w:rsidRPr="00A32C19" w:rsidRDefault="00733242" w:rsidP="00675F62">
      <w:pPr>
        <w:spacing w:line="240" w:lineRule="auto"/>
        <w:jc w:val="left"/>
        <w:rPr>
          <w:b/>
          <w:bCs/>
          <w:color w:val="auto"/>
        </w:rPr>
      </w:pPr>
      <w:r w:rsidRPr="00A32C19">
        <w:rPr>
          <w:b/>
          <w:bCs/>
          <w:color w:val="auto"/>
        </w:rPr>
        <w:t>Supplementary Information:</w:t>
      </w:r>
    </w:p>
    <w:p w14:paraId="0EB30081" w14:textId="77777777" w:rsidR="00733242" w:rsidRPr="00A32C19" w:rsidRDefault="00733242" w:rsidP="00675F62">
      <w:pPr>
        <w:spacing w:line="240" w:lineRule="auto"/>
        <w:jc w:val="left"/>
        <w:rPr>
          <w:color w:val="auto"/>
          <w:lang w:val="en-CA"/>
        </w:rPr>
      </w:pPr>
      <w:r w:rsidRPr="00A32C19">
        <w:rPr>
          <w:b/>
          <w:bCs/>
          <w:color w:val="auto"/>
          <w:lang w:val="en-CA"/>
        </w:rPr>
        <w:t>Online Resource 1.</w:t>
      </w:r>
      <w:r w:rsidRPr="00A32C19">
        <w:rPr>
          <w:color w:val="auto"/>
          <w:lang w:val="en-CA"/>
        </w:rPr>
        <w:t xml:space="preserve"> Clinical and Demographic Characteristics of the Index Fracture Cohort</w:t>
      </w:r>
    </w:p>
    <w:p w14:paraId="0427166E" w14:textId="77777777" w:rsidR="00733242" w:rsidRPr="00A32C19" w:rsidRDefault="00733242" w:rsidP="00675F62">
      <w:pPr>
        <w:spacing w:line="240" w:lineRule="auto"/>
        <w:jc w:val="left"/>
        <w:rPr>
          <w:color w:val="auto"/>
          <w:lang w:val="en-CA"/>
        </w:rPr>
      </w:pPr>
      <w:r w:rsidRPr="00A32C19">
        <w:rPr>
          <w:b/>
          <w:bCs/>
          <w:color w:val="auto"/>
          <w:lang w:val="en-CA"/>
        </w:rPr>
        <w:t>Online Resource 2.</w:t>
      </w:r>
      <w:r w:rsidRPr="00A32C19">
        <w:rPr>
          <w:color w:val="auto"/>
          <w:lang w:val="en-CA"/>
        </w:rPr>
        <w:t xml:space="preserve"> BMD and Fracture Risk Assessment Results in the Full Index Fracture Cohort and Patients on Osteoporosis Treatment at Their Index Fracture Date</w:t>
      </w:r>
    </w:p>
    <w:p w14:paraId="6A942AF6" w14:textId="77777777" w:rsidR="00733242" w:rsidRPr="00A32C19" w:rsidRDefault="00733242" w:rsidP="00733242"/>
    <w:p w14:paraId="514117A0" w14:textId="77777777" w:rsidR="00733242" w:rsidRPr="00A32C19" w:rsidRDefault="00733242" w:rsidP="00733242"/>
    <w:p w14:paraId="4934436B" w14:textId="77777777" w:rsidR="00733242" w:rsidRPr="00A32C19" w:rsidRDefault="00733242" w:rsidP="00733242"/>
    <w:p w14:paraId="750B4818" w14:textId="77777777" w:rsidR="00733242" w:rsidRPr="00A32C19" w:rsidRDefault="00733242" w:rsidP="00733242"/>
    <w:p w14:paraId="4CD9B3F5" w14:textId="77777777" w:rsidR="00733242" w:rsidRPr="00A32C19" w:rsidRDefault="00733242" w:rsidP="00733242"/>
    <w:p w14:paraId="56D9A5EE" w14:textId="77777777" w:rsidR="00733242" w:rsidRPr="00A32C19" w:rsidRDefault="00733242" w:rsidP="00733242"/>
    <w:p w14:paraId="76BF72D3" w14:textId="77777777" w:rsidR="00733242" w:rsidRPr="00A32C19" w:rsidRDefault="00733242" w:rsidP="00733242">
      <w:pPr>
        <w:spacing w:after="0" w:line="240" w:lineRule="auto"/>
        <w:jc w:val="left"/>
        <w:rPr>
          <w:b/>
          <w:bCs/>
          <w:color w:val="auto"/>
          <w:lang w:val="en-CA"/>
        </w:rPr>
      </w:pPr>
      <w:bookmarkStart w:id="0" w:name="_Hlk86736123"/>
      <w:r w:rsidRPr="00A32C19">
        <w:rPr>
          <w:b/>
          <w:bCs/>
          <w:color w:val="auto"/>
          <w:lang w:val="en-CA"/>
        </w:rPr>
        <w:lastRenderedPageBreak/>
        <w:t>Online Resource 1. Clinical and Demographic Characteristics of the Index Fracture Cohort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733242" w:rsidRPr="00A32C19" w14:paraId="19323749" w14:textId="77777777" w:rsidTr="00733242">
        <w:trPr>
          <w:trHeight w:val="300"/>
        </w:trPr>
        <w:tc>
          <w:tcPr>
            <w:tcW w:w="4463" w:type="dxa"/>
            <w:shd w:val="clear" w:color="auto" w:fill="000000" w:themeFill="text1"/>
            <w:noWrap/>
            <w:hideMark/>
          </w:tcPr>
          <w:p w14:paraId="29A500EA" w14:textId="77777777" w:rsidR="00733242" w:rsidRPr="00A32C19" w:rsidRDefault="00733242" w:rsidP="00FF1392">
            <w:pPr>
              <w:spacing w:after="0" w:line="240" w:lineRule="auto"/>
              <w:rPr>
                <w:b/>
                <w:bCs/>
                <w:color w:val="FFFFFF" w:themeColor="background1"/>
                <w:lang w:val="en-CA"/>
              </w:rPr>
            </w:pPr>
            <w:r w:rsidRPr="00A32C19">
              <w:rPr>
                <w:b/>
                <w:bCs/>
                <w:color w:val="FFFFFF" w:themeColor="background1"/>
                <w:lang w:val="en-CA"/>
              </w:rPr>
              <w:t>Characteristic</w:t>
            </w:r>
          </w:p>
        </w:tc>
        <w:tc>
          <w:tcPr>
            <w:tcW w:w="4463" w:type="dxa"/>
            <w:shd w:val="clear" w:color="auto" w:fill="000000" w:themeFill="text1"/>
            <w:vAlign w:val="bottom"/>
            <w:hideMark/>
          </w:tcPr>
          <w:p w14:paraId="3A20D904" w14:textId="77777777" w:rsidR="00733242" w:rsidRPr="00A32C19" w:rsidRDefault="00733242" w:rsidP="0073324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A32C19">
              <w:rPr>
                <w:b/>
                <w:bCs/>
                <w:color w:val="FFFFFF" w:themeColor="background1"/>
                <w:lang w:val="en-CA"/>
              </w:rPr>
              <w:t>% (n)</w:t>
            </w:r>
          </w:p>
        </w:tc>
      </w:tr>
      <w:tr w:rsidR="00733242" w:rsidRPr="00A32C19" w14:paraId="49C91F09" w14:textId="77777777" w:rsidTr="00733242">
        <w:trPr>
          <w:trHeight w:val="257"/>
        </w:trPr>
        <w:tc>
          <w:tcPr>
            <w:tcW w:w="4463" w:type="dxa"/>
            <w:shd w:val="clear" w:color="auto" w:fill="000000" w:themeFill="text1"/>
            <w:noWrap/>
          </w:tcPr>
          <w:p w14:paraId="367FB447" w14:textId="77777777" w:rsidR="00733242" w:rsidRPr="00A32C19" w:rsidRDefault="00733242" w:rsidP="00FF1392">
            <w:pPr>
              <w:spacing w:after="0" w:line="360" w:lineRule="auto"/>
              <w:jc w:val="left"/>
              <w:rPr>
                <w:b/>
                <w:bCs/>
                <w:color w:val="FFFFFF" w:themeColor="background1"/>
                <w:lang w:val="en-CA"/>
              </w:rPr>
            </w:pPr>
            <w:r w:rsidRPr="00A32C19">
              <w:rPr>
                <w:b/>
                <w:bCs/>
                <w:color w:val="FFFFFF" w:themeColor="background1"/>
                <w:lang w:val="en-CA"/>
              </w:rPr>
              <w:t>Total number of patients</w:t>
            </w:r>
          </w:p>
        </w:tc>
        <w:tc>
          <w:tcPr>
            <w:tcW w:w="4463" w:type="dxa"/>
            <w:shd w:val="clear" w:color="auto" w:fill="000000" w:themeFill="text1"/>
            <w:noWrap/>
            <w:vAlign w:val="bottom"/>
          </w:tcPr>
          <w:p w14:paraId="5C33C994" w14:textId="77777777" w:rsidR="00733242" w:rsidRPr="00A32C19" w:rsidRDefault="00733242" w:rsidP="00733242">
            <w:pPr>
              <w:spacing w:after="0" w:line="360" w:lineRule="auto"/>
              <w:jc w:val="center"/>
              <w:rPr>
                <w:color w:val="FFFFFF" w:themeColor="background1"/>
                <w:lang w:val="en-CA"/>
              </w:rPr>
            </w:pPr>
            <w:r w:rsidRPr="00A32C19">
              <w:rPr>
                <w:color w:val="FFFFFF" w:themeColor="background1"/>
                <w:lang w:val="en-CA"/>
              </w:rPr>
              <w:t>778</w:t>
            </w:r>
          </w:p>
        </w:tc>
      </w:tr>
      <w:tr w:rsidR="00733242" w:rsidRPr="00A32C19" w14:paraId="33E23635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43B8882B" w14:textId="77777777" w:rsidR="00733242" w:rsidRPr="00A32C19" w:rsidRDefault="00733242" w:rsidP="00FF1392">
            <w:pPr>
              <w:spacing w:after="0" w:line="360" w:lineRule="auto"/>
              <w:rPr>
                <w:color w:val="000000" w:themeColor="text1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Sex</w:t>
            </w:r>
          </w:p>
          <w:p w14:paraId="194CA2AE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Female</w:t>
            </w:r>
          </w:p>
          <w:p w14:paraId="2C09A482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Male</w:t>
            </w:r>
          </w:p>
        </w:tc>
        <w:tc>
          <w:tcPr>
            <w:tcW w:w="4463" w:type="dxa"/>
            <w:noWrap/>
            <w:hideMark/>
          </w:tcPr>
          <w:p w14:paraId="08F8EB04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505CBF7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80.5% (626)</w:t>
            </w:r>
          </w:p>
          <w:p w14:paraId="112AD962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19.5% (152)</w:t>
            </w:r>
          </w:p>
        </w:tc>
      </w:tr>
      <w:tr w:rsidR="00733242" w:rsidRPr="00A32C19" w14:paraId="30D1E3C0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08464C2D" w14:textId="77777777" w:rsidR="00733242" w:rsidRPr="00A32C19" w:rsidRDefault="00733242" w:rsidP="00FF1392">
            <w:pPr>
              <w:spacing w:after="0" w:line="360" w:lineRule="auto"/>
              <w:rPr>
                <w:color w:val="000000" w:themeColor="text1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Age</w:t>
            </w:r>
            <w:r w:rsidRPr="00A32C19">
              <w:rPr>
                <w:b/>
                <w:bCs/>
                <w:color w:val="000000" w:themeColor="text1"/>
                <w:vertAlign w:val="superscript"/>
              </w:rPr>
              <w:t>a</w:t>
            </w:r>
          </w:p>
          <w:p w14:paraId="0BE50150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Mean ± SD</w:t>
            </w:r>
          </w:p>
          <w:p w14:paraId="6B701EEB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Median (IQR)</w:t>
            </w:r>
          </w:p>
        </w:tc>
        <w:tc>
          <w:tcPr>
            <w:tcW w:w="4463" w:type="dxa"/>
            <w:noWrap/>
            <w:hideMark/>
          </w:tcPr>
          <w:p w14:paraId="475F1ACD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26940703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72.2 ± 10.9</w:t>
            </w:r>
          </w:p>
          <w:p w14:paraId="17DDBE15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73 (64-80)</w:t>
            </w:r>
          </w:p>
        </w:tc>
      </w:tr>
      <w:tr w:rsidR="00733242" w:rsidRPr="00A32C19" w14:paraId="55556700" w14:textId="77777777" w:rsidTr="00FF1392">
        <w:trPr>
          <w:trHeight w:val="3112"/>
        </w:trPr>
        <w:tc>
          <w:tcPr>
            <w:tcW w:w="4463" w:type="dxa"/>
            <w:noWrap/>
          </w:tcPr>
          <w:p w14:paraId="7F1B1875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Province</w:t>
            </w:r>
          </w:p>
          <w:p w14:paraId="4D864D4B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Alberta</w:t>
            </w:r>
          </w:p>
          <w:p w14:paraId="34501BC6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British Columbia</w:t>
            </w:r>
          </w:p>
          <w:p w14:paraId="0046597E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Manitoba</w:t>
            </w:r>
          </w:p>
          <w:p w14:paraId="25E3F318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 xml:space="preserve">New Brunswick </w:t>
            </w:r>
          </w:p>
          <w:p w14:paraId="34F19BAA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Ontario</w:t>
            </w:r>
            <w:r w:rsidRPr="00A32C19">
              <w:rPr>
                <w:color w:val="000000" w:themeColor="text1"/>
                <w:lang w:val="en-CA"/>
              </w:rPr>
              <w:br/>
              <w:t>Quebec</w:t>
            </w:r>
          </w:p>
        </w:tc>
        <w:tc>
          <w:tcPr>
            <w:tcW w:w="4463" w:type="dxa"/>
            <w:noWrap/>
          </w:tcPr>
          <w:p w14:paraId="33ED969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3CB7ADF2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2.6% (20)</w:t>
            </w:r>
          </w:p>
          <w:p w14:paraId="6D98FD7F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13.5% (105)</w:t>
            </w:r>
          </w:p>
          <w:p w14:paraId="2141D026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0.4% (3)</w:t>
            </w:r>
          </w:p>
          <w:p w14:paraId="74DB0191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1.9% (15)</w:t>
            </w:r>
          </w:p>
          <w:p w14:paraId="10D8079F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74.9% (583)</w:t>
            </w:r>
          </w:p>
          <w:p w14:paraId="4AA920A0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6.7% (52)</w:t>
            </w:r>
          </w:p>
        </w:tc>
      </w:tr>
      <w:tr w:rsidR="00733242" w:rsidRPr="00A32C19" w14:paraId="09A40DF9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485D52C7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Respiratory conditions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</w:p>
          <w:p w14:paraId="3F3D65B9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Asthma</w:t>
            </w:r>
          </w:p>
          <w:p w14:paraId="31744459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COPD</w:t>
            </w:r>
          </w:p>
        </w:tc>
        <w:tc>
          <w:tcPr>
            <w:tcW w:w="4463" w:type="dxa"/>
            <w:noWrap/>
            <w:hideMark/>
          </w:tcPr>
          <w:p w14:paraId="546ED183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3A687DD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6.7% (52)</w:t>
            </w:r>
          </w:p>
          <w:p w14:paraId="55B130A5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8.4% (65)</w:t>
            </w:r>
          </w:p>
        </w:tc>
      </w:tr>
      <w:tr w:rsidR="00733242" w:rsidRPr="00A32C19" w14:paraId="317121ED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75B8CFBD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Inflammatory conditions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</w:p>
          <w:p w14:paraId="4E066E09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Psoriasis</w:t>
            </w:r>
          </w:p>
          <w:p w14:paraId="67B82A28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Rheumatoid arthritis</w:t>
            </w:r>
          </w:p>
          <w:p w14:paraId="1F362709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Spondyloarthritis</w:t>
            </w:r>
          </w:p>
        </w:tc>
        <w:tc>
          <w:tcPr>
            <w:tcW w:w="4463" w:type="dxa"/>
            <w:noWrap/>
            <w:hideMark/>
          </w:tcPr>
          <w:p w14:paraId="7B844A53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1D244BFD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1.9% (15)</w:t>
            </w:r>
          </w:p>
          <w:p w14:paraId="1483E9E0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3.0% (23)</w:t>
            </w:r>
          </w:p>
          <w:p w14:paraId="23AFFC5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3.9% (30)</w:t>
            </w:r>
          </w:p>
        </w:tc>
      </w:tr>
      <w:tr w:rsidR="00733242" w:rsidRPr="00A32C19" w14:paraId="0778BBD2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5C2F4608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Cancer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</w:p>
        </w:tc>
        <w:tc>
          <w:tcPr>
            <w:tcW w:w="4463" w:type="dxa"/>
            <w:noWrap/>
            <w:hideMark/>
          </w:tcPr>
          <w:p w14:paraId="1C9E7EF2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4.9% (38)</w:t>
            </w:r>
          </w:p>
        </w:tc>
      </w:tr>
      <w:tr w:rsidR="00733242" w:rsidRPr="00A32C19" w14:paraId="53A87A4B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3DCA19B7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Chronic kidney disease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</w:p>
        </w:tc>
        <w:tc>
          <w:tcPr>
            <w:tcW w:w="4463" w:type="dxa"/>
            <w:noWrap/>
            <w:hideMark/>
          </w:tcPr>
          <w:p w14:paraId="0D4964B0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7.6% (59)</w:t>
            </w:r>
          </w:p>
        </w:tc>
      </w:tr>
      <w:tr w:rsidR="00733242" w:rsidRPr="00A32C19" w14:paraId="20C44DD6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01687E98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lang w:val="fr-CA"/>
              </w:rPr>
            </w:pPr>
            <w:r w:rsidRPr="00A32C19">
              <w:rPr>
                <w:b/>
                <w:bCs/>
                <w:color w:val="000000" w:themeColor="text1"/>
                <w:lang w:val="fr-CA"/>
              </w:rPr>
              <w:t>Diabetes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fr-CA"/>
              </w:rPr>
              <w:t>b</w:t>
            </w:r>
          </w:p>
          <w:p w14:paraId="20CD3D8D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Type 1 diabetes</w:t>
            </w:r>
          </w:p>
          <w:p w14:paraId="7CBF03C4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Type 2 diabetes</w:t>
            </w:r>
          </w:p>
        </w:tc>
        <w:tc>
          <w:tcPr>
            <w:tcW w:w="4463" w:type="dxa"/>
            <w:noWrap/>
            <w:hideMark/>
          </w:tcPr>
          <w:p w14:paraId="47006EBA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fr-CA"/>
              </w:rPr>
            </w:pPr>
          </w:p>
          <w:p w14:paraId="76A4A2D2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0.5% (4)</w:t>
            </w:r>
          </w:p>
          <w:p w14:paraId="2507368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19.3% (150)</w:t>
            </w:r>
          </w:p>
        </w:tc>
      </w:tr>
      <w:tr w:rsidR="00733242" w:rsidRPr="00A32C19" w14:paraId="6BD27CEC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25EACE54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Vascular events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</w:p>
          <w:p w14:paraId="3BFA4036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Myocardial infarction</w:t>
            </w:r>
          </w:p>
          <w:p w14:paraId="0A7E2D57" w14:textId="77777777" w:rsidR="00733242" w:rsidRPr="00A32C19" w:rsidRDefault="00733242" w:rsidP="00FF1392">
            <w:pPr>
              <w:spacing w:after="0" w:line="360" w:lineRule="auto"/>
              <w:ind w:left="313"/>
              <w:rPr>
                <w:b/>
                <w:bCs/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Stroke</w:t>
            </w:r>
          </w:p>
        </w:tc>
        <w:tc>
          <w:tcPr>
            <w:tcW w:w="4463" w:type="dxa"/>
            <w:noWrap/>
            <w:hideMark/>
          </w:tcPr>
          <w:p w14:paraId="259E0E4A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3B9702C0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0.4% (3)</w:t>
            </w:r>
          </w:p>
          <w:p w14:paraId="2B515FB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0.3% (2)</w:t>
            </w:r>
          </w:p>
        </w:tc>
      </w:tr>
      <w:tr w:rsidR="00733242" w:rsidRPr="00A32C19" w14:paraId="7EB2101A" w14:textId="77777777" w:rsidTr="00FF1392">
        <w:trPr>
          <w:trHeight w:val="300"/>
        </w:trPr>
        <w:tc>
          <w:tcPr>
            <w:tcW w:w="4463" w:type="dxa"/>
            <w:noWrap/>
            <w:hideMark/>
          </w:tcPr>
          <w:p w14:paraId="050F4A79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Dementia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CA"/>
              </w:rPr>
              <w:t>b</w:t>
            </w:r>
          </w:p>
        </w:tc>
        <w:tc>
          <w:tcPr>
            <w:tcW w:w="4463" w:type="dxa"/>
            <w:noWrap/>
            <w:hideMark/>
          </w:tcPr>
          <w:p w14:paraId="36A8A441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3.3% (26)</w:t>
            </w:r>
          </w:p>
        </w:tc>
      </w:tr>
      <w:tr w:rsidR="00733242" w:rsidRPr="00A32C19" w14:paraId="210F6FD6" w14:textId="77777777" w:rsidTr="00FF1392">
        <w:trPr>
          <w:trHeight w:val="300"/>
        </w:trPr>
        <w:tc>
          <w:tcPr>
            <w:tcW w:w="4463" w:type="dxa"/>
            <w:noWrap/>
          </w:tcPr>
          <w:p w14:paraId="1020A205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vertAlign w:val="superscript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lastRenderedPageBreak/>
              <w:t>Index fracture by site</w:t>
            </w:r>
            <w:r w:rsidRPr="00A32C19">
              <w:rPr>
                <w:b/>
                <w:bCs/>
                <w:color w:val="000000" w:themeColor="text1"/>
                <w:vertAlign w:val="superscript"/>
                <w:lang w:val="en-US"/>
              </w:rPr>
              <w:t>c</w:t>
            </w:r>
          </w:p>
          <w:p w14:paraId="4EF454EF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Spine (clinical)</w:t>
            </w:r>
          </w:p>
          <w:p w14:paraId="0E6B3ABB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Radius</w:t>
            </w:r>
          </w:p>
          <w:p w14:paraId="42B8CC9C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Hip</w:t>
            </w:r>
          </w:p>
          <w:p w14:paraId="468E4ABF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Ribs</w:t>
            </w:r>
          </w:p>
          <w:p w14:paraId="5BD66591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Wrist</w:t>
            </w:r>
          </w:p>
          <w:p w14:paraId="4B033FE5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Humerus</w:t>
            </w:r>
          </w:p>
          <w:p w14:paraId="56B71453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Tarsals</w:t>
            </w:r>
          </w:p>
          <w:p w14:paraId="48938FB7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Fibula</w:t>
            </w:r>
          </w:p>
          <w:p w14:paraId="5FFD37F8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Tibia</w:t>
            </w:r>
          </w:p>
          <w:p w14:paraId="105912CB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Pelvis</w:t>
            </w:r>
          </w:p>
          <w:p w14:paraId="4432A63A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Femur</w:t>
            </w:r>
          </w:p>
          <w:p w14:paraId="661FC68D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 xml:space="preserve">Clavicle </w:t>
            </w:r>
          </w:p>
          <w:p w14:paraId="6C10F400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fr-CA"/>
              </w:rPr>
            </w:pPr>
            <w:r w:rsidRPr="00A32C19">
              <w:rPr>
                <w:color w:val="000000" w:themeColor="text1"/>
                <w:lang w:val="fr-CA"/>
              </w:rPr>
              <w:t>Ulna</w:t>
            </w:r>
          </w:p>
          <w:p w14:paraId="616D899A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Knee</w:t>
            </w:r>
          </w:p>
          <w:p w14:paraId="4244BE79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Scapula</w:t>
            </w:r>
          </w:p>
          <w:p w14:paraId="624C0684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Sternum</w:t>
            </w:r>
          </w:p>
        </w:tc>
        <w:tc>
          <w:tcPr>
            <w:tcW w:w="4463" w:type="dxa"/>
            <w:noWrap/>
          </w:tcPr>
          <w:p w14:paraId="19A2D8A3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175DA129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21.5% (167)</w:t>
            </w:r>
          </w:p>
          <w:p w14:paraId="7DFC615B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13.5% (105)</w:t>
            </w:r>
          </w:p>
          <w:p w14:paraId="562FDA7E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10.9% (85)</w:t>
            </w:r>
          </w:p>
          <w:p w14:paraId="04DDE620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9.8% (76)</w:t>
            </w:r>
          </w:p>
          <w:p w14:paraId="4FD1FEA4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9.8% (76)</w:t>
            </w:r>
          </w:p>
          <w:p w14:paraId="4622A914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8.5% (66)</w:t>
            </w:r>
          </w:p>
          <w:p w14:paraId="3ABD3364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6.8% (53)</w:t>
            </w:r>
          </w:p>
          <w:p w14:paraId="076955FA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6.7% (52)</w:t>
            </w:r>
          </w:p>
          <w:p w14:paraId="6F1418B5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4.1% (32)</w:t>
            </w:r>
          </w:p>
          <w:p w14:paraId="7104BD21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3.6% (28)</w:t>
            </w:r>
          </w:p>
          <w:p w14:paraId="5DD8920C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3.3% (26)</w:t>
            </w:r>
          </w:p>
          <w:p w14:paraId="5867C853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2.3% (18)</w:t>
            </w:r>
          </w:p>
          <w:p w14:paraId="207CFC8F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1.8% (14)</w:t>
            </w:r>
          </w:p>
          <w:p w14:paraId="75F1BCB5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0.3% (2)</w:t>
            </w:r>
          </w:p>
          <w:p w14:paraId="55E165E3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0.3% (2)</w:t>
            </w:r>
          </w:p>
          <w:p w14:paraId="430E924D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0.3% (2)</w:t>
            </w:r>
          </w:p>
        </w:tc>
      </w:tr>
      <w:tr w:rsidR="00733242" w:rsidRPr="00A32C19" w14:paraId="578A49C2" w14:textId="77777777" w:rsidTr="00FF1392">
        <w:trPr>
          <w:trHeight w:val="300"/>
        </w:trPr>
        <w:tc>
          <w:tcPr>
            <w:tcW w:w="4463" w:type="dxa"/>
            <w:noWrap/>
          </w:tcPr>
          <w:p w14:paraId="684232BE" w14:textId="77777777" w:rsidR="00733242" w:rsidRPr="00A32C19" w:rsidRDefault="00733242" w:rsidP="00FF1392">
            <w:pPr>
              <w:spacing w:after="0"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A32C19">
              <w:rPr>
                <w:b/>
                <w:bCs/>
                <w:color w:val="000000" w:themeColor="text1"/>
                <w:lang w:val="en-CA"/>
              </w:rPr>
              <w:t>Number of subsequent fractures</w:t>
            </w:r>
          </w:p>
          <w:p w14:paraId="4EA1803C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At least one</w:t>
            </w:r>
          </w:p>
          <w:p w14:paraId="24C15624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 xml:space="preserve">   One</w:t>
            </w:r>
          </w:p>
          <w:p w14:paraId="28125C7A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 xml:space="preserve">   Two</w:t>
            </w:r>
          </w:p>
          <w:p w14:paraId="63726D0A" w14:textId="77777777" w:rsidR="00733242" w:rsidRPr="00A32C19" w:rsidRDefault="00733242" w:rsidP="00FF1392">
            <w:pPr>
              <w:spacing w:after="0" w:line="360" w:lineRule="auto"/>
              <w:ind w:left="313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 xml:space="preserve">   Three</w:t>
            </w:r>
          </w:p>
        </w:tc>
        <w:tc>
          <w:tcPr>
            <w:tcW w:w="4463" w:type="dxa"/>
            <w:noWrap/>
          </w:tcPr>
          <w:p w14:paraId="37CE05BB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</w:p>
          <w:p w14:paraId="75BE9C64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11.1% (86)</w:t>
            </w:r>
          </w:p>
          <w:p w14:paraId="2C8290C8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8.7% (68)</w:t>
            </w:r>
          </w:p>
          <w:p w14:paraId="27F9043A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1.9% (15)</w:t>
            </w:r>
          </w:p>
          <w:p w14:paraId="1723E80F" w14:textId="77777777" w:rsidR="00733242" w:rsidRPr="00A32C19" w:rsidRDefault="00733242" w:rsidP="00FF1392">
            <w:pPr>
              <w:spacing w:after="0" w:line="360" w:lineRule="auto"/>
              <w:jc w:val="center"/>
              <w:rPr>
                <w:color w:val="000000" w:themeColor="text1"/>
                <w:lang w:val="en-CA"/>
              </w:rPr>
            </w:pPr>
            <w:r w:rsidRPr="00A32C19">
              <w:rPr>
                <w:color w:val="000000" w:themeColor="text1"/>
                <w:lang w:val="en-CA"/>
              </w:rPr>
              <w:t>0.4% (3)</w:t>
            </w:r>
          </w:p>
        </w:tc>
      </w:tr>
    </w:tbl>
    <w:p w14:paraId="6F3C8E29" w14:textId="77777777" w:rsidR="00733242" w:rsidRPr="00A32C19" w:rsidRDefault="00733242" w:rsidP="00733242">
      <w:pPr>
        <w:pStyle w:val="Footnote"/>
        <w:spacing w:line="240" w:lineRule="auto"/>
        <w:rPr>
          <w:color w:val="000000" w:themeColor="text1"/>
          <w:sz w:val="24"/>
          <w:szCs w:val="24"/>
        </w:rPr>
      </w:pPr>
      <w:r w:rsidRPr="00A32C19">
        <w:rPr>
          <w:color w:val="000000" w:themeColor="text1"/>
          <w:sz w:val="24"/>
          <w:szCs w:val="24"/>
        </w:rPr>
        <w:t>Values reported as % (n) unless otherwise indicated.</w:t>
      </w:r>
    </w:p>
    <w:p w14:paraId="0126B050" w14:textId="77777777" w:rsidR="00733242" w:rsidRPr="00A32C19" w:rsidRDefault="00733242" w:rsidP="00733242">
      <w:pPr>
        <w:pStyle w:val="Footnote"/>
        <w:spacing w:line="240" w:lineRule="auto"/>
        <w:rPr>
          <w:color w:val="000000" w:themeColor="text1"/>
          <w:sz w:val="24"/>
          <w:szCs w:val="24"/>
        </w:rPr>
      </w:pPr>
      <w:r w:rsidRPr="00A32C19">
        <w:rPr>
          <w:color w:val="000000" w:themeColor="text1"/>
          <w:sz w:val="24"/>
          <w:szCs w:val="24"/>
          <w:vertAlign w:val="superscript"/>
        </w:rPr>
        <w:t>a</w:t>
      </w:r>
      <w:r w:rsidRPr="00A32C19">
        <w:rPr>
          <w:color w:val="000000" w:themeColor="text1"/>
          <w:sz w:val="24"/>
          <w:szCs w:val="24"/>
        </w:rPr>
        <w:t xml:space="preserve"> n=776.</w:t>
      </w:r>
    </w:p>
    <w:p w14:paraId="44469274" w14:textId="77777777" w:rsidR="00733242" w:rsidRPr="00A32C19" w:rsidRDefault="00733242" w:rsidP="00733242">
      <w:pPr>
        <w:pStyle w:val="Footnote"/>
        <w:spacing w:line="240" w:lineRule="auto"/>
        <w:rPr>
          <w:color w:val="000000" w:themeColor="text1"/>
          <w:sz w:val="24"/>
          <w:szCs w:val="24"/>
        </w:rPr>
      </w:pPr>
      <w:r w:rsidRPr="00A32C19">
        <w:rPr>
          <w:color w:val="000000" w:themeColor="text1"/>
          <w:sz w:val="24"/>
          <w:szCs w:val="24"/>
          <w:vertAlign w:val="superscript"/>
        </w:rPr>
        <w:t>b</w:t>
      </w:r>
      <w:r w:rsidRPr="00A32C19">
        <w:rPr>
          <w:color w:val="000000" w:themeColor="text1"/>
          <w:sz w:val="24"/>
          <w:szCs w:val="24"/>
        </w:rPr>
        <w:t xml:space="preserve"> Time frame for comorbidities was any time prior to the index fracture date.</w:t>
      </w:r>
    </w:p>
    <w:p w14:paraId="626D381E" w14:textId="77777777" w:rsidR="00733242" w:rsidRPr="00A32C19" w:rsidRDefault="00733242" w:rsidP="00733242">
      <w:pPr>
        <w:pStyle w:val="Footnote"/>
        <w:spacing w:line="240" w:lineRule="auto"/>
        <w:rPr>
          <w:color w:val="000000" w:themeColor="text1"/>
          <w:sz w:val="24"/>
          <w:szCs w:val="24"/>
        </w:rPr>
      </w:pPr>
      <w:r w:rsidRPr="00A32C19">
        <w:rPr>
          <w:color w:val="000000" w:themeColor="text1"/>
          <w:sz w:val="24"/>
          <w:szCs w:val="24"/>
          <w:vertAlign w:val="superscript"/>
          <w:lang w:val="en-US"/>
        </w:rPr>
        <w:t xml:space="preserve">c </w:t>
      </w:r>
      <w:r w:rsidRPr="00A32C19">
        <w:rPr>
          <w:color w:val="000000" w:themeColor="text1"/>
          <w:sz w:val="24"/>
          <w:szCs w:val="24"/>
        </w:rPr>
        <w:t>Percent of total number of index fracture cases (N=778) in select primary care centres across Canada from January 1, 2014 to December 1, 2016. Reported from highest to lowest number.</w:t>
      </w:r>
    </w:p>
    <w:p w14:paraId="130EC33F" w14:textId="77777777" w:rsidR="00733242" w:rsidRPr="00A32C19" w:rsidRDefault="00733242" w:rsidP="00733242">
      <w:pPr>
        <w:pStyle w:val="Footnote"/>
        <w:spacing w:line="240" w:lineRule="auto"/>
        <w:rPr>
          <w:color w:val="000000" w:themeColor="text1"/>
          <w:sz w:val="24"/>
          <w:szCs w:val="24"/>
          <w:lang w:val="en-US"/>
        </w:rPr>
      </w:pPr>
      <w:r w:rsidRPr="00A32C19">
        <w:rPr>
          <w:color w:val="000000" w:themeColor="text1"/>
          <w:sz w:val="24"/>
          <w:szCs w:val="24"/>
          <w:lang w:val="en-US"/>
        </w:rPr>
        <w:t>COPD: chronic obstructive pulmonary disease; IQR: interquartile range; SD: standard deviation.</w:t>
      </w:r>
    </w:p>
    <w:p w14:paraId="38651464" w14:textId="77777777" w:rsidR="00733242" w:rsidRPr="00A32C19" w:rsidRDefault="00733242" w:rsidP="00733242">
      <w:pPr>
        <w:pStyle w:val="Footnote"/>
        <w:rPr>
          <w:color w:val="000000" w:themeColor="text1"/>
          <w:lang w:val="en-US"/>
        </w:rPr>
      </w:pPr>
    </w:p>
    <w:p w14:paraId="18CC0544" w14:textId="77777777" w:rsidR="00733242" w:rsidRPr="00A32C19" w:rsidRDefault="00733242" w:rsidP="00733242">
      <w:pPr>
        <w:spacing w:after="0" w:line="240" w:lineRule="auto"/>
        <w:jc w:val="left"/>
        <w:rPr>
          <w:b/>
          <w:bCs/>
          <w:color w:val="000000" w:themeColor="text1"/>
          <w:lang w:val="en-CA"/>
        </w:rPr>
      </w:pPr>
      <w:bookmarkStart w:id="1" w:name="_Hlk86668527"/>
      <w:r w:rsidRPr="00A32C19">
        <w:rPr>
          <w:b/>
          <w:bCs/>
          <w:color w:val="000000" w:themeColor="text1"/>
          <w:lang w:val="en-CA"/>
        </w:rPr>
        <w:br w:type="page"/>
      </w:r>
    </w:p>
    <w:p w14:paraId="65F2B95F" w14:textId="77777777" w:rsidR="00733242" w:rsidRPr="00A32C19" w:rsidRDefault="00733242" w:rsidP="004C6BF7">
      <w:pPr>
        <w:spacing w:after="0" w:line="240" w:lineRule="auto"/>
        <w:jc w:val="left"/>
        <w:rPr>
          <w:b/>
          <w:bCs/>
          <w:color w:val="000000" w:themeColor="text1"/>
          <w:lang w:val="en-CA"/>
        </w:rPr>
      </w:pPr>
      <w:r w:rsidRPr="00A32C19">
        <w:rPr>
          <w:b/>
          <w:bCs/>
          <w:color w:val="000000" w:themeColor="text1"/>
          <w:lang w:val="en-CA"/>
        </w:rPr>
        <w:lastRenderedPageBreak/>
        <w:t>Online Resource 2. BMD and Fracture Risk Assessment Results in the Full Index Fracture Cohort and Patients on Osteoporosis Treatment at Their Index Fracture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733242" w:rsidRPr="00A32C19" w14:paraId="024ED7EC" w14:textId="77777777" w:rsidTr="00FF1392">
        <w:tc>
          <w:tcPr>
            <w:tcW w:w="3823" w:type="dxa"/>
            <w:shd w:val="clear" w:color="auto" w:fill="000000" w:themeFill="text1"/>
          </w:tcPr>
          <w:bookmarkEnd w:id="1"/>
          <w:p w14:paraId="2BBE7024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Assessment</w:t>
            </w:r>
          </w:p>
        </w:tc>
        <w:tc>
          <w:tcPr>
            <w:tcW w:w="2596" w:type="dxa"/>
            <w:shd w:val="clear" w:color="auto" w:fill="000000" w:themeFill="text1"/>
          </w:tcPr>
          <w:p w14:paraId="43E0EDDE" w14:textId="77777777" w:rsidR="00733242" w:rsidRPr="00A32C19" w:rsidRDefault="00733242" w:rsidP="004C6BF7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Full cohort (N=778)</w:t>
            </w:r>
          </w:p>
        </w:tc>
        <w:tc>
          <w:tcPr>
            <w:tcW w:w="2597" w:type="dxa"/>
            <w:shd w:val="clear" w:color="auto" w:fill="000000" w:themeFill="text1"/>
          </w:tcPr>
          <w:p w14:paraId="271240DB" w14:textId="77777777" w:rsidR="00733242" w:rsidRPr="00A32C19" w:rsidRDefault="00733242" w:rsidP="004C6BF7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Patients on Osteoporosis Treatment at Index Date (N=215)</w:t>
            </w:r>
          </w:p>
        </w:tc>
      </w:tr>
      <w:tr w:rsidR="00733242" w:rsidRPr="00A32C19" w14:paraId="3B504354" w14:textId="77777777" w:rsidTr="00FF1392">
        <w:tc>
          <w:tcPr>
            <w:tcW w:w="3823" w:type="dxa"/>
            <w:shd w:val="clear" w:color="auto" w:fill="000000" w:themeFill="text1"/>
          </w:tcPr>
          <w:p w14:paraId="25BE1B5A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FFFFFF" w:themeColor="background1"/>
                <w:lang w:val="en-CA" w:eastAsia="en-US"/>
              </w:rPr>
            </w:pPr>
          </w:p>
        </w:tc>
        <w:tc>
          <w:tcPr>
            <w:tcW w:w="2596" w:type="dxa"/>
            <w:shd w:val="clear" w:color="auto" w:fill="000000" w:themeFill="text1"/>
          </w:tcPr>
          <w:p w14:paraId="092C2265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FFFFFF" w:themeColor="background1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FFFFFF" w:themeColor="background1"/>
                <w:lang w:val="en-CA" w:eastAsia="en-US"/>
              </w:rPr>
              <w:t>% (n)</w:t>
            </w:r>
            <w:r w:rsidRPr="00A32C19">
              <w:rPr>
                <w:b/>
                <w:bCs/>
                <w:color w:val="FFFFFF" w:themeColor="background1"/>
                <w:vertAlign w:val="superscript"/>
              </w:rPr>
              <w:t>a</w:t>
            </w:r>
          </w:p>
        </w:tc>
        <w:tc>
          <w:tcPr>
            <w:tcW w:w="2597" w:type="dxa"/>
            <w:shd w:val="clear" w:color="auto" w:fill="000000" w:themeFill="text1"/>
          </w:tcPr>
          <w:p w14:paraId="7D3026DF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FFFFFF" w:themeColor="background1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FFFFFF" w:themeColor="background1"/>
                <w:lang w:val="en-CA" w:eastAsia="en-US"/>
              </w:rPr>
              <w:t>% (n)</w:t>
            </w:r>
            <w:r w:rsidRPr="00A32C19">
              <w:rPr>
                <w:b/>
                <w:bCs/>
                <w:color w:val="FFFFFF" w:themeColor="background1"/>
                <w:vertAlign w:val="superscript"/>
              </w:rPr>
              <w:t>a</w:t>
            </w:r>
          </w:p>
        </w:tc>
      </w:tr>
      <w:tr w:rsidR="00733242" w:rsidRPr="00A32C19" w14:paraId="0A711781" w14:textId="77777777" w:rsidTr="00FF1392">
        <w:tc>
          <w:tcPr>
            <w:tcW w:w="3823" w:type="dxa"/>
          </w:tcPr>
          <w:p w14:paraId="1133D359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T score ≤-2.5</w:t>
            </w:r>
          </w:p>
          <w:p w14:paraId="0C3FAB0B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Prior to index</w:t>
            </w:r>
          </w:p>
          <w:p w14:paraId="019170D5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Post-index</w:t>
            </w:r>
          </w:p>
        </w:tc>
        <w:tc>
          <w:tcPr>
            <w:tcW w:w="2596" w:type="dxa"/>
          </w:tcPr>
          <w:p w14:paraId="43A258D2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</w:p>
          <w:p w14:paraId="46364808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32.1% (45/140)</w:t>
            </w:r>
          </w:p>
          <w:p w14:paraId="2B7634BF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29.1% (55/189)</w:t>
            </w:r>
          </w:p>
        </w:tc>
        <w:tc>
          <w:tcPr>
            <w:tcW w:w="2597" w:type="dxa"/>
          </w:tcPr>
          <w:p w14:paraId="70D2550E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</w:p>
          <w:p w14:paraId="5015F9D7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51.5% (34/66)</w:t>
            </w:r>
          </w:p>
          <w:p w14:paraId="761E7B67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46.2% (24/52)</w:t>
            </w:r>
          </w:p>
        </w:tc>
      </w:tr>
      <w:tr w:rsidR="00733242" w:rsidRPr="00A32C19" w14:paraId="570C5FDF" w14:textId="77777777" w:rsidTr="00FF1392">
        <w:tc>
          <w:tcPr>
            <w:tcW w:w="3823" w:type="dxa"/>
          </w:tcPr>
          <w:p w14:paraId="2F9F77B9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FRAX: high risk of fracture</w:t>
            </w:r>
            <w:r w:rsidRPr="00A32C19">
              <w:rPr>
                <w:rFonts w:eastAsiaTheme="minorHAnsi"/>
                <w:b/>
                <w:bCs/>
                <w:color w:val="auto"/>
                <w:vertAlign w:val="superscript"/>
                <w:lang w:eastAsia="en-US"/>
              </w:rPr>
              <w:t>b</w:t>
            </w:r>
          </w:p>
          <w:p w14:paraId="13C0AF1B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 xml:space="preserve">  </w:t>
            </w:r>
            <w:r w:rsidRPr="00A32C19">
              <w:rPr>
                <w:rFonts w:eastAsiaTheme="minorHAnsi"/>
                <w:color w:val="auto"/>
                <w:lang w:val="en-CA" w:eastAsia="en-US"/>
              </w:rPr>
              <w:t>Prior to index</w:t>
            </w:r>
          </w:p>
          <w:p w14:paraId="620A4971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Post-index</w:t>
            </w:r>
          </w:p>
        </w:tc>
        <w:tc>
          <w:tcPr>
            <w:tcW w:w="2596" w:type="dxa"/>
          </w:tcPr>
          <w:p w14:paraId="3FB05B74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</w:p>
          <w:p w14:paraId="6BB13E17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50.0% (9/18)</w:t>
            </w:r>
          </w:p>
          <w:p w14:paraId="09A7E71A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30.0% (9/30)</w:t>
            </w:r>
          </w:p>
        </w:tc>
        <w:tc>
          <w:tcPr>
            <w:tcW w:w="2597" w:type="dxa"/>
          </w:tcPr>
          <w:p w14:paraId="095995E8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</w:p>
          <w:p w14:paraId="4CD8A75E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50.0% (7/14)</w:t>
            </w:r>
          </w:p>
          <w:p w14:paraId="2E99A2EE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50.0% (2/4)</w:t>
            </w:r>
          </w:p>
        </w:tc>
      </w:tr>
      <w:tr w:rsidR="00733242" w:rsidRPr="00A32C19" w14:paraId="0E275C8D" w14:textId="77777777" w:rsidTr="00FF1392">
        <w:tc>
          <w:tcPr>
            <w:tcW w:w="3823" w:type="dxa"/>
          </w:tcPr>
          <w:p w14:paraId="10C6DEEF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FRAX: high risk of hip fracture</w:t>
            </w:r>
            <w:r w:rsidRPr="00A32C19">
              <w:rPr>
                <w:rFonts w:eastAsiaTheme="minorHAnsi"/>
                <w:b/>
                <w:bCs/>
                <w:color w:val="auto"/>
                <w:vertAlign w:val="superscript"/>
                <w:lang w:eastAsia="en-US"/>
              </w:rPr>
              <w:t>b</w:t>
            </w:r>
          </w:p>
          <w:p w14:paraId="38632009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Prior to index</w:t>
            </w:r>
          </w:p>
          <w:p w14:paraId="4DD0CF5D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Post-index</w:t>
            </w:r>
          </w:p>
        </w:tc>
        <w:tc>
          <w:tcPr>
            <w:tcW w:w="2596" w:type="dxa"/>
          </w:tcPr>
          <w:p w14:paraId="5EAFF14F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</w:p>
          <w:p w14:paraId="1EC94B54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78.6% (11/14)</w:t>
            </w:r>
          </w:p>
          <w:p w14:paraId="2B5B9103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42.3% (11/26)</w:t>
            </w:r>
          </w:p>
        </w:tc>
        <w:tc>
          <w:tcPr>
            <w:tcW w:w="2597" w:type="dxa"/>
          </w:tcPr>
          <w:p w14:paraId="72D6DC1B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</w:p>
          <w:p w14:paraId="37C6E49B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88.9% (8/9)</w:t>
            </w:r>
          </w:p>
          <w:p w14:paraId="643CDE41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50.0% (1/2)</w:t>
            </w:r>
          </w:p>
        </w:tc>
      </w:tr>
      <w:tr w:rsidR="00733242" w:rsidRPr="00A32C19" w14:paraId="65CEBC55" w14:textId="77777777" w:rsidTr="00FF1392">
        <w:tc>
          <w:tcPr>
            <w:tcW w:w="3823" w:type="dxa"/>
          </w:tcPr>
          <w:p w14:paraId="17164725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b/>
                <w:bCs/>
                <w:color w:val="auto"/>
                <w:lang w:val="en-CA" w:eastAsia="en-US"/>
              </w:rPr>
              <w:t>CAROC: high risk of fracture</w:t>
            </w:r>
            <w:r w:rsidRPr="00A32C19">
              <w:rPr>
                <w:rFonts w:eastAsiaTheme="minorHAnsi"/>
                <w:b/>
                <w:bCs/>
                <w:color w:val="auto"/>
                <w:vertAlign w:val="superscript"/>
                <w:lang w:eastAsia="en-US"/>
              </w:rPr>
              <w:t>b</w:t>
            </w:r>
          </w:p>
          <w:p w14:paraId="4CB41994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Prior to index</w:t>
            </w:r>
          </w:p>
          <w:p w14:paraId="34461304" w14:textId="77777777" w:rsidR="00733242" w:rsidRPr="00A32C19" w:rsidRDefault="00733242" w:rsidP="00FF1392">
            <w:pPr>
              <w:spacing w:after="0" w:line="360" w:lineRule="auto"/>
              <w:jc w:val="left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 xml:space="preserve">  Post-index</w:t>
            </w:r>
          </w:p>
        </w:tc>
        <w:tc>
          <w:tcPr>
            <w:tcW w:w="2596" w:type="dxa"/>
          </w:tcPr>
          <w:p w14:paraId="7F544888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</w:p>
          <w:p w14:paraId="5F6F7F91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30.4% (24/79)</w:t>
            </w:r>
          </w:p>
          <w:p w14:paraId="537DC8BF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50.0% (53/106)</w:t>
            </w:r>
          </w:p>
        </w:tc>
        <w:tc>
          <w:tcPr>
            <w:tcW w:w="2597" w:type="dxa"/>
          </w:tcPr>
          <w:p w14:paraId="1B8B36E2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b/>
                <w:bCs/>
                <w:color w:val="auto"/>
                <w:lang w:val="en-CA" w:eastAsia="en-US"/>
              </w:rPr>
            </w:pPr>
          </w:p>
          <w:p w14:paraId="46C53A5E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59.0% (23/39)</w:t>
            </w:r>
          </w:p>
          <w:p w14:paraId="175CFFD1" w14:textId="77777777" w:rsidR="00733242" w:rsidRPr="00A32C19" w:rsidRDefault="00733242" w:rsidP="00FF1392">
            <w:pPr>
              <w:spacing w:after="0" w:line="360" w:lineRule="auto"/>
              <w:jc w:val="center"/>
              <w:rPr>
                <w:rFonts w:eastAsiaTheme="minorHAnsi"/>
                <w:color w:val="auto"/>
                <w:lang w:val="en-CA" w:eastAsia="en-US"/>
              </w:rPr>
            </w:pPr>
            <w:r w:rsidRPr="00A32C19">
              <w:rPr>
                <w:rFonts w:eastAsiaTheme="minorHAnsi"/>
                <w:color w:val="auto"/>
                <w:lang w:val="en-CA" w:eastAsia="en-US"/>
              </w:rPr>
              <w:t>64.7% (22/34)</w:t>
            </w:r>
          </w:p>
        </w:tc>
      </w:tr>
    </w:tbl>
    <w:p w14:paraId="471BE6B0" w14:textId="77777777" w:rsidR="00733242" w:rsidRPr="00A32C19" w:rsidRDefault="00733242" w:rsidP="00733242">
      <w:pPr>
        <w:spacing w:after="0" w:line="240" w:lineRule="auto"/>
        <w:rPr>
          <w:color w:val="auto"/>
          <w:lang w:val="en-CA"/>
        </w:rPr>
      </w:pPr>
      <w:r w:rsidRPr="00A32C19">
        <w:rPr>
          <w:color w:val="auto"/>
          <w:vertAlign w:val="superscript"/>
        </w:rPr>
        <w:t xml:space="preserve">a </w:t>
      </w:r>
      <w:r w:rsidRPr="00A32C19">
        <w:rPr>
          <w:color w:val="auto"/>
          <w:lang w:val="en-CA"/>
        </w:rPr>
        <w:t>Data represents pati</w:t>
      </w:r>
      <w:r w:rsidRPr="00A32C19">
        <w:rPr>
          <w:color w:val="auto"/>
        </w:rPr>
        <w:t xml:space="preserve">ents who had results available. </w:t>
      </w:r>
      <w:r w:rsidRPr="00A32C19">
        <w:rPr>
          <w:color w:val="auto"/>
          <w:lang w:val="en-CA"/>
        </w:rPr>
        <w:t>Patients assessed prior to vs. post-index fracture were not necessarily the same patients.</w:t>
      </w:r>
    </w:p>
    <w:p w14:paraId="146DD7AA" w14:textId="77777777" w:rsidR="00733242" w:rsidRPr="00A32C19" w:rsidRDefault="00733242" w:rsidP="00733242">
      <w:pPr>
        <w:spacing w:after="0" w:line="240" w:lineRule="auto"/>
        <w:rPr>
          <w:color w:val="auto"/>
        </w:rPr>
      </w:pPr>
      <w:r w:rsidRPr="00A32C19">
        <w:rPr>
          <w:color w:val="auto"/>
          <w:vertAlign w:val="superscript"/>
        </w:rPr>
        <w:t xml:space="preserve">b </w:t>
      </w:r>
      <w:r w:rsidRPr="00A32C19">
        <w:rPr>
          <w:color w:val="auto"/>
        </w:rPr>
        <w:t>Defined as FRAX/CAROC ≥20% probability for major osteoporotic fracture or FRAX ≥3% probability for hip fracture.</w:t>
      </w:r>
    </w:p>
    <w:p w14:paraId="2F4D03F1" w14:textId="6783B7E0" w:rsidR="00733242" w:rsidRPr="00A32C19" w:rsidRDefault="00733242" w:rsidP="00733242">
      <w:pPr>
        <w:spacing w:after="0" w:line="240" w:lineRule="auto"/>
        <w:rPr>
          <w:color w:val="auto"/>
          <w:lang w:val="en-US"/>
        </w:rPr>
      </w:pPr>
      <w:r w:rsidRPr="00A32C19">
        <w:rPr>
          <w:color w:val="auto"/>
          <w:lang w:val="en-US"/>
        </w:rPr>
        <w:t>BMD: bone mineral density; CAROC</w:t>
      </w:r>
      <w:r w:rsidR="004C6BF7" w:rsidRPr="00A32C19">
        <w:rPr>
          <w:color w:val="auto"/>
          <w:lang w:val="en-US"/>
        </w:rPr>
        <w:t>:</w:t>
      </w:r>
      <w:r w:rsidRPr="00A32C19">
        <w:rPr>
          <w:color w:val="auto"/>
          <w:lang w:val="en-US"/>
        </w:rPr>
        <w:t xml:space="preserve"> Canadian Association of Radiologists and Osteoporosis Canada; FRAX</w:t>
      </w:r>
      <w:r w:rsidR="004C6BF7" w:rsidRPr="00A32C19">
        <w:rPr>
          <w:color w:val="auto"/>
          <w:lang w:val="en-US"/>
        </w:rPr>
        <w:t>:</w:t>
      </w:r>
      <w:r w:rsidR="003A66EB">
        <w:rPr>
          <w:color w:val="auto"/>
          <w:lang w:val="en-US"/>
        </w:rPr>
        <w:t xml:space="preserve"> </w:t>
      </w:r>
      <w:r w:rsidRPr="00A32C19">
        <w:rPr>
          <w:color w:val="auto"/>
          <w:lang w:val="en-US"/>
        </w:rPr>
        <w:t>Fracture Risk Assessment Tool.</w:t>
      </w:r>
    </w:p>
    <w:p w14:paraId="389D0579" w14:textId="77777777" w:rsidR="00733242" w:rsidRPr="00A32C19" w:rsidRDefault="00733242" w:rsidP="00733242">
      <w:pPr>
        <w:pStyle w:val="Footnote"/>
        <w:rPr>
          <w:color w:val="000000" w:themeColor="text1"/>
          <w:lang w:val="en-US"/>
        </w:rPr>
      </w:pPr>
    </w:p>
    <w:p w14:paraId="7AE7D363" w14:textId="77777777" w:rsidR="00733242" w:rsidRPr="00A32C19" w:rsidRDefault="00733242" w:rsidP="00733242">
      <w:pPr>
        <w:pStyle w:val="Footnote"/>
        <w:rPr>
          <w:color w:val="000000" w:themeColor="text1"/>
          <w:lang w:val="en-US"/>
        </w:rPr>
      </w:pPr>
    </w:p>
    <w:p w14:paraId="2AA57467" w14:textId="77777777" w:rsidR="00733242" w:rsidRPr="00A32C19" w:rsidRDefault="00733242" w:rsidP="00733242">
      <w:pPr>
        <w:rPr>
          <w:lang w:val="en-US"/>
        </w:rPr>
      </w:pPr>
    </w:p>
    <w:bookmarkEnd w:id="0"/>
    <w:p w14:paraId="286F5B93" w14:textId="77777777" w:rsidR="00733242" w:rsidRPr="00A32C19" w:rsidRDefault="00733242" w:rsidP="00733242">
      <w:pPr>
        <w:spacing w:after="160" w:line="259" w:lineRule="auto"/>
        <w:jc w:val="left"/>
        <w:rPr>
          <w:b/>
          <w:bCs/>
          <w:color w:val="auto"/>
          <w:lang w:val="en-CA"/>
        </w:rPr>
      </w:pPr>
    </w:p>
    <w:p w14:paraId="602DCEB4" w14:textId="77777777" w:rsidR="00440345" w:rsidRPr="00A32C19" w:rsidRDefault="00440345"/>
    <w:sectPr w:rsidR="00440345" w:rsidRPr="00A32C19" w:rsidSect="00707D47">
      <w:footerReference w:type="even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6920" w14:textId="77777777" w:rsidR="006950DA" w:rsidRDefault="00A32C19">
      <w:pPr>
        <w:spacing w:after="0" w:line="240" w:lineRule="auto"/>
      </w:pPr>
      <w:r>
        <w:separator/>
      </w:r>
    </w:p>
  </w:endnote>
  <w:endnote w:type="continuationSeparator" w:id="0">
    <w:p w14:paraId="2311E7DF" w14:textId="77777777" w:rsidR="006950DA" w:rsidRDefault="00A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59681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1FE09" w14:textId="77777777" w:rsidR="0009150D" w:rsidRDefault="00650DE9" w:rsidP="00281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3B847F" w14:textId="77777777" w:rsidR="0009150D" w:rsidRDefault="003A66EB" w:rsidP="00532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7775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32F3E" w14:textId="77777777" w:rsidR="0009150D" w:rsidRDefault="00650DE9" w:rsidP="00281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0E5817F9" w14:textId="77777777" w:rsidR="0009150D" w:rsidRDefault="003A66EB" w:rsidP="00532F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AE74" w14:textId="77777777" w:rsidR="006950DA" w:rsidRDefault="00A32C19">
      <w:pPr>
        <w:spacing w:after="0" w:line="240" w:lineRule="auto"/>
      </w:pPr>
      <w:r>
        <w:separator/>
      </w:r>
    </w:p>
  </w:footnote>
  <w:footnote w:type="continuationSeparator" w:id="0">
    <w:p w14:paraId="6822B86E" w14:textId="77777777" w:rsidR="006950DA" w:rsidRDefault="00A3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2"/>
    <w:rsid w:val="003A66EB"/>
    <w:rsid w:val="00440345"/>
    <w:rsid w:val="004C6BF7"/>
    <w:rsid w:val="00650DE9"/>
    <w:rsid w:val="00675F62"/>
    <w:rsid w:val="006950DA"/>
    <w:rsid w:val="00733242"/>
    <w:rsid w:val="00A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BF5C"/>
  <w15:chartTrackingRefBased/>
  <w15:docId w15:val="{06406584-BE37-4D0F-98BB-99876CF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42"/>
    <w:pPr>
      <w:spacing w:after="60" w:line="480" w:lineRule="auto"/>
      <w:jc w:val="both"/>
    </w:pPr>
    <w:rPr>
      <w:rFonts w:ascii="Times New Roman" w:hAnsi="Times New Roman" w:cs="Times New Roman"/>
      <w:color w:val="33333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33242"/>
    <w:pPr>
      <w:spacing w:after="0" w:line="240" w:lineRule="auto"/>
      <w:jc w:val="left"/>
    </w:pPr>
    <w:rPr>
      <w:rFonts w:ascii="Calibri" w:eastAsia="Calibri" w:hAnsi="Calibri" w:cs="Calibri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42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33242"/>
    <w:rPr>
      <w:sz w:val="16"/>
      <w:szCs w:val="16"/>
    </w:rPr>
  </w:style>
  <w:style w:type="paragraph" w:customStyle="1" w:styleId="Footnote">
    <w:name w:val="Footnote"/>
    <w:basedOn w:val="Normal"/>
    <w:qFormat/>
    <w:rsid w:val="00733242"/>
    <w:pPr>
      <w:spacing w:after="0" w:line="360" w:lineRule="auto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733242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3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42"/>
    <w:rPr>
      <w:rFonts w:ascii="Times New Roman" w:hAnsi="Times New Roman" w:cs="Times New Roman"/>
      <w:color w:val="333333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3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 Vachon</dc:creator>
  <cp:keywords/>
  <dc:description/>
  <cp:lastModifiedBy>Bayley Vachon</cp:lastModifiedBy>
  <cp:revision>5</cp:revision>
  <dcterms:created xsi:type="dcterms:W3CDTF">2021-11-24T22:31:00Z</dcterms:created>
  <dcterms:modified xsi:type="dcterms:W3CDTF">2021-11-24T23:18:00Z</dcterms:modified>
</cp:coreProperties>
</file>