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20" w:rsidRPr="003B4C20" w:rsidRDefault="003B4C20">
      <w:pPr>
        <w:rPr>
          <w:rFonts w:asciiTheme="majorBidi" w:hAnsiTheme="majorBidi" w:cstheme="majorBidi"/>
          <w:noProof/>
          <w:sz w:val="24"/>
          <w:szCs w:val="24"/>
        </w:rPr>
      </w:pPr>
      <w:r w:rsidRPr="003B4C20">
        <w:rPr>
          <w:rFonts w:asciiTheme="majorBidi" w:hAnsiTheme="majorBidi" w:cstheme="majorBidi"/>
          <w:noProof/>
          <w:sz w:val="24"/>
          <w:szCs w:val="24"/>
        </w:rPr>
        <w:t>A</w:t>
      </w:r>
    </w:p>
    <w:p w:rsidR="003B4C20" w:rsidRPr="003B4C20" w:rsidRDefault="003B4C20">
      <w:pPr>
        <w:rPr>
          <w:rFonts w:asciiTheme="majorBidi" w:hAnsiTheme="majorBidi" w:cstheme="majorBidi"/>
          <w:sz w:val="24"/>
          <w:szCs w:val="24"/>
        </w:rPr>
      </w:pPr>
      <w:r w:rsidRPr="003B4C2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E81775A" wp14:editId="37CC76C9">
            <wp:extent cx="3787140" cy="2263140"/>
            <wp:effectExtent l="0" t="0" r="3810" b="3810"/>
            <wp:docPr id="1" name="Picture 1" descr="D:\D\Desktop\End Works\Bariatric\crp\crp meta-reg by basline 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Desktop\End Works\Bariatric\crp\crp meta-reg by basline b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507" cy="22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18" w:rsidRPr="003B4C20" w:rsidRDefault="003B4C20">
      <w:pPr>
        <w:rPr>
          <w:rFonts w:asciiTheme="majorBidi" w:hAnsiTheme="majorBidi" w:cstheme="majorBidi"/>
          <w:sz w:val="24"/>
          <w:szCs w:val="24"/>
        </w:rPr>
      </w:pPr>
      <w:r w:rsidRPr="003B4C20">
        <w:rPr>
          <w:rFonts w:asciiTheme="majorBidi" w:hAnsiTheme="majorBidi" w:cstheme="majorBidi"/>
          <w:sz w:val="24"/>
          <w:szCs w:val="24"/>
        </w:rPr>
        <w:t>B</w:t>
      </w:r>
    </w:p>
    <w:p w:rsidR="003B4C20" w:rsidRPr="003B4C20" w:rsidRDefault="00A83A9E">
      <w:pPr>
        <w:rPr>
          <w:rFonts w:asciiTheme="majorBidi" w:hAnsiTheme="majorBidi" w:cstheme="majorBidi"/>
          <w:sz w:val="24"/>
          <w:szCs w:val="24"/>
        </w:rPr>
      </w:pPr>
      <w:r w:rsidRPr="003B4C2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9F5D49D" wp14:editId="26EA4B7A">
            <wp:extent cx="3832860" cy="2011680"/>
            <wp:effectExtent l="0" t="0" r="0" b="7620"/>
            <wp:docPr id="2" name="Picture 2" descr="D:\D\Desktop\End Works\Bariatric\il-6\il-6 metaregg by baseline 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esktop\End Works\Bariatric\il-6\il-6 metaregg by baseline b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56" cy="20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9E" w:rsidRPr="003B4C20" w:rsidRDefault="003B4C20">
      <w:pPr>
        <w:rPr>
          <w:rFonts w:asciiTheme="majorBidi" w:hAnsiTheme="majorBidi" w:cstheme="majorBidi"/>
          <w:sz w:val="24"/>
          <w:szCs w:val="24"/>
        </w:rPr>
      </w:pPr>
      <w:r w:rsidRPr="003B4C20">
        <w:rPr>
          <w:rFonts w:asciiTheme="majorBidi" w:hAnsiTheme="majorBidi" w:cstheme="majorBidi"/>
          <w:sz w:val="24"/>
          <w:szCs w:val="24"/>
        </w:rPr>
        <w:t>C</w:t>
      </w:r>
    </w:p>
    <w:p w:rsidR="00A83A9E" w:rsidRPr="003B4C20" w:rsidRDefault="00A83A9E">
      <w:pPr>
        <w:rPr>
          <w:rFonts w:asciiTheme="majorBidi" w:hAnsiTheme="majorBidi" w:cstheme="majorBidi"/>
          <w:sz w:val="24"/>
          <w:szCs w:val="24"/>
        </w:rPr>
      </w:pPr>
      <w:r w:rsidRPr="003B4C2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55E42E4" wp14:editId="0C38E7D1">
            <wp:extent cx="3832860" cy="2232660"/>
            <wp:effectExtent l="0" t="0" r="0" b="0"/>
            <wp:docPr id="3" name="Picture 3" descr="D:\D\Desktop\End Works\Bariatric\tnf-a\tnf-a meta-regg by baseline 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Desktop\End Works\Bariatric\tnf-a\tnf-a meta-regg by baseline b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63" cy="22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9E" w:rsidRPr="003B4C20" w:rsidRDefault="00A83A9E" w:rsidP="003B4C2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3B4C20">
        <w:rPr>
          <w:rFonts w:asciiTheme="majorBidi" w:hAnsiTheme="majorBidi" w:cstheme="majorBidi"/>
          <w:b/>
          <w:bCs/>
          <w:sz w:val="24"/>
          <w:szCs w:val="24"/>
        </w:rPr>
        <w:t>Supplemental Figure 4:</w:t>
      </w:r>
      <w:r w:rsidRPr="003B4C20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="003B4C20" w:rsidRPr="003B4C20">
        <w:rPr>
          <w:rFonts w:asciiTheme="majorBidi" w:hAnsiTheme="majorBidi" w:cstheme="majorBidi"/>
          <w:sz w:val="24"/>
          <w:szCs w:val="24"/>
        </w:rPr>
        <w:t>Random-effects </w:t>
      </w:r>
      <w:r w:rsidR="003B4C20" w:rsidRPr="003B4C20">
        <w:rPr>
          <w:rFonts w:asciiTheme="majorBidi" w:hAnsiTheme="majorBidi" w:cstheme="majorBidi"/>
          <w:sz w:val="24"/>
          <w:szCs w:val="24"/>
        </w:rPr>
        <w:t>meta-regression</w:t>
      </w:r>
      <w:r w:rsidR="003B4C20" w:rsidRPr="003B4C20">
        <w:rPr>
          <w:rFonts w:asciiTheme="majorBidi" w:hAnsiTheme="majorBidi" w:cstheme="majorBidi"/>
          <w:sz w:val="24"/>
          <w:szCs w:val="24"/>
        </w:rPr>
        <w:t> plots of the association between</w:t>
      </w:r>
      <w:r w:rsidR="003B4C20" w:rsidRPr="003B4C20">
        <w:rPr>
          <w:rFonts w:asciiTheme="majorBidi" w:hAnsiTheme="majorBidi" w:cstheme="majorBidi"/>
          <w:sz w:val="24"/>
          <w:szCs w:val="24"/>
        </w:rPr>
        <w:t xml:space="preserve"> baseline BMI (kg/m</w:t>
      </w:r>
      <w:r w:rsidR="003B4C20" w:rsidRPr="003B4C2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3B4C20" w:rsidRPr="003B4C20">
        <w:rPr>
          <w:rFonts w:asciiTheme="majorBidi" w:hAnsiTheme="majorBidi" w:cstheme="majorBidi"/>
          <w:sz w:val="24"/>
          <w:szCs w:val="24"/>
        </w:rPr>
        <w:t xml:space="preserve">) and means of (A) </w:t>
      </w:r>
      <w:r w:rsidR="003B4C20" w:rsidRPr="003B4C20">
        <w:rPr>
          <w:rFonts w:asciiTheme="majorBidi" w:hAnsiTheme="majorBidi" w:cstheme="majorBidi"/>
          <w:sz w:val="24"/>
          <w:szCs w:val="24"/>
        </w:rPr>
        <w:t>CRP</w:t>
      </w:r>
      <w:r w:rsidR="003B4C20" w:rsidRPr="003B4C20">
        <w:rPr>
          <w:rFonts w:asciiTheme="majorBidi" w:hAnsiTheme="majorBidi" w:cstheme="majorBidi"/>
          <w:sz w:val="24"/>
          <w:szCs w:val="24"/>
        </w:rPr>
        <w:t>, (</w:t>
      </w:r>
      <w:r w:rsidR="003B4C20" w:rsidRPr="003B4C2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B</w:t>
      </w:r>
      <w:r w:rsidR="003B4C20" w:rsidRPr="003B4C20">
        <w:rPr>
          <w:rFonts w:asciiTheme="majorBidi" w:hAnsiTheme="majorBidi" w:cstheme="majorBidi"/>
          <w:sz w:val="24"/>
          <w:szCs w:val="24"/>
        </w:rPr>
        <w:t xml:space="preserve">) </w:t>
      </w:r>
      <w:r w:rsidR="003B4C20" w:rsidRPr="003B4C20">
        <w:rPr>
          <w:rFonts w:asciiTheme="majorBidi" w:hAnsiTheme="majorBidi" w:cstheme="majorBidi"/>
          <w:sz w:val="24"/>
          <w:szCs w:val="24"/>
        </w:rPr>
        <w:t>IL-6</w:t>
      </w:r>
      <w:r w:rsidR="003B4C20" w:rsidRPr="003B4C20">
        <w:rPr>
          <w:rFonts w:asciiTheme="majorBidi" w:hAnsiTheme="majorBidi" w:cstheme="majorBidi"/>
          <w:sz w:val="24"/>
          <w:szCs w:val="24"/>
        </w:rPr>
        <w:t>, (</w:t>
      </w:r>
      <w:r w:rsidR="003B4C20" w:rsidRPr="003B4C2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C</w:t>
      </w:r>
      <w:r w:rsidR="003B4C20" w:rsidRPr="003B4C20">
        <w:rPr>
          <w:rFonts w:asciiTheme="majorBidi" w:hAnsiTheme="majorBidi" w:cstheme="majorBidi"/>
          <w:sz w:val="24"/>
          <w:szCs w:val="24"/>
        </w:rPr>
        <w:t xml:space="preserve">) and </w:t>
      </w:r>
      <w:r w:rsidR="003B4C20" w:rsidRPr="003B4C20">
        <w:rPr>
          <w:rFonts w:asciiTheme="majorBidi" w:hAnsiTheme="majorBidi" w:cstheme="majorBidi"/>
          <w:sz w:val="24"/>
          <w:szCs w:val="24"/>
        </w:rPr>
        <w:t xml:space="preserve">TNF-α. </w:t>
      </w:r>
    </w:p>
    <w:sectPr w:rsidR="00A83A9E" w:rsidRPr="003B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AA"/>
    <w:rsid w:val="00352C18"/>
    <w:rsid w:val="003B4C20"/>
    <w:rsid w:val="003C04AA"/>
    <w:rsid w:val="00A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68FF"/>
  <w15:chartTrackingRefBased/>
  <w15:docId w15:val="{58A4D4D5-7A2A-455C-AD27-28574333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C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Gerdoo.net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2018-12-01T23:30:00Z</dcterms:created>
  <dcterms:modified xsi:type="dcterms:W3CDTF">2018-12-02T16:47:00Z</dcterms:modified>
</cp:coreProperties>
</file>