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3" w:rsidRPr="00A74FD3" w:rsidRDefault="00A74FD3" w:rsidP="004570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A74FD3">
        <w:rPr>
          <w:rFonts w:ascii="Times New Roman" w:hAnsi="Times New Roman" w:cs="Times New Roman"/>
          <w:b/>
          <w:sz w:val="24"/>
          <w:lang w:val="en-GB"/>
        </w:rPr>
        <w:t>Online resource 2.</w:t>
      </w:r>
      <w:proofErr w:type="gramEnd"/>
      <w:r w:rsidRPr="00A74FD3">
        <w:rPr>
          <w:rFonts w:ascii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Un</w:t>
      </w:r>
      <w:r w:rsidRPr="00A74FD3">
        <w:rPr>
          <w:rFonts w:ascii="Times New Roman" w:hAnsi="Times New Roman" w:cs="Times New Roman"/>
          <w:sz w:val="24"/>
          <w:lang w:val="en-GB"/>
        </w:rPr>
        <w:t>i- and multivariate analyses</w:t>
      </w:r>
      <w:r w:rsidRPr="00A74F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F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factors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predicting a </w:t>
      </w:r>
      <w:r w:rsidR="004B7D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response to dopamine agonists, arbitrarily defined as </w:t>
      </w:r>
      <w:r w:rsidR="00241A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both </w:t>
      </w:r>
      <w:r w:rsidR="004B7D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lack of </w:t>
      </w:r>
      <w:r w:rsidRPr="00A74F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normalization of prolactin concentrations and </w:t>
      </w:r>
      <w:r w:rsidR="00241A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lack </w:t>
      </w:r>
      <w:r w:rsidR="004B7D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r w:rsidRPr="00A74F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more than 50%-reduction of the largest tumor coronal surface after one year of medical treatment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41A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dopamine agonists.</w:t>
      </w:r>
    </w:p>
    <w:p w:rsidR="00A74FD3" w:rsidRPr="00A74FD3" w:rsidRDefault="00A74FD3" w:rsidP="00A74FD3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tbl>
      <w:tblPr>
        <w:tblW w:w="14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1708"/>
        <w:gridCol w:w="2020"/>
        <w:gridCol w:w="1579"/>
        <w:gridCol w:w="1645"/>
        <w:gridCol w:w="1952"/>
        <w:gridCol w:w="1445"/>
      </w:tblGrid>
      <w:tr w:rsidR="00A74FD3" w:rsidRPr="00A74FD3" w:rsidTr="00A7072C">
        <w:trPr>
          <w:trHeight w:val="458"/>
        </w:trPr>
        <w:tc>
          <w:tcPr>
            <w:tcW w:w="40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53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Univariate analysis</w:t>
            </w:r>
          </w:p>
        </w:tc>
        <w:tc>
          <w:tcPr>
            <w:tcW w:w="50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Multivariate analysis</w:t>
            </w:r>
          </w:p>
        </w:tc>
      </w:tr>
      <w:tr w:rsidR="00A74FD3" w:rsidRPr="00A74FD3" w:rsidTr="00A74FD3">
        <w:trPr>
          <w:trHeight w:val="458"/>
        </w:trPr>
        <w:tc>
          <w:tcPr>
            <w:tcW w:w="40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Variable</w:t>
            </w:r>
          </w:p>
        </w:tc>
        <w:tc>
          <w:tcPr>
            <w:tcW w:w="1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Odds ratio</w:t>
            </w:r>
          </w:p>
        </w:tc>
        <w:tc>
          <w:tcPr>
            <w:tcW w:w="2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95% CI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 value</w:t>
            </w:r>
          </w:p>
        </w:tc>
        <w:tc>
          <w:tcPr>
            <w:tcW w:w="16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Odds ratio</w:t>
            </w:r>
          </w:p>
        </w:tc>
        <w:tc>
          <w:tcPr>
            <w:tcW w:w="19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95% CI</w:t>
            </w:r>
          </w:p>
        </w:tc>
        <w:tc>
          <w:tcPr>
            <w:tcW w:w="1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 value</w:t>
            </w:r>
          </w:p>
        </w:tc>
      </w:tr>
      <w:tr w:rsidR="00A74FD3" w:rsidRPr="00A74FD3" w:rsidTr="00A74FD3">
        <w:trPr>
          <w:trHeight w:val="458"/>
        </w:trPr>
        <w:tc>
          <w:tcPr>
            <w:tcW w:w="40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Male gender</w:t>
            </w:r>
          </w:p>
        </w:tc>
        <w:tc>
          <w:tcPr>
            <w:tcW w:w="17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2.771</w:t>
            </w:r>
          </w:p>
        </w:tc>
        <w:tc>
          <w:tcPr>
            <w:tcW w:w="2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[0.9</w:t>
            </w:r>
            <w:r w:rsid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93-8.231</w:t>
            </w: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]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0.067</w:t>
            </w:r>
          </w:p>
        </w:tc>
        <w:tc>
          <w:tcPr>
            <w:tcW w:w="16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241A75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0.</w:t>
            </w:r>
            <w:r w:rsidR="00241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380</w:t>
            </w:r>
          </w:p>
        </w:tc>
      </w:tr>
      <w:tr w:rsidR="00A74FD3" w:rsidRPr="00A74FD3" w:rsidTr="00A74FD3">
        <w:trPr>
          <w:trHeight w:val="458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Tumor height (mm)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1.0</w:t>
            </w:r>
            <w:r w:rsidR="004B7DED" w:rsidRPr="0024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[0.99</w:t>
            </w:r>
            <w:r w:rsid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7-1.167</w:t>
            </w: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]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0.0</w:t>
            </w:r>
            <w:r w:rsidR="004B7DED" w:rsidRPr="0024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0.434</w:t>
            </w:r>
          </w:p>
        </w:tc>
      </w:tr>
      <w:tr w:rsidR="00241A75" w:rsidRPr="00A74FD3" w:rsidTr="00A74FD3">
        <w:trPr>
          <w:trHeight w:val="458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4B7DED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Invasive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tumor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41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2.436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0.584-6.993</w:t>
            </w: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]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A7072C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N/I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A7072C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N/I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1A75" w:rsidRPr="00A74FD3" w:rsidRDefault="00241A75" w:rsidP="00A7072C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N/I</w:t>
            </w:r>
          </w:p>
        </w:tc>
      </w:tr>
      <w:tr w:rsidR="00A74FD3" w:rsidRPr="00A74FD3" w:rsidTr="00241A75">
        <w:trPr>
          <w:trHeight w:val="458"/>
        </w:trPr>
        <w:tc>
          <w:tcPr>
            <w:tcW w:w="40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4B7DED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T2 hyperintense </w:t>
            </w:r>
            <w:r w:rsidRPr="004B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tumor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1.800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[0.552-5.868]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0.330</w:t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N/I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N/I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N/I</w:t>
            </w:r>
          </w:p>
        </w:tc>
      </w:tr>
      <w:tr w:rsidR="00A74FD3" w:rsidRPr="00A74FD3" w:rsidTr="00241A75">
        <w:trPr>
          <w:trHeight w:val="458"/>
        </w:trPr>
        <w:tc>
          <w:tcPr>
            <w:tcW w:w="4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4B7DED" w:rsidP="004B7DED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T2 heterogeneous </w:t>
            </w:r>
            <w:r w:rsidRP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tumor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</w:t>
            </w:r>
            <w:r w:rsidR="004B7DED" w:rsidRPr="0024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4B7DE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[</w:t>
            </w:r>
            <w:r w:rsidR="004B7DED" w:rsidRP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0.</w:t>
            </w:r>
            <w:r w:rsid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956</w:t>
            </w: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-</w:t>
            </w:r>
            <w:r w:rsid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7</w:t>
            </w: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.</w:t>
            </w:r>
            <w:r w:rsidR="004B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778</w:t>
            </w: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]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241A75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A7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0.</w:t>
            </w:r>
            <w:r w:rsidR="00241A75" w:rsidRPr="0024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061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241A75" w:rsidP="00A74FD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FD3" w:rsidRPr="00A74FD3" w:rsidRDefault="00A74FD3" w:rsidP="00241A75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A7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0.</w:t>
            </w:r>
            <w:r w:rsidR="00241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291</w:t>
            </w:r>
          </w:p>
        </w:tc>
      </w:tr>
    </w:tbl>
    <w:p w:rsidR="00A74FD3" w:rsidRPr="00A74FD3" w:rsidRDefault="00A74FD3" w:rsidP="00A74FD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fr-FR"/>
        </w:rPr>
      </w:pPr>
    </w:p>
    <w:p w:rsidR="00A74FD3" w:rsidRPr="00A74FD3" w:rsidRDefault="00A74FD3" w:rsidP="00A74FD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fr-FR"/>
        </w:rPr>
      </w:pPr>
      <w:r w:rsidRPr="00A74FD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fr-FR"/>
        </w:rPr>
        <w:t>CI: confidence interval;   NS: not significant;   N/I: not included in the multivariate analysis</w:t>
      </w:r>
    </w:p>
    <w:p w:rsidR="00A74FD3" w:rsidRPr="00A74FD3" w:rsidRDefault="00A74FD3" w:rsidP="00A74FD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74FD3" w:rsidRPr="00A74FD3" w:rsidRDefault="00A74FD3" w:rsidP="00A74F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fr-FR"/>
        </w:rPr>
      </w:pPr>
    </w:p>
    <w:p w:rsidR="00A50845" w:rsidRPr="00A74FD3" w:rsidRDefault="00A50845" w:rsidP="00A50845">
      <w:pPr>
        <w:ind w:left="-142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</w:p>
    <w:sectPr w:rsidR="00A50845" w:rsidRPr="00A74FD3" w:rsidSect="00A74F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845"/>
    <w:rsid w:val="00241A75"/>
    <w:rsid w:val="00274FDB"/>
    <w:rsid w:val="004570A4"/>
    <w:rsid w:val="004B7DED"/>
    <w:rsid w:val="00515D46"/>
    <w:rsid w:val="005877E8"/>
    <w:rsid w:val="005A5170"/>
    <w:rsid w:val="00A50845"/>
    <w:rsid w:val="00A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4570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0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0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0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0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MAITER Dominique</dc:creator>
  <cp:lastModifiedBy>MCBurlacu</cp:lastModifiedBy>
  <cp:revision>3</cp:revision>
  <dcterms:created xsi:type="dcterms:W3CDTF">2018-07-28T09:57:00Z</dcterms:created>
  <dcterms:modified xsi:type="dcterms:W3CDTF">2018-07-29T10:56:00Z</dcterms:modified>
</cp:coreProperties>
</file>