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  <w:sz w:val="36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  <w:sz w:val="36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  <w:sz w:val="36"/>
        </w:rPr>
      </w:pPr>
      <w:r w:rsidRPr="003221A4">
        <w:rPr>
          <w:rFonts w:ascii="Arial" w:eastAsiaTheme="majorHAnsi" w:hAnsi="Arial" w:cs="Arial"/>
          <w:sz w:val="36"/>
        </w:rPr>
        <w:t>Supplementary Materials</w:t>
      </w:r>
    </w:p>
    <w:p w:rsidR="00D57C72" w:rsidRPr="003221A4" w:rsidRDefault="00D57C72" w:rsidP="0011638D">
      <w:pPr>
        <w:spacing w:line="360" w:lineRule="auto"/>
        <w:jc w:val="center"/>
        <w:rPr>
          <w:rFonts w:ascii="Arial" w:eastAsiaTheme="majorHAnsi" w:hAnsi="Arial" w:cs="Arial"/>
          <w:sz w:val="36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  <w:sz w:val="36"/>
        </w:rPr>
      </w:pPr>
    </w:p>
    <w:p w:rsidR="0011638D" w:rsidRPr="003221A4" w:rsidRDefault="003221A4" w:rsidP="0011638D">
      <w:pPr>
        <w:spacing w:line="360" w:lineRule="auto"/>
        <w:rPr>
          <w:rFonts w:ascii="Arial" w:eastAsiaTheme="majorHAnsi" w:hAnsi="Arial" w:cs="Arial"/>
          <w:color w:val="000000" w:themeColor="text1"/>
          <w:sz w:val="28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 w:val="28"/>
          <w:szCs w:val="21"/>
        </w:rPr>
        <w:t>Regional-level risk factors for severe hand-foot-and-mouth disease: an ecological study from mainland China</w:t>
      </w:r>
    </w:p>
    <w:p w:rsidR="00D57C72" w:rsidRPr="003221A4" w:rsidRDefault="00D57C72" w:rsidP="0011638D">
      <w:pPr>
        <w:spacing w:line="360" w:lineRule="auto"/>
        <w:rPr>
          <w:rFonts w:ascii="Arial" w:eastAsiaTheme="majorHAnsi" w:hAnsi="Arial" w:cs="Arial"/>
          <w:color w:val="000000" w:themeColor="text1"/>
          <w:sz w:val="28"/>
          <w:szCs w:val="21"/>
        </w:rPr>
      </w:pPr>
    </w:p>
    <w:p w:rsidR="00D57C72" w:rsidRPr="003221A4" w:rsidRDefault="00D57C72" w:rsidP="0011638D">
      <w:pPr>
        <w:spacing w:line="360" w:lineRule="auto"/>
        <w:rPr>
          <w:rFonts w:ascii="Arial" w:eastAsiaTheme="majorHAnsi" w:hAnsi="Arial" w:cs="Arial"/>
          <w:color w:val="000000" w:themeColor="text1"/>
          <w:sz w:val="28"/>
          <w:szCs w:val="21"/>
        </w:rPr>
      </w:pPr>
    </w:p>
    <w:p w:rsidR="0011638D" w:rsidRDefault="0011638D" w:rsidP="0011638D">
      <w:pPr>
        <w:spacing w:line="360" w:lineRule="auto"/>
        <w:rPr>
          <w:rFonts w:ascii="Arial" w:eastAsiaTheme="majorHAnsi" w:hAnsi="Arial" w:cs="Arial"/>
          <w:color w:val="000000" w:themeColor="text1"/>
          <w:sz w:val="24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 xml:space="preserve">S1: Classification of </w:t>
      </w:r>
      <w:r w:rsidR="00541784"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>severe HFMD</w:t>
      </w:r>
      <w:r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 xml:space="preserve"> burdened</w:t>
      </w:r>
      <w:r w:rsidR="00541784"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 xml:space="preserve"> and </w:t>
      </w:r>
      <w:r w:rsidR="003221A4"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 xml:space="preserve">less </w:t>
      </w:r>
      <w:r w:rsidR="00541784"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>burdened areas</w:t>
      </w:r>
    </w:p>
    <w:p w:rsidR="003221A4" w:rsidRPr="003221A4" w:rsidRDefault="003221A4" w:rsidP="0011638D">
      <w:pPr>
        <w:spacing w:line="360" w:lineRule="auto"/>
        <w:rPr>
          <w:rFonts w:ascii="Arial" w:eastAsiaTheme="majorHAnsi" w:hAnsi="Arial" w:cs="Arial"/>
          <w:color w:val="000000" w:themeColor="text1"/>
          <w:sz w:val="24"/>
          <w:szCs w:val="21"/>
        </w:rPr>
      </w:pPr>
    </w:p>
    <w:p w:rsidR="003221A4" w:rsidRDefault="00641926" w:rsidP="003221A4">
      <w:pPr>
        <w:spacing w:line="360" w:lineRule="auto"/>
        <w:rPr>
          <w:rFonts w:ascii="Arial" w:eastAsiaTheme="majorHAnsi" w:hAnsi="Arial" w:cs="Arial"/>
          <w:color w:val="000000" w:themeColor="text1"/>
          <w:sz w:val="24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>S2: The details of the principal component analysis</w:t>
      </w:r>
    </w:p>
    <w:p w:rsidR="003221A4" w:rsidRPr="003221A4" w:rsidRDefault="003221A4" w:rsidP="003221A4">
      <w:pPr>
        <w:spacing w:line="360" w:lineRule="auto"/>
        <w:rPr>
          <w:rFonts w:ascii="Arial" w:eastAsiaTheme="majorHAnsi" w:hAnsi="Arial" w:cs="Arial"/>
          <w:color w:val="000000" w:themeColor="text1"/>
          <w:sz w:val="24"/>
          <w:szCs w:val="21"/>
        </w:rPr>
      </w:pPr>
    </w:p>
    <w:p w:rsidR="00641926" w:rsidRPr="003221A4" w:rsidRDefault="00641926" w:rsidP="003221A4">
      <w:pPr>
        <w:spacing w:line="360" w:lineRule="auto"/>
        <w:rPr>
          <w:rFonts w:ascii="Arial" w:eastAsiaTheme="majorHAnsi" w:hAnsi="Arial" w:cs="Arial"/>
          <w:color w:val="000000" w:themeColor="text1"/>
          <w:sz w:val="24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 w:val="24"/>
          <w:szCs w:val="21"/>
        </w:rPr>
        <w:t xml:space="preserve">S3. Details of stratified analysis </w:t>
      </w:r>
    </w:p>
    <w:p w:rsidR="00641926" w:rsidRPr="003221A4" w:rsidRDefault="00641926" w:rsidP="0011638D">
      <w:pPr>
        <w:spacing w:line="360" w:lineRule="auto"/>
        <w:rPr>
          <w:rFonts w:ascii="Arial" w:eastAsiaTheme="majorHAnsi" w:hAnsi="Arial" w:cs="Arial"/>
          <w:i/>
          <w:color w:val="000000" w:themeColor="text1"/>
          <w:sz w:val="28"/>
          <w:szCs w:val="21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D57C72" w:rsidRPr="003221A4" w:rsidRDefault="00D57C72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3221A4" w:rsidRDefault="003221A4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3221A4" w:rsidRPr="003221A4" w:rsidRDefault="003221A4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11638D">
      <w:pPr>
        <w:spacing w:line="360" w:lineRule="auto"/>
        <w:jc w:val="center"/>
        <w:rPr>
          <w:rFonts w:ascii="Arial" w:eastAsiaTheme="majorHAnsi" w:hAnsi="Arial" w:cs="Arial"/>
        </w:rPr>
      </w:pPr>
    </w:p>
    <w:p w:rsidR="0011638D" w:rsidRPr="003221A4" w:rsidRDefault="0011638D" w:rsidP="00656AAC">
      <w:pPr>
        <w:spacing w:line="480" w:lineRule="auto"/>
        <w:rPr>
          <w:rFonts w:ascii="Arial" w:eastAsiaTheme="majorHAnsi" w:hAnsi="Arial" w:cs="Arial"/>
          <w:b/>
        </w:rPr>
      </w:pPr>
      <w:r w:rsidRPr="003221A4">
        <w:rPr>
          <w:rFonts w:ascii="Arial" w:eastAsiaTheme="majorHAnsi" w:hAnsi="Arial" w:cs="Arial"/>
          <w:b/>
        </w:rPr>
        <w:lastRenderedPageBreak/>
        <w:t>S1: Classification of the burdened and less burdened areas</w:t>
      </w:r>
    </w:p>
    <w:p w:rsidR="00641926" w:rsidRDefault="003221A4" w:rsidP="0011638D">
      <w:pPr>
        <w:spacing w:line="360" w:lineRule="auto"/>
        <w:rPr>
          <w:rFonts w:ascii="Arial" w:eastAsiaTheme="majorHAnsi" w:hAnsi="Arial" w:cs="Arial"/>
        </w:rPr>
      </w:pPr>
      <w:r w:rsidRPr="003221A4">
        <w:rPr>
          <w:rFonts w:ascii="Arial" w:eastAsiaTheme="majorHAnsi" w:hAnsi="Arial" w:cs="Arial"/>
        </w:rPr>
        <w:t>Cities with a high case-severity and a low incidence were classified as severe HFMD burdened areas (ranked 51 - 100% in case-severity rate, and 1 – 50% in incidence). Cities with a low case-severity rate and a high incidence were classified as less burdened areas (ranked 1 – 50% in case-severity rate, and 51 – 100% in incidence). Then comparisons of city-specific characteristics between these two groups were conducted.</w:t>
      </w:r>
      <w:r>
        <w:rPr>
          <w:rFonts w:ascii="Arial" w:eastAsiaTheme="majorHAnsi" w:hAnsi="Arial" w:cs="Arial"/>
        </w:rPr>
        <w:t xml:space="preserve"> See table S1 for the classification of the 143 cities.</w:t>
      </w:r>
    </w:p>
    <w:p w:rsidR="003221A4" w:rsidRPr="003221A4" w:rsidRDefault="003221A4" w:rsidP="0011638D">
      <w:pPr>
        <w:spacing w:line="360" w:lineRule="auto"/>
        <w:rPr>
          <w:rFonts w:ascii="Arial" w:eastAsiaTheme="majorHAnsi" w:hAnsi="Arial" w:cs="Arial"/>
        </w:rPr>
      </w:pPr>
    </w:p>
    <w:p w:rsidR="0011638D" w:rsidRPr="003221A4" w:rsidRDefault="0011638D" w:rsidP="00A73CC9">
      <w:pPr>
        <w:jc w:val="left"/>
        <w:rPr>
          <w:rFonts w:ascii="Arial" w:eastAsiaTheme="majorHAnsi" w:hAnsi="Arial" w:cs="Arial"/>
        </w:rPr>
      </w:pPr>
      <w:r w:rsidRPr="003221A4">
        <w:rPr>
          <w:rFonts w:ascii="Arial" w:eastAsiaTheme="majorHAnsi" w:hAnsi="Arial" w:cs="Arial"/>
          <w:b/>
        </w:rPr>
        <w:t>Table</w:t>
      </w:r>
      <w:r w:rsidR="003221A4">
        <w:rPr>
          <w:rFonts w:ascii="Arial" w:eastAsiaTheme="majorHAnsi" w:hAnsi="Arial" w:cs="Arial"/>
          <w:b/>
        </w:rPr>
        <w:t xml:space="preserve"> S</w:t>
      </w:r>
      <w:r w:rsidRPr="003221A4">
        <w:rPr>
          <w:rFonts w:ascii="Arial" w:eastAsiaTheme="majorHAnsi" w:hAnsi="Arial" w:cs="Arial"/>
          <w:b/>
        </w:rPr>
        <w:t>1</w:t>
      </w:r>
      <w:r w:rsidR="00225A16" w:rsidRPr="003221A4">
        <w:rPr>
          <w:rFonts w:ascii="Arial" w:eastAsiaTheme="majorHAnsi" w:hAnsi="Arial" w:cs="Arial"/>
        </w:rPr>
        <w:t xml:space="preserve"> </w:t>
      </w:r>
      <w:r w:rsidR="006C4A5A">
        <w:rPr>
          <w:rFonts w:ascii="Arial" w:eastAsiaTheme="majorHAnsi" w:hAnsi="Arial" w:cs="Arial"/>
        </w:rPr>
        <w:t xml:space="preserve">Classification of </w:t>
      </w:r>
      <w:r w:rsidR="00BD648D">
        <w:rPr>
          <w:rFonts w:ascii="Arial" w:eastAsiaTheme="majorHAnsi" w:hAnsi="Arial" w:cs="Arial"/>
        </w:rPr>
        <w:t>severe HFMD burdened and less burdened groups for the 143 cities</w:t>
      </w:r>
    </w:p>
    <w:tbl>
      <w:tblPr>
        <w:tblW w:w="957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1594"/>
        <w:gridCol w:w="1010"/>
        <w:gridCol w:w="1348"/>
        <w:gridCol w:w="1309"/>
        <w:gridCol w:w="1314"/>
        <w:gridCol w:w="2342"/>
      </w:tblGrid>
      <w:tr w:rsidR="00790491" w:rsidRPr="003221A4" w:rsidTr="003221A4">
        <w:trPr>
          <w:trHeight w:val="900"/>
          <w:jc w:val="center"/>
        </w:trPr>
        <w:tc>
          <w:tcPr>
            <w:tcW w:w="8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CityID</w:t>
            </w:r>
            <w:proofErr w:type="spellEnd"/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City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Case severity rate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Cumulative incidence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Rank of Case severity rate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Rank of cumulative incidence</w:t>
            </w:r>
          </w:p>
        </w:tc>
        <w:tc>
          <w:tcPr>
            <w:tcW w:w="23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0491" w:rsidRPr="003221A4" w:rsidRDefault="00641926" w:rsidP="00790491">
            <w:pPr>
              <w:widowControl/>
              <w:jc w:val="center"/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b/>
                <w:color w:val="000000"/>
                <w:kern w:val="0"/>
                <w:szCs w:val="21"/>
              </w:rPr>
              <w:t>City group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Yichang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0.000 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106.011 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9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Tianjing</w:t>
            </w:r>
            <w:proofErr w:type="spellEnd"/>
          </w:p>
        </w:tc>
        <w:tc>
          <w:tcPr>
            <w:tcW w:w="101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0.065 </w:t>
            </w:r>
          </w:p>
        </w:tc>
        <w:tc>
          <w:tcPr>
            <w:tcW w:w="134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106.713 </w:t>
            </w:r>
          </w:p>
        </w:tc>
        <w:tc>
          <w:tcPr>
            <w:tcW w:w="130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Shanwei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0.139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108.917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Haozhou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0.179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118.259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Baoding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0.139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128.932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Xiamen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0.330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129.071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Huangshan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0.018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130.282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Jindezhen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0.081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133.609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Huangshi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0.131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138.537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Taiyuan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0.045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140.171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Sanmenxia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0.217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141.781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Changzhou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0.245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145.614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Jinan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0.144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149.097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Wuhan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0.112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159.912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Ganzhou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0.318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174.961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Shaoguan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177.673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Yinchuan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0.274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180.213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Longyan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0.236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185.224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Bengbu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0.050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193.612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Yangjiang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0.274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205.887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Zhuzhou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0.313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206.526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Zhanghzou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0.077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211.483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Jinhua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220.882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Hefei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0.394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230.380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Changsha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0.143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250.000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Lishui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0.147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282.292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lastRenderedPageBreak/>
              <w:t>27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Sanya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0.252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338.627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Guanzhou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0.045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401.858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Shenzhen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0.259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696.319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Liuzhou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0.377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744.972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Less 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Suihua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1.173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13.278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Yanan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3.043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15.943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Zhaotong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0.895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16.257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Nanchong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0.606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17.928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Xinxiang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2.626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24.041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Xuzhou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0.908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25.105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Yulin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3.218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33.159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Guyuan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0.805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33.559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Yichun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4.401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35.181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Ankang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1.260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38.753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Yuncheng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0.812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39.256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Changchun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1.788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40.572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8.091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62.813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Nanchang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0.965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64.382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0.530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66.241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Panzhihua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0.453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67.009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Chifeng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0.567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69.752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Langfang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2.872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74.204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Xinyang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0.627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74.997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Baoshan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0.909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75.291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Leshan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0.665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75.804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Haerbin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0.437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77.862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Zhumadian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3.207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78.892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Jingtai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1.358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79.741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Tongliao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1.192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83.373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Mianyang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1.861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84.401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Qinzhou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1.622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91.044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Tonghua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0.439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91.349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Hanzhong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1.418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94.511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Changde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1.688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95.464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Burdened area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Yichun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0.317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11.700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Qiqihaer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0.270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18.286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Fuxin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19.463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Jixi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0.057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20.034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Jiamusi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0.150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24.514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Dandong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0.000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27.003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Suining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0.337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27.606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Bazhong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0.251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28.349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Yibin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0.124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30.089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Benxi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32.665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lastRenderedPageBreak/>
              <w:t>71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Mudanjiang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34.786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Anshun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0.328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39.042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Liuan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0.231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46.594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Zhongwei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0.104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48.617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Kelamayi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0.049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53.110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Yinkou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0.378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55.882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Siping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0.171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57.457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Anqing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0.138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58.908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Heihe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0.174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59.948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Wulumuqi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0.217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61.264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Jinzhou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0.017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62.886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Datong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0.081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63.599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Anyang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0.115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64.056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Anshan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0.032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64.617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Xining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0.026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66.360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Zhangjiakou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0.081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68.419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Baicheng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0.343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68.734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Guangyuan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0.153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70.591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Linchang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0.082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76.894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Yaan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0.221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77.588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Chaoyang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0.065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78.851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Huaian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0.158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80.071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Chongqing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0.106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82.106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Tangshan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0.363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82.386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Baotou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0.226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84.274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Shenyang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0.213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84.861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Jingzhou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0.403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86.534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Hanghzou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0.146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90.274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Zhanjiang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0.077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95.825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Shantou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0.105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99.400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Shijiangzhua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0.286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100.727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Q1~Q2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Kaifeng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4.028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102.707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Nanping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0.590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109.616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Weifang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0.951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112.230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Changzhi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1.360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112.717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Nantong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0.477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114.012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Linfen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4.173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115.736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Qinghuangdao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0.515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117.112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Huhehaote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1.324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143.942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Hengyang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0.498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144.404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Dalian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1.128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146.860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Shaoyang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2.109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154.901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Qingdao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4.554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155.592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Rizhou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1.819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159.533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lastRenderedPageBreak/>
              <w:t>115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Chengdu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1.169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162.131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Nanjing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1.334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162.310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Binzhou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1.019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175.668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Xian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1.118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176.050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Quzhou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0.833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177.644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Chengde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0.422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184.739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Yueyang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0.658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187.024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shanghai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0.545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192.656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Zhenzhou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1.839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192.725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Beijing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0.726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195.386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Xuchang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4.466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198.450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Fuyang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0.416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231.770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Ningde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0.743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233.333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Kunming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3.593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233.396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Guiyang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2.538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238.084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Yuxi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2.209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245.380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Zunyi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2.406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247.132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Laibin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0.514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255.821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Weihai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1.083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264.183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Wuzhou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1.448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268.761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135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Fuzhou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0.975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280.554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Yulin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0.704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292.434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Lijiang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0.532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307.461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Chizhou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0.919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322.582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139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Guizhou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1.796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329.963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Haikou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1.169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340.875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Beihai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0.432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421.123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142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proofErr w:type="spellStart"/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Baise</w:t>
            </w:r>
            <w:proofErr w:type="spellEnd"/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1.194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454.512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  <w:tr w:rsidR="00790491" w:rsidRPr="003221A4" w:rsidTr="003221A4">
        <w:trPr>
          <w:trHeight w:val="280"/>
          <w:jc w:val="center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143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Nanning</w:t>
            </w:r>
          </w:p>
        </w:tc>
        <w:tc>
          <w:tcPr>
            <w:tcW w:w="1010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0.857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 xml:space="preserve">554.733 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Q3~Q4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790491" w:rsidRPr="003221A4" w:rsidRDefault="00790491" w:rsidP="00790491">
            <w:pPr>
              <w:widowControl/>
              <w:jc w:val="center"/>
              <w:rPr>
                <w:rFonts w:ascii="Arial" w:eastAsia="华文细黑" w:hAnsi="Arial" w:cs="Arial"/>
                <w:color w:val="000000"/>
                <w:kern w:val="0"/>
                <w:szCs w:val="21"/>
              </w:rPr>
            </w:pPr>
            <w:r w:rsidRPr="003221A4">
              <w:rPr>
                <w:rFonts w:ascii="Arial" w:eastAsia="华文细黑" w:hAnsi="Arial" w:cs="Arial"/>
                <w:color w:val="000000"/>
                <w:kern w:val="0"/>
                <w:szCs w:val="21"/>
              </w:rPr>
              <w:t>-</w:t>
            </w:r>
          </w:p>
        </w:tc>
      </w:tr>
    </w:tbl>
    <w:p w:rsidR="0011638D" w:rsidRPr="003221A4" w:rsidRDefault="0011638D" w:rsidP="0002123B">
      <w:pPr>
        <w:widowControl/>
        <w:spacing w:line="600" w:lineRule="auto"/>
        <w:rPr>
          <w:rFonts w:ascii="Arial" w:eastAsiaTheme="majorHAnsi" w:hAnsi="Arial" w:cs="Arial"/>
          <w:kern w:val="0"/>
          <w:sz w:val="26"/>
          <w:szCs w:val="26"/>
          <w:shd w:val="clear" w:color="auto" w:fill="FFFFFF"/>
        </w:rPr>
      </w:pPr>
    </w:p>
    <w:p w:rsidR="0011638D" w:rsidRPr="003221A4" w:rsidRDefault="0011638D" w:rsidP="0002123B">
      <w:pPr>
        <w:widowControl/>
        <w:spacing w:line="600" w:lineRule="auto"/>
        <w:rPr>
          <w:rFonts w:ascii="Arial" w:eastAsiaTheme="majorHAnsi" w:hAnsi="Arial" w:cs="Arial"/>
          <w:kern w:val="0"/>
          <w:sz w:val="26"/>
          <w:szCs w:val="26"/>
          <w:shd w:val="clear" w:color="auto" w:fill="FFFFFF"/>
        </w:rPr>
      </w:pPr>
    </w:p>
    <w:p w:rsidR="00641926" w:rsidRPr="003221A4" w:rsidRDefault="00641926" w:rsidP="0002123B">
      <w:pPr>
        <w:widowControl/>
        <w:spacing w:line="600" w:lineRule="auto"/>
        <w:rPr>
          <w:rFonts w:ascii="Arial" w:eastAsiaTheme="majorHAnsi" w:hAnsi="Arial" w:cs="Arial"/>
          <w:kern w:val="0"/>
          <w:sz w:val="26"/>
          <w:szCs w:val="26"/>
          <w:shd w:val="clear" w:color="auto" w:fill="FFFFFF"/>
        </w:rPr>
      </w:pPr>
    </w:p>
    <w:p w:rsidR="00641926" w:rsidRPr="003221A4" w:rsidRDefault="00641926" w:rsidP="0002123B">
      <w:pPr>
        <w:widowControl/>
        <w:spacing w:line="600" w:lineRule="auto"/>
        <w:rPr>
          <w:rFonts w:ascii="Arial" w:eastAsiaTheme="majorHAnsi" w:hAnsi="Arial" w:cs="Arial"/>
          <w:kern w:val="0"/>
          <w:sz w:val="26"/>
          <w:szCs w:val="26"/>
          <w:shd w:val="clear" w:color="auto" w:fill="FFFFFF"/>
        </w:rPr>
      </w:pPr>
    </w:p>
    <w:p w:rsidR="00641926" w:rsidRPr="003221A4" w:rsidRDefault="00641926" w:rsidP="0002123B">
      <w:pPr>
        <w:widowControl/>
        <w:spacing w:line="600" w:lineRule="auto"/>
        <w:rPr>
          <w:rFonts w:ascii="Arial" w:eastAsiaTheme="majorHAnsi" w:hAnsi="Arial" w:cs="Arial"/>
          <w:kern w:val="0"/>
          <w:sz w:val="26"/>
          <w:szCs w:val="26"/>
          <w:shd w:val="clear" w:color="auto" w:fill="FFFFFF"/>
        </w:rPr>
      </w:pPr>
    </w:p>
    <w:p w:rsidR="00641926" w:rsidRPr="003221A4" w:rsidRDefault="00641926" w:rsidP="0002123B">
      <w:pPr>
        <w:widowControl/>
        <w:spacing w:line="600" w:lineRule="auto"/>
        <w:rPr>
          <w:rFonts w:ascii="Arial" w:eastAsiaTheme="majorHAnsi" w:hAnsi="Arial" w:cs="Arial"/>
          <w:kern w:val="0"/>
          <w:sz w:val="26"/>
          <w:szCs w:val="26"/>
          <w:shd w:val="clear" w:color="auto" w:fill="FFFFFF"/>
        </w:rPr>
      </w:pPr>
    </w:p>
    <w:p w:rsidR="00223087" w:rsidRPr="005349FE" w:rsidRDefault="00641926" w:rsidP="0002123B">
      <w:pPr>
        <w:widowControl/>
        <w:spacing w:line="600" w:lineRule="auto"/>
        <w:rPr>
          <w:rFonts w:ascii="Arial" w:eastAsiaTheme="majorHAnsi" w:hAnsi="Arial" w:cs="Arial"/>
          <w:b/>
          <w:kern w:val="0"/>
          <w:szCs w:val="21"/>
          <w:shd w:val="clear" w:color="auto" w:fill="FFFFFF"/>
        </w:rPr>
      </w:pPr>
      <w:r w:rsidRPr="005349FE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lastRenderedPageBreak/>
        <w:t>S2</w:t>
      </w:r>
      <w:r w:rsidR="00FB1339" w:rsidRPr="005349FE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 xml:space="preserve">. </w:t>
      </w:r>
      <w:r w:rsidR="00F668DC" w:rsidRPr="005349FE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 xml:space="preserve">The details of </w:t>
      </w:r>
      <w:r w:rsidR="00FB1339" w:rsidRPr="005349FE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>the principal component analysis</w:t>
      </w:r>
    </w:p>
    <w:p w:rsidR="00FB1339" w:rsidRPr="003221A4" w:rsidRDefault="00FB1339" w:rsidP="00A14DD3">
      <w:pPr>
        <w:spacing w:line="360" w:lineRule="auto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Cs w:val="21"/>
        </w:rPr>
        <w:t>Original city-</w:t>
      </w:r>
      <w:r w:rsidRPr="003221A4">
        <w:rPr>
          <w:rFonts w:ascii="Arial" w:hAnsi="Arial" w:cs="Arial"/>
          <w:iCs/>
          <w:szCs w:val="22"/>
        </w:rPr>
        <w:t xml:space="preserve">specific variables with </w:t>
      </w:r>
      <w:bookmarkStart w:id="0" w:name="OLE_LINK5"/>
      <w:bookmarkStart w:id="1" w:name="OLE_LINK6"/>
      <w:r w:rsidRPr="003221A4">
        <w:rPr>
          <w:rFonts w:ascii="Arial" w:hAnsi="Arial" w:cs="Arial"/>
          <w:iCs/>
          <w:szCs w:val="22"/>
        </w:rPr>
        <w:t>variance inflation factor</w:t>
      </w:r>
      <w:bookmarkEnd w:id="0"/>
      <w:bookmarkEnd w:id="1"/>
      <w:r w:rsidRPr="003221A4">
        <w:rPr>
          <w:rFonts w:ascii="Arial" w:hAnsi="Arial" w:cs="Arial"/>
          <w:iCs/>
          <w:szCs w:val="22"/>
        </w:rPr>
        <w:t xml:space="preserve"> (VIF) greater than or equal to five were included in the principal component analysis (PCA) for dimensionality reduction </w:t>
      </w:r>
      <w:r w:rsidRPr="003221A4">
        <w:rPr>
          <w:rFonts w:ascii="Arial" w:hAnsi="Arial" w:cs="Arial"/>
          <w:iCs/>
          <w:szCs w:val="22"/>
        </w:rPr>
        <w:fldChar w:fldCharType="begin"/>
      </w:r>
      <w:r w:rsidR="00225A16" w:rsidRPr="003221A4">
        <w:rPr>
          <w:rFonts w:ascii="Arial" w:hAnsi="Arial" w:cs="Arial"/>
          <w:iCs/>
          <w:szCs w:val="22"/>
        </w:rPr>
        <w:instrText xml:space="preserve"> ADDIN EN.CITE &lt;EndNote&gt;&lt;Cite&gt;&lt;Author&gt;Akinwande&lt;/Author&gt;&lt;Year&gt;2015&lt;/Year&gt;&lt;RecNum&gt;199&lt;/RecNum&gt;&lt;DisplayText&gt;[1]&lt;/DisplayText&gt;&lt;record&gt;&lt;rec-number&gt;199&lt;/rec-number&gt;&lt;foreign-keys&gt;&lt;key app="EN" db-id="dvwx02e25dvsf2eafrqp22drxt5v50ar2ewd" timestamp="1591722822"&gt;199&lt;/key&gt;&lt;/foreign-keys&gt;&lt;ref-type name="Journal Article"&gt;17&lt;/ref-type&gt;&lt;contributors&gt;&lt;authors&gt;&lt;author&gt;Michael Olusegun Akinwande&lt;/author&gt;&lt;author&gt;Hussaini Garba Dikko&lt;/author&gt;&lt;author&gt;Agboola Samson&lt;/author&gt;&lt;/authors&gt;&lt;/contributors&gt;&lt;titles&gt;&lt;title&gt;Variance Inflation Factor: As a Condition for the Inclusion of Suppressor Variable(s) in Regression Analysis&lt;/title&gt;&lt;secondary-title&gt;Open Journal of Statistics&lt;/secondary-title&gt;&lt;/titles&gt;&lt;periodical&gt;&lt;full-title&gt;Open Journal of Statistics&lt;/full-title&gt;&lt;/periodical&gt;&lt;pages&gt;14&lt;/pages&gt;&lt;volume&gt;Vol.05No.07&lt;/volume&gt;&lt;dates&gt;&lt;year&gt;2015&lt;/year&gt;&lt;/dates&gt;&lt;urls&gt;&lt;related-urls&gt;&lt;url&gt;//www.scirp.org/journal/paperinformation.aspx?paperid=62189&lt;/url&gt;&lt;/related-urls&gt;&lt;/urls&gt;&lt;custom7&gt;62189&lt;/custom7&gt;&lt;electronic-resource-num&gt;10.4236/ojs.2015.57075&lt;/electronic-resource-num&gt;&lt;/record&gt;&lt;/Cite&gt;&lt;/EndNote&gt;</w:instrText>
      </w:r>
      <w:r w:rsidRPr="003221A4">
        <w:rPr>
          <w:rFonts w:ascii="Arial" w:hAnsi="Arial" w:cs="Arial"/>
          <w:iCs/>
          <w:szCs w:val="22"/>
        </w:rPr>
        <w:fldChar w:fldCharType="separate"/>
      </w:r>
      <w:r w:rsidR="00225A16" w:rsidRPr="003221A4">
        <w:rPr>
          <w:rFonts w:ascii="Arial" w:hAnsi="Arial" w:cs="Arial"/>
          <w:iCs/>
          <w:noProof/>
          <w:szCs w:val="22"/>
        </w:rPr>
        <w:t>[1]</w:t>
      </w:r>
      <w:r w:rsidRPr="003221A4">
        <w:rPr>
          <w:rFonts w:ascii="Arial" w:hAnsi="Arial" w:cs="Arial"/>
          <w:iCs/>
          <w:szCs w:val="22"/>
        </w:rPr>
        <w:fldChar w:fldCharType="end"/>
      </w:r>
      <w:r w:rsidRPr="003221A4">
        <w:rPr>
          <w:rFonts w:ascii="Arial" w:hAnsi="Arial" w:cs="Arial"/>
          <w:iCs/>
          <w:szCs w:val="22"/>
        </w:rPr>
        <w:t xml:space="preserve">. Those original variables contained average population;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number of pupils; GDP; passenger traffic volume; licensed physicians, beds, and hospitals per 1000 persons; relative humidity, temperature, rainfall, and sunshine hours</w:t>
      </w:r>
      <w:r w:rsidR="005349FE">
        <w:rPr>
          <w:rFonts w:ascii="Arial" w:eastAsiaTheme="majorHAnsi" w:hAnsi="Arial" w:cs="Arial"/>
          <w:color w:val="000000" w:themeColor="text1"/>
          <w:szCs w:val="21"/>
        </w:rPr>
        <w:t xml:space="preserve"> (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Table </w:t>
      </w:r>
      <w:r w:rsidR="005349FE">
        <w:rPr>
          <w:rFonts w:ascii="Arial" w:eastAsiaTheme="majorHAnsi" w:hAnsi="Arial" w:cs="Arial"/>
          <w:color w:val="000000" w:themeColor="text1"/>
          <w:szCs w:val="21"/>
        </w:rPr>
        <w:t>S</w:t>
      </w:r>
      <w:r w:rsidR="00641926" w:rsidRPr="003221A4">
        <w:rPr>
          <w:rFonts w:ascii="Arial" w:eastAsiaTheme="majorHAnsi" w:hAnsi="Arial" w:cs="Arial"/>
          <w:color w:val="000000" w:themeColor="text1"/>
          <w:szCs w:val="21"/>
        </w:rPr>
        <w:t>2</w:t>
      </w:r>
      <w:r w:rsidR="005349FE">
        <w:rPr>
          <w:rFonts w:ascii="Arial" w:eastAsiaTheme="majorHAnsi" w:hAnsi="Arial" w:cs="Arial"/>
          <w:color w:val="000000" w:themeColor="text1"/>
          <w:szCs w:val="21"/>
        </w:rPr>
        <w:t>)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. </w:t>
      </w:r>
    </w:p>
    <w:p w:rsidR="00FB1339" w:rsidRPr="003221A4" w:rsidRDefault="00FA0048" w:rsidP="00A14DD3">
      <w:pPr>
        <w:spacing w:line="360" w:lineRule="auto"/>
        <w:ind w:firstLine="420"/>
        <w:rPr>
          <w:rFonts w:ascii="Arial" w:eastAsiaTheme="majorHAnsi" w:hAnsi="Arial" w:cs="Arial"/>
          <w:color w:val="000000" w:themeColor="text1"/>
          <w:szCs w:val="21"/>
        </w:rPr>
      </w:pPr>
      <w:r>
        <w:rPr>
          <w:rFonts w:ascii="Arial" w:eastAsiaTheme="majorHAnsi" w:hAnsi="Arial" w:cs="Arial"/>
          <w:color w:val="000000" w:themeColor="text1"/>
          <w:szCs w:val="21"/>
        </w:rPr>
        <w:t>T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wo principal components were generated and jointly explained almost all the total variance (100%), of which the first principal component accounts for 66%, and the second principal component for 34% of the total variance, respectively. The first principal component was </w:t>
      </w:r>
      <w:bookmarkStart w:id="2" w:name="OLE_LINK71"/>
      <w:bookmarkStart w:id="3" w:name="OLE_LINK72"/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>city development indicator</w:t>
      </w:r>
      <w:bookmarkEnd w:id="2"/>
      <w:bookmarkEnd w:id="3"/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 as it mainly correlated with average population (loading=0.95), number of elementary school students (loading=0.92), GDP (loading=0.94), traffic passengers (loading=0.78), GDP per person (loading=0.52), number of hospitals </w:t>
      </w:r>
      <w:bookmarkStart w:id="4" w:name="OLE_LINK57"/>
      <w:bookmarkStart w:id="5" w:name="OLE_LINK58"/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>(loading=0.87)</w:t>
      </w:r>
      <w:bookmarkEnd w:id="4"/>
      <w:bookmarkEnd w:id="5"/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, number of beds(loading=0.96), and number of licensed doctors (loading=0.97). Higher value in city development indicator </w:t>
      </w:r>
      <w:r w:rsidR="0084100F">
        <w:rPr>
          <w:rFonts w:ascii="Arial" w:eastAsiaTheme="majorHAnsi" w:hAnsi="Arial" w:cs="Arial"/>
          <w:color w:val="000000" w:themeColor="text1"/>
          <w:szCs w:val="21"/>
        </w:rPr>
        <w:t>indicated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 better city development</w:t>
      </w:r>
      <w:r w:rsidR="0084100F">
        <w:rPr>
          <w:rFonts w:ascii="Arial" w:eastAsiaTheme="majorHAnsi" w:hAnsi="Arial" w:cs="Arial"/>
          <w:color w:val="000000" w:themeColor="text1"/>
          <w:szCs w:val="21"/>
        </w:rPr>
        <w:t xml:space="preserve"> level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. The second principal component was </w:t>
      </w:r>
      <w:bookmarkStart w:id="6" w:name="OLE_LINK73"/>
      <w:bookmarkStart w:id="7" w:name="OLE_LINK74"/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>meteorological indicator</w:t>
      </w:r>
      <w:bookmarkEnd w:id="6"/>
      <w:bookmarkEnd w:id="7"/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 as it mainly correlated with average temperature (loading=0.85), average relative humidity (loading=0.90), average rainfall (loading=0.88), and average sunshine (loading=-0.85). Cities with higher meteorological indicator </w:t>
      </w:r>
      <w:r w:rsidR="00495EFD">
        <w:rPr>
          <w:rFonts w:ascii="Arial" w:eastAsiaTheme="majorHAnsi" w:hAnsi="Arial" w:cs="Arial"/>
          <w:color w:val="000000" w:themeColor="text1"/>
          <w:szCs w:val="21"/>
        </w:rPr>
        <w:t xml:space="preserve">were </w:t>
      </w:r>
      <w:r w:rsidR="00495EFD" w:rsidRPr="00651AD8">
        <w:rPr>
          <w:rFonts w:ascii="Arial" w:eastAsiaTheme="majorHAnsi" w:hAnsi="Arial" w:cs="Arial"/>
          <w:color w:val="000000" w:themeColor="text1"/>
          <w:szCs w:val="21"/>
        </w:rPr>
        <w:t xml:space="preserve">characterized by warm and humid </w:t>
      </w:r>
      <w:r w:rsidR="00495EFD">
        <w:rPr>
          <w:rFonts w:ascii="Arial" w:eastAsiaTheme="majorHAnsi" w:hAnsi="Arial" w:cs="Arial"/>
          <w:color w:val="000000" w:themeColor="text1"/>
          <w:szCs w:val="21"/>
        </w:rPr>
        <w:t xml:space="preserve">and sunny </w:t>
      </w:r>
      <w:r w:rsidR="00495EFD" w:rsidRPr="00651AD8">
        <w:rPr>
          <w:rFonts w:ascii="Arial" w:eastAsiaTheme="majorHAnsi" w:hAnsi="Arial" w:cs="Arial"/>
          <w:color w:val="000000" w:themeColor="text1"/>
          <w:szCs w:val="21"/>
        </w:rPr>
        <w:t>climate</w:t>
      </w:r>
      <w:r w:rsidR="00495EFD">
        <w:rPr>
          <w:rFonts w:ascii="Arial" w:eastAsiaTheme="majorHAnsi" w:hAnsi="Arial" w:cs="Arial"/>
          <w:color w:val="000000" w:themeColor="text1"/>
          <w:szCs w:val="21"/>
        </w:rPr>
        <w:t xml:space="preserve"> (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Table </w:t>
      </w:r>
      <w:r w:rsidR="00495EFD">
        <w:rPr>
          <w:rFonts w:ascii="Arial" w:eastAsiaTheme="majorHAnsi" w:hAnsi="Arial" w:cs="Arial"/>
          <w:color w:val="000000" w:themeColor="text1"/>
          <w:szCs w:val="21"/>
        </w:rPr>
        <w:t>S</w:t>
      </w:r>
      <w:r w:rsidR="00641926" w:rsidRPr="003221A4">
        <w:rPr>
          <w:rFonts w:ascii="Arial" w:eastAsiaTheme="majorHAnsi" w:hAnsi="Arial" w:cs="Arial"/>
          <w:color w:val="000000" w:themeColor="text1"/>
          <w:szCs w:val="21"/>
        </w:rPr>
        <w:t>3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, Fig. </w:t>
      </w:r>
      <w:r w:rsidR="00621287">
        <w:rPr>
          <w:rFonts w:ascii="Arial" w:eastAsiaTheme="majorHAnsi" w:hAnsi="Arial" w:cs="Arial"/>
          <w:color w:val="000000" w:themeColor="text1"/>
          <w:szCs w:val="21"/>
        </w:rPr>
        <w:t>S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>1</w:t>
      </w:r>
      <w:r w:rsidR="00495EFD">
        <w:rPr>
          <w:rFonts w:ascii="Arial" w:eastAsiaTheme="majorHAnsi" w:hAnsi="Arial" w:cs="Arial"/>
          <w:color w:val="000000" w:themeColor="text1"/>
          <w:szCs w:val="21"/>
        </w:rPr>
        <w:t>)</w:t>
      </w:r>
      <w:r w:rsidR="00FB1339" w:rsidRPr="003221A4">
        <w:rPr>
          <w:rFonts w:ascii="Arial" w:eastAsiaTheme="majorHAnsi" w:hAnsi="Arial" w:cs="Arial"/>
          <w:color w:val="000000" w:themeColor="text1"/>
          <w:szCs w:val="21"/>
        </w:rPr>
        <w:t xml:space="preserve">. </w:t>
      </w:r>
    </w:p>
    <w:p w:rsidR="00641926" w:rsidRPr="003221A4" w:rsidRDefault="00641926" w:rsidP="0002123B">
      <w:pPr>
        <w:spacing w:line="36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CC9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b/>
          <w:color w:val="000000" w:themeColor="text1"/>
          <w:szCs w:val="21"/>
        </w:rPr>
        <w:t xml:space="preserve">Table </w:t>
      </w:r>
      <w:r w:rsidR="005349FE">
        <w:rPr>
          <w:rFonts w:ascii="Arial" w:eastAsiaTheme="majorHAnsi" w:hAnsi="Arial" w:cs="Arial"/>
          <w:b/>
          <w:color w:val="000000" w:themeColor="text1"/>
          <w:szCs w:val="21"/>
        </w:rPr>
        <w:t>S</w:t>
      </w:r>
      <w:r w:rsidR="00641926" w:rsidRPr="003221A4">
        <w:rPr>
          <w:rFonts w:ascii="Arial" w:eastAsiaTheme="majorHAnsi" w:hAnsi="Arial" w:cs="Arial"/>
          <w:b/>
          <w:color w:val="000000" w:themeColor="text1"/>
          <w:szCs w:val="21"/>
        </w:rPr>
        <w:t>2</w:t>
      </w:r>
      <w:r w:rsidR="00225A16"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Variance inflation factor for city-specific characteristics</w:t>
      </w:r>
    </w:p>
    <w:tbl>
      <w:tblPr>
        <w:tblW w:w="829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377"/>
        <w:gridCol w:w="3036"/>
        <w:gridCol w:w="1966"/>
        <w:gridCol w:w="1911"/>
      </w:tblGrid>
      <w:tr w:rsidR="00FB1339" w:rsidRPr="003221A4" w:rsidTr="002957E4">
        <w:trPr>
          <w:trHeight w:val="340"/>
          <w:jc w:val="center"/>
        </w:trPr>
        <w:tc>
          <w:tcPr>
            <w:tcW w:w="1377" w:type="dxa"/>
            <w:tcBorders>
              <w:bottom w:val="single" w:sz="4" w:space="0" w:color="auto"/>
            </w:tcBorders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NO</w:t>
            </w:r>
          </w:p>
        </w:tc>
        <w:tc>
          <w:tcPr>
            <w:tcW w:w="303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 xml:space="preserve">Variables 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VIF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 in PCA †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  <w:tcBorders>
              <w:top w:val="single" w:sz="4" w:space="0" w:color="auto"/>
              <w:bottom w:val="nil"/>
            </w:tcBorders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population</w:t>
            </w:r>
          </w:p>
        </w:tc>
        <w:tc>
          <w:tcPr>
            <w:tcW w:w="196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34.1</w:t>
            </w:r>
          </w:p>
        </w:tc>
        <w:tc>
          <w:tcPr>
            <w:tcW w:w="1911" w:type="dxa"/>
            <w:tcBorders>
              <w:top w:val="single" w:sz="4" w:space="0" w:color="auto"/>
              <w:bottom w:val="nil"/>
            </w:tcBorders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  <w:tcBorders>
              <w:top w:val="nil"/>
            </w:tcBorders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036" w:type="dxa"/>
            <w:tcBorders>
              <w:top w:val="nil"/>
            </w:tcBorders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bookmarkStart w:id="8" w:name="OLE_LINK59"/>
            <w:bookmarkStart w:id="9" w:name="OLE_LINK60"/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increase rate</w:t>
            </w:r>
            <w:bookmarkEnd w:id="8"/>
            <w:bookmarkEnd w:id="9"/>
          </w:p>
        </w:tc>
        <w:tc>
          <w:tcPr>
            <w:tcW w:w="1966" w:type="dxa"/>
            <w:tcBorders>
              <w:top w:val="nil"/>
            </w:tcBorders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2.2</w:t>
            </w:r>
          </w:p>
        </w:tc>
        <w:tc>
          <w:tcPr>
            <w:tcW w:w="1911" w:type="dxa"/>
            <w:tcBorders>
              <w:top w:val="nil"/>
            </w:tcBorders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bookmarkStart w:id="10" w:name="OLE_LINK27"/>
            <w:bookmarkStart w:id="11" w:name="OLE_LINK28"/>
            <w:bookmarkStart w:id="12" w:name="OLE_LINK31"/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Excluded</w:t>
            </w:r>
            <w:bookmarkEnd w:id="10"/>
            <w:bookmarkEnd w:id="11"/>
            <w:bookmarkEnd w:id="12"/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03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density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2.2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Excluded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03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 w:val="18"/>
                <w:szCs w:val="21"/>
              </w:rPr>
              <w:t>No. of elementary school students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18.8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03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GDP †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25.3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303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per person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5.0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303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bookmarkStart w:id="13" w:name="OLE_LINK61"/>
            <w:bookmarkStart w:id="14" w:name="OLE_LINK62"/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increase rate</w:t>
            </w:r>
            <w:bookmarkEnd w:id="13"/>
            <w:bookmarkEnd w:id="14"/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1.9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Excluded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303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Traffic passengers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5.6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9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Number of hospitals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7.3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Number of beds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37.9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lastRenderedPageBreak/>
              <w:t>11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Number of licensed doctors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29.0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bookmarkStart w:id="15" w:name="OLE_LINK63"/>
            <w:bookmarkStart w:id="16" w:name="OLE_LINK64"/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Per capita public green areas</w:t>
            </w:r>
            <w:bookmarkEnd w:id="15"/>
            <w:bookmarkEnd w:id="16"/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3.8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Excluded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13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temperature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4930.2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14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relative humidity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75.3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15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rainfall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9.0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  <w:tr w:rsidR="00FB1339" w:rsidRPr="003221A4" w:rsidTr="002957E4">
        <w:trPr>
          <w:trHeight w:val="340"/>
          <w:jc w:val="center"/>
        </w:trPr>
        <w:tc>
          <w:tcPr>
            <w:tcW w:w="1377" w:type="dxa"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16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sunshine</w:t>
            </w:r>
          </w:p>
        </w:tc>
        <w:tc>
          <w:tcPr>
            <w:tcW w:w="1966" w:type="dxa"/>
            <w:shd w:val="clear" w:color="auto" w:fill="auto"/>
            <w:noWrap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8.6</w:t>
            </w:r>
          </w:p>
        </w:tc>
        <w:tc>
          <w:tcPr>
            <w:tcW w:w="1911" w:type="dxa"/>
          </w:tcPr>
          <w:p w:rsidR="00FB1339" w:rsidRPr="003221A4" w:rsidRDefault="00FB1339" w:rsidP="00A73666">
            <w:pPr>
              <w:jc w:val="center"/>
              <w:rPr>
                <w:rFonts w:ascii="Arial" w:eastAsiaTheme="majorHAnsi" w:hAnsi="Arial" w:cs="Arial"/>
                <w:color w:val="000000" w:themeColor="text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kern w:val="0"/>
                <w:szCs w:val="21"/>
              </w:rPr>
              <w:t>Included</w:t>
            </w:r>
          </w:p>
        </w:tc>
      </w:tr>
    </w:tbl>
    <w:p w:rsidR="00FB1339" w:rsidRPr="003221A4" w:rsidRDefault="00FB1339" w:rsidP="00A73666">
      <w:pPr>
        <w:rPr>
          <w:rFonts w:ascii="Arial" w:eastAsiaTheme="majorHAnsi" w:hAnsi="Arial" w:cs="Arial"/>
          <w:color w:val="000000" w:themeColor="text1"/>
          <w:sz w:val="20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 w:val="20"/>
          <w:szCs w:val="21"/>
        </w:rPr>
        <w:t xml:space="preserve">† : Variables with variance inflation factor (VIF) greater than or equal to 5 were included in the principal component analysis (PCA) </w:t>
      </w:r>
      <w:r w:rsidRPr="003221A4">
        <w:rPr>
          <w:rFonts w:ascii="Arial" w:eastAsiaTheme="majorHAnsi" w:hAnsi="Arial" w:cs="Arial"/>
          <w:color w:val="000000" w:themeColor="text1"/>
          <w:sz w:val="20"/>
          <w:szCs w:val="21"/>
        </w:rPr>
        <w:fldChar w:fldCharType="begin"/>
      </w:r>
      <w:r w:rsidR="00225A16" w:rsidRPr="003221A4">
        <w:rPr>
          <w:rFonts w:ascii="Arial" w:eastAsiaTheme="majorHAnsi" w:hAnsi="Arial" w:cs="Arial"/>
          <w:color w:val="000000" w:themeColor="text1"/>
          <w:sz w:val="20"/>
          <w:szCs w:val="21"/>
        </w:rPr>
        <w:instrText xml:space="preserve"> ADDIN EN.CITE &lt;EndNote&gt;&lt;Cite&gt;&lt;Author&gt;Akinwande&lt;/Author&gt;&lt;Year&gt;2015&lt;/Year&gt;&lt;RecNum&gt;199&lt;/RecNum&gt;&lt;DisplayText&gt;[1]&lt;/DisplayText&gt;&lt;record&gt;&lt;rec-number&gt;199&lt;/rec-number&gt;&lt;foreign-keys&gt;&lt;key app="EN" db-id="dvwx02e25dvsf2eafrqp22drxt5v50ar2ewd" timestamp="1591722822"&gt;199&lt;/key&gt;&lt;/foreign-keys&gt;&lt;ref-type name="Journal Article"&gt;17&lt;/ref-type&gt;&lt;contributors&gt;&lt;authors&gt;&lt;author&gt;Michael Olusegun Akinwande&lt;/author&gt;&lt;author&gt;Hussaini Garba Dikko&lt;/author&gt;&lt;author&gt;Agboola Samson&lt;/author&gt;&lt;/authors&gt;&lt;/contributors&gt;&lt;titles&gt;&lt;title&gt;Variance Inflation Factor: As a Condition for the Inclusion of Suppressor Variable(s) in Regression Analysis&lt;/title&gt;&lt;secondary-title&gt;Open Journal of Statistics&lt;/secondary-title&gt;&lt;/titles&gt;&lt;periodical&gt;&lt;full-title&gt;Open Journal of Statistics&lt;/full-title&gt;&lt;/periodical&gt;&lt;pages&gt;14&lt;/pages&gt;&lt;volume&gt;Vol.05No.07&lt;/volume&gt;&lt;dates&gt;&lt;year&gt;2015&lt;/year&gt;&lt;/dates&gt;&lt;urls&gt;&lt;related-urls&gt;&lt;url&gt;//www.scirp.org/journal/paperinformation.aspx?paperid=62189&lt;/url&gt;&lt;/related-urls&gt;&lt;/urls&gt;&lt;custom7&gt;62189&lt;/custom7&gt;&lt;electronic-resource-num&gt;10.4236/ojs.2015.57075&lt;/electronic-resource-num&gt;&lt;/record&gt;&lt;/Cite&gt;&lt;/EndNote&gt;</w:instrText>
      </w:r>
      <w:r w:rsidRPr="003221A4">
        <w:rPr>
          <w:rFonts w:ascii="Arial" w:eastAsiaTheme="majorHAnsi" w:hAnsi="Arial" w:cs="Arial"/>
          <w:color w:val="000000" w:themeColor="text1"/>
          <w:sz w:val="20"/>
          <w:szCs w:val="21"/>
        </w:rPr>
        <w:fldChar w:fldCharType="separate"/>
      </w:r>
      <w:r w:rsidR="00225A16" w:rsidRPr="003221A4">
        <w:rPr>
          <w:rFonts w:ascii="Arial" w:eastAsiaTheme="majorHAnsi" w:hAnsi="Arial" w:cs="Arial"/>
          <w:noProof/>
          <w:color w:val="000000" w:themeColor="text1"/>
          <w:sz w:val="20"/>
          <w:szCs w:val="21"/>
        </w:rPr>
        <w:t>[1]</w:t>
      </w:r>
      <w:r w:rsidRPr="003221A4">
        <w:rPr>
          <w:rFonts w:ascii="Arial" w:eastAsiaTheme="majorHAnsi" w:hAnsi="Arial" w:cs="Arial"/>
          <w:color w:val="000000" w:themeColor="text1"/>
          <w:sz w:val="20"/>
          <w:szCs w:val="21"/>
        </w:rPr>
        <w:fldChar w:fldCharType="end"/>
      </w:r>
      <w:r w:rsidRPr="003221A4">
        <w:rPr>
          <w:rFonts w:ascii="Arial" w:eastAsiaTheme="majorHAnsi" w:hAnsi="Arial" w:cs="Arial"/>
          <w:color w:val="000000" w:themeColor="text1"/>
          <w:sz w:val="20"/>
          <w:szCs w:val="21"/>
        </w:rPr>
        <w:t>.</w:t>
      </w:r>
    </w:p>
    <w:p w:rsidR="00641926" w:rsidRPr="003221A4" w:rsidRDefault="00641926" w:rsidP="0064192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641926" w:rsidRPr="003221A4" w:rsidRDefault="00641926" w:rsidP="0064192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CC9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b/>
          <w:color w:val="000000" w:themeColor="text1"/>
          <w:szCs w:val="21"/>
        </w:rPr>
        <w:t xml:space="preserve">Table </w:t>
      </w:r>
      <w:r w:rsidR="00495EFD">
        <w:rPr>
          <w:rFonts w:ascii="Arial" w:eastAsiaTheme="majorHAnsi" w:hAnsi="Arial" w:cs="Arial"/>
          <w:b/>
          <w:color w:val="000000" w:themeColor="text1"/>
          <w:szCs w:val="21"/>
        </w:rPr>
        <w:t>S</w:t>
      </w:r>
      <w:r w:rsidR="00641926" w:rsidRPr="003221A4">
        <w:rPr>
          <w:rFonts w:ascii="Arial" w:eastAsiaTheme="majorHAnsi" w:hAnsi="Arial" w:cs="Arial"/>
          <w:b/>
          <w:color w:val="000000" w:themeColor="text1"/>
          <w:szCs w:val="21"/>
        </w:rPr>
        <w:t>3</w:t>
      </w:r>
      <w:r w:rsidR="00225A16"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Principal component loadings on part of city-specific characteristics</w:t>
      </w:r>
    </w:p>
    <w:tbl>
      <w:tblPr>
        <w:tblW w:w="8647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42"/>
        <w:gridCol w:w="1045"/>
        <w:gridCol w:w="1300"/>
        <w:gridCol w:w="1300"/>
        <w:gridCol w:w="1300"/>
        <w:gridCol w:w="860"/>
      </w:tblGrid>
      <w:tr w:rsidR="00FB1339" w:rsidRPr="003221A4" w:rsidTr="002957E4">
        <w:trPr>
          <w:trHeight w:val="320"/>
          <w:jc w:val="center"/>
        </w:trPr>
        <w:tc>
          <w:tcPr>
            <w:tcW w:w="2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Variables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RC1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RC2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h2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u2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com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bookmarkStart w:id="17" w:name="_Hlk42852019"/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population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0.95 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0.03 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0.90 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0.10 </w:t>
            </w:r>
          </w:p>
        </w:tc>
        <w:tc>
          <w:tcPr>
            <w:tcW w:w="8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 w:val="16"/>
                <w:szCs w:val="21"/>
              </w:rPr>
              <w:t>No. of elementary school students</w:t>
            </w:r>
          </w:p>
        </w:tc>
        <w:tc>
          <w:tcPr>
            <w:tcW w:w="104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0.92 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0.14 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0.87 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0.13 </w:t>
            </w:r>
          </w:p>
        </w:tc>
        <w:tc>
          <w:tcPr>
            <w:tcW w:w="8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0.94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0.01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0.88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0.12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Traffic passengers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0.78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0.19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0.64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0.36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1.10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per person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0.52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-0.15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0.29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0.71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1.20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Number of hospitals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0.87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-0.05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0.77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0.23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Number of beds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0.96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-0.03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0.93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0.07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Number of licensed doctors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0.97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-0.03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0.93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0.07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bookmarkStart w:id="18" w:name="_Hlk42852207"/>
            <w:bookmarkEnd w:id="17"/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temperature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0.07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0.85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0.72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0.28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relative humidity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-0.05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0.90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0.81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0.19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rainfall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-0.03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0.88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0.78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0.22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tr w:rsidR="00FB1339" w:rsidRPr="003221A4" w:rsidTr="002957E4">
        <w:trPr>
          <w:trHeight w:val="320"/>
          <w:jc w:val="center"/>
        </w:trPr>
        <w:tc>
          <w:tcPr>
            <w:tcW w:w="2842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Average sunshine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-0.05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-0.85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0.73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0.27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FB1339" w:rsidRPr="003221A4" w:rsidRDefault="00FB1339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1.00 </w:t>
            </w:r>
          </w:p>
        </w:tc>
      </w:tr>
      <w:bookmarkEnd w:id="18"/>
    </w:tbl>
    <w:p w:rsidR="00DE3C3B" w:rsidRDefault="00DE3C3B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621287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  <w:r>
        <w:rPr>
          <w:rFonts w:ascii="Arial" w:eastAsiaTheme="majorHAnsi" w:hAnsi="Arial" w:cs="Arial"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202565</wp:posOffset>
            </wp:positionV>
            <wp:extent cx="4351166" cy="3105665"/>
            <wp:effectExtent l="0" t="0" r="508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166" cy="310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  <w:bookmarkStart w:id="19" w:name="_GoBack"/>
      <w:bookmarkEnd w:id="19"/>
    </w:p>
    <w:p w:rsidR="00FB1339" w:rsidRPr="003221A4" w:rsidRDefault="00FB1339" w:rsidP="00A73666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</w:p>
    <w:p w:rsidR="00FB1339" w:rsidRPr="003221A4" w:rsidRDefault="00FB1339" w:rsidP="00A73666">
      <w:pPr>
        <w:rPr>
          <w:rFonts w:ascii="Arial" w:eastAsiaTheme="majorHAnsi" w:hAnsi="Arial" w:cs="Arial"/>
          <w:color w:val="000000" w:themeColor="text1"/>
        </w:rPr>
      </w:pPr>
      <w:r w:rsidRPr="003221A4">
        <w:rPr>
          <w:rFonts w:ascii="Arial" w:eastAsiaTheme="majorHAnsi" w:hAnsi="Arial" w:cs="Arial"/>
          <w:b/>
          <w:color w:val="000000" w:themeColor="text1"/>
        </w:rPr>
        <w:lastRenderedPageBreak/>
        <w:t>Fig</w:t>
      </w:r>
      <w:r w:rsidR="009E7D8B" w:rsidRPr="003221A4">
        <w:rPr>
          <w:rFonts w:ascii="Arial" w:eastAsiaTheme="majorHAnsi" w:hAnsi="Arial" w:cs="Arial"/>
          <w:b/>
          <w:color w:val="000000" w:themeColor="text1"/>
        </w:rPr>
        <w:t>.</w:t>
      </w:r>
      <w:r w:rsidR="006B15BD">
        <w:rPr>
          <w:rFonts w:ascii="Arial" w:eastAsiaTheme="majorHAnsi" w:hAnsi="Arial" w:cs="Arial"/>
          <w:b/>
          <w:color w:val="000000" w:themeColor="text1"/>
        </w:rPr>
        <w:t xml:space="preserve"> </w:t>
      </w:r>
      <w:r w:rsidR="00621287">
        <w:rPr>
          <w:rFonts w:ascii="Arial" w:eastAsiaTheme="majorHAnsi" w:hAnsi="Arial" w:cs="Arial"/>
          <w:b/>
          <w:color w:val="000000" w:themeColor="text1"/>
        </w:rPr>
        <w:t>S</w:t>
      </w:r>
      <w:r w:rsidRPr="003221A4">
        <w:rPr>
          <w:rFonts w:ascii="Arial" w:eastAsiaTheme="majorHAnsi" w:hAnsi="Arial" w:cs="Arial"/>
          <w:b/>
          <w:color w:val="000000" w:themeColor="text1"/>
        </w:rPr>
        <w:t>1</w:t>
      </w:r>
      <w:r w:rsidRPr="003221A4">
        <w:rPr>
          <w:rFonts w:ascii="Arial" w:eastAsiaTheme="majorHAnsi" w:hAnsi="Arial" w:cs="Arial"/>
          <w:color w:val="000000" w:themeColor="text1"/>
        </w:rPr>
        <w:t xml:space="preserve"> Visualization of the principal component analysis</w:t>
      </w:r>
    </w:p>
    <w:p w:rsidR="00FB1339" w:rsidRPr="003221A4" w:rsidRDefault="00FB1339" w:rsidP="00A73666">
      <w:pPr>
        <w:rPr>
          <w:rFonts w:ascii="Arial" w:eastAsiaTheme="majorHAnsi" w:hAnsi="Arial" w:cs="Arial"/>
          <w:color w:val="000000" w:themeColor="text1"/>
        </w:rPr>
      </w:pPr>
      <w:r w:rsidRPr="003221A4">
        <w:rPr>
          <w:rFonts w:ascii="Arial" w:eastAsiaTheme="majorHAnsi" w:hAnsi="Arial" w:cs="Arial"/>
          <w:color w:val="000000" w:themeColor="text1"/>
        </w:rPr>
        <w:t>A. The principal component loadings of the first three principal components</w:t>
      </w:r>
    </w:p>
    <w:p w:rsidR="0046595E" w:rsidRPr="003221A4" w:rsidRDefault="00FB1339" w:rsidP="00A73666">
      <w:pPr>
        <w:rPr>
          <w:rFonts w:ascii="Arial" w:eastAsiaTheme="majorHAnsi" w:hAnsi="Arial" w:cs="Arial"/>
          <w:color w:val="000000" w:themeColor="text1"/>
        </w:rPr>
      </w:pPr>
      <w:r w:rsidRPr="003221A4">
        <w:rPr>
          <w:rFonts w:ascii="Arial" w:eastAsiaTheme="majorHAnsi" w:hAnsi="Arial" w:cs="Arial"/>
          <w:color w:val="000000" w:themeColor="text1"/>
        </w:rPr>
        <w:t>B. The map of variable-categorizing based on the first two principal components</w:t>
      </w:r>
      <w:r w:rsidR="00990CAB" w:rsidRPr="003221A4">
        <w:rPr>
          <w:rFonts w:ascii="Arial" w:eastAsiaTheme="majorHAnsi" w:hAnsi="Arial" w:cs="Arial"/>
          <w:color w:val="000000" w:themeColor="text1"/>
        </w:rPr>
        <w:t xml:space="preserve"> (</w:t>
      </w:r>
      <w:r w:rsidR="0046595E" w:rsidRPr="003221A4">
        <w:rPr>
          <w:rFonts w:ascii="Arial" w:eastAsiaTheme="majorHAnsi" w:hAnsi="Arial" w:cs="Arial"/>
          <w:color w:val="000000" w:themeColor="text1"/>
        </w:rPr>
        <w:t>PC_1, PC_2 correspond to the City development and Meteorological features, respectively.</w:t>
      </w:r>
      <w:r w:rsidR="00990CAB" w:rsidRPr="003221A4">
        <w:rPr>
          <w:rFonts w:ascii="Arial" w:eastAsiaTheme="majorHAnsi" w:hAnsi="Arial" w:cs="Arial"/>
          <w:color w:val="000000" w:themeColor="text1"/>
        </w:rPr>
        <w:t>)</w:t>
      </w:r>
    </w:p>
    <w:p w:rsidR="00DE3C3B" w:rsidRDefault="00DE3C3B" w:rsidP="00A14DD3">
      <w:pPr>
        <w:widowControl/>
        <w:spacing w:line="360" w:lineRule="auto"/>
        <w:rPr>
          <w:rFonts w:ascii="Arial" w:eastAsiaTheme="majorHAnsi" w:hAnsi="Arial" w:cs="Arial"/>
          <w:b/>
          <w:kern w:val="0"/>
          <w:szCs w:val="21"/>
          <w:shd w:val="clear" w:color="auto" w:fill="FFFFFF"/>
        </w:rPr>
      </w:pPr>
    </w:p>
    <w:p w:rsidR="00F668DC" w:rsidRPr="00495EFD" w:rsidRDefault="00641926" w:rsidP="00A14DD3">
      <w:pPr>
        <w:widowControl/>
        <w:spacing w:line="360" w:lineRule="auto"/>
        <w:rPr>
          <w:rFonts w:ascii="Arial" w:eastAsiaTheme="majorHAnsi" w:hAnsi="Arial" w:cs="Arial"/>
          <w:b/>
          <w:kern w:val="0"/>
          <w:szCs w:val="21"/>
          <w:shd w:val="clear" w:color="auto" w:fill="FFFFFF"/>
        </w:rPr>
      </w:pPr>
      <w:r w:rsidRPr="00495EFD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>S3</w:t>
      </w:r>
      <w:r w:rsidR="00F668DC" w:rsidRPr="00495EFD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 xml:space="preserve">. Details of </w:t>
      </w:r>
      <w:r w:rsidR="00495EFD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>stratification</w:t>
      </w:r>
      <w:r w:rsidR="00F668DC" w:rsidRPr="00495EFD">
        <w:rPr>
          <w:rFonts w:ascii="Arial" w:eastAsiaTheme="majorHAnsi" w:hAnsi="Arial" w:cs="Arial"/>
          <w:b/>
          <w:kern w:val="0"/>
          <w:szCs w:val="21"/>
          <w:shd w:val="clear" w:color="auto" w:fill="FFFFFF"/>
        </w:rPr>
        <w:t xml:space="preserve"> analysis </w:t>
      </w:r>
    </w:p>
    <w:p w:rsidR="00A73666" w:rsidRPr="00DE3C3B" w:rsidRDefault="00495EFD" w:rsidP="00A14DD3">
      <w:pPr>
        <w:spacing w:line="360" w:lineRule="auto"/>
        <w:rPr>
          <w:rFonts w:ascii="Arial" w:eastAsiaTheme="majorHAnsi" w:hAnsi="Arial" w:cs="Arial"/>
          <w:b/>
          <w:color w:val="000000" w:themeColor="text1"/>
          <w:szCs w:val="21"/>
        </w:rPr>
      </w:pPr>
      <w:r w:rsidRPr="00DE3C3B">
        <w:rPr>
          <w:rFonts w:ascii="Arial" w:eastAsiaTheme="majorHAnsi" w:hAnsi="Arial" w:cs="Arial"/>
          <w:b/>
          <w:color w:val="000000" w:themeColor="text1"/>
          <w:szCs w:val="21"/>
        </w:rPr>
        <w:t>Str</w:t>
      </w:r>
      <w:r w:rsidR="00A14DD3" w:rsidRPr="00DE3C3B">
        <w:rPr>
          <w:rFonts w:ascii="Arial" w:eastAsiaTheme="majorHAnsi" w:hAnsi="Arial" w:cs="Arial"/>
          <w:b/>
          <w:color w:val="000000" w:themeColor="text1"/>
          <w:szCs w:val="21"/>
        </w:rPr>
        <w:t>a</w:t>
      </w:r>
      <w:r w:rsidRPr="00DE3C3B">
        <w:rPr>
          <w:rFonts w:ascii="Arial" w:eastAsiaTheme="majorHAnsi" w:hAnsi="Arial" w:cs="Arial"/>
          <w:b/>
          <w:color w:val="000000" w:themeColor="text1"/>
          <w:szCs w:val="21"/>
        </w:rPr>
        <w:t>tification</w:t>
      </w:r>
      <w:r w:rsidR="00D57C72" w:rsidRPr="00DE3C3B">
        <w:rPr>
          <w:rFonts w:ascii="Arial" w:eastAsiaTheme="majorHAnsi" w:hAnsi="Arial" w:cs="Arial"/>
          <w:b/>
          <w:color w:val="000000" w:themeColor="text1"/>
          <w:szCs w:val="21"/>
        </w:rPr>
        <w:t xml:space="preserve"> analysis within male subpopulation</w:t>
      </w:r>
    </w:p>
    <w:p w:rsidR="00F668DC" w:rsidRPr="003221A4" w:rsidRDefault="00F668DC" w:rsidP="00A14DD3">
      <w:pPr>
        <w:spacing w:line="360" w:lineRule="auto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Similar results were generated from the male subgroup. The case-severity risk was significantly negatively correlated with GDP increase rate </w:t>
      </w:r>
      <w:bookmarkStart w:id="20" w:name="OLE_LINK75"/>
      <w:bookmarkStart w:id="21" w:name="OLE_LINK76"/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(RR = 0.734,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0.007)</w:t>
      </w:r>
      <w:bookmarkEnd w:id="20"/>
      <w:bookmarkEnd w:id="21"/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, city development indicator (RR=0.821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0.001), and meteorological indicator (RR = 0.761,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0.017)</w:t>
      </w:r>
      <w:r w:rsidR="008E0C10">
        <w:rPr>
          <w:rFonts w:ascii="Arial" w:eastAsiaTheme="majorHAnsi" w:hAnsi="Arial" w:cs="Arial"/>
          <w:color w:val="000000" w:themeColor="text1"/>
          <w:szCs w:val="21"/>
        </w:rPr>
        <w:t xml:space="preserve"> (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Table </w:t>
      </w:r>
      <w:r w:rsidR="008E0C10">
        <w:rPr>
          <w:rFonts w:ascii="Arial" w:eastAsiaTheme="majorHAnsi" w:hAnsi="Arial" w:cs="Arial"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color w:val="000000" w:themeColor="text1"/>
          <w:szCs w:val="21"/>
        </w:rPr>
        <w:t>4</w:t>
      </w:r>
      <w:r w:rsidR="008E0C10">
        <w:rPr>
          <w:rFonts w:ascii="Arial" w:eastAsiaTheme="majorHAnsi" w:hAnsi="Arial" w:cs="Arial"/>
          <w:color w:val="000000" w:themeColor="text1"/>
          <w:szCs w:val="21"/>
        </w:rPr>
        <w:t>)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. </w:t>
      </w:r>
    </w:p>
    <w:p w:rsidR="00F668DC" w:rsidRPr="003221A4" w:rsidRDefault="00F668DC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F668DC" w:rsidRPr="003221A4" w:rsidRDefault="00F668DC" w:rsidP="00225A16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b/>
          <w:color w:val="000000" w:themeColor="text1"/>
          <w:szCs w:val="21"/>
        </w:rPr>
        <w:t xml:space="preserve">Table </w:t>
      </w:r>
      <w:r w:rsidR="008E0C10">
        <w:rPr>
          <w:rFonts w:ascii="Arial" w:eastAsiaTheme="majorHAnsi" w:hAnsi="Arial" w:cs="Arial"/>
          <w:b/>
          <w:color w:val="000000" w:themeColor="text1"/>
          <w:szCs w:val="21"/>
        </w:rPr>
        <w:t>S</w:t>
      </w:r>
      <w:r w:rsidR="00522745" w:rsidRPr="003221A4">
        <w:rPr>
          <w:rFonts w:ascii="Arial" w:eastAsiaTheme="majorHAnsi" w:hAnsi="Arial" w:cs="Arial"/>
          <w:b/>
          <w:color w:val="000000" w:themeColor="text1"/>
          <w:szCs w:val="21"/>
        </w:rPr>
        <w:t>4</w:t>
      </w:r>
      <w:r w:rsidR="00A73CC9"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The Poisson regression model for associations between city characteristics and case-severity rate in male cases</w:t>
      </w:r>
    </w:p>
    <w:tbl>
      <w:tblPr>
        <w:tblW w:w="9072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1097"/>
        <w:gridCol w:w="742"/>
        <w:gridCol w:w="992"/>
        <w:gridCol w:w="993"/>
        <w:gridCol w:w="742"/>
        <w:gridCol w:w="1701"/>
      </w:tblGrid>
      <w:tr w:rsidR="00F668DC" w:rsidRPr="003221A4" w:rsidTr="00B41561">
        <w:trPr>
          <w:trHeight w:val="320"/>
          <w:jc w:val="center"/>
        </w:trPr>
        <w:tc>
          <w:tcPr>
            <w:tcW w:w="283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Variables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Estimate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P</w:t>
            </w: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-value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RR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95% CI for RR</w:t>
            </w:r>
          </w:p>
        </w:tc>
      </w:tr>
      <w:tr w:rsidR="00F668DC" w:rsidRPr="003221A4" w:rsidTr="002957E4">
        <w:trPr>
          <w:trHeight w:val="320"/>
          <w:jc w:val="center"/>
        </w:trPr>
        <w:tc>
          <w:tcPr>
            <w:tcW w:w="2835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increase rate</w:t>
            </w:r>
          </w:p>
        </w:tc>
        <w:tc>
          <w:tcPr>
            <w:tcW w:w="1097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0.107</w:t>
            </w:r>
          </w:p>
        </w:tc>
        <w:tc>
          <w:tcPr>
            <w:tcW w:w="74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0.174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0.616</w:t>
            </w:r>
          </w:p>
        </w:tc>
        <w:tc>
          <w:tcPr>
            <w:tcW w:w="99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0.539</w:t>
            </w:r>
          </w:p>
        </w:tc>
        <w:tc>
          <w:tcPr>
            <w:tcW w:w="71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1.113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0.791~1.566</w:t>
            </w:r>
          </w:p>
        </w:tc>
      </w:tr>
      <w:tr w:rsidR="00F668DC" w:rsidRPr="003221A4" w:rsidTr="002957E4">
        <w:trPr>
          <w:trHeight w:val="320"/>
          <w:jc w:val="center"/>
        </w:trPr>
        <w:tc>
          <w:tcPr>
            <w:tcW w:w="2835" w:type="dxa"/>
            <w:tcBorders>
              <w:top w:val="nil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density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-0.027</w:t>
            </w:r>
          </w:p>
        </w:tc>
        <w:tc>
          <w:tcPr>
            <w:tcW w:w="741" w:type="dxa"/>
            <w:tcBorders>
              <w:top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0.101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-0.273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0.785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0.973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0.799~1.185</w:t>
            </w:r>
          </w:p>
        </w:tc>
      </w:tr>
      <w:tr w:rsidR="00F668DC" w:rsidRPr="003221A4" w:rsidTr="002957E4">
        <w:trPr>
          <w:trHeight w:val="320"/>
          <w:jc w:val="center"/>
        </w:trPr>
        <w:tc>
          <w:tcPr>
            <w:tcW w:w="2835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increase rate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-0.309</w:t>
            </w:r>
          </w:p>
        </w:tc>
        <w:tc>
          <w:tcPr>
            <w:tcW w:w="741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-2.740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0.007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0.734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0.589~0.916</w:t>
            </w:r>
          </w:p>
        </w:tc>
      </w:tr>
      <w:tr w:rsidR="00F668DC" w:rsidRPr="003221A4" w:rsidTr="002957E4">
        <w:trPr>
          <w:trHeight w:val="320"/>
          <w:jc w:val="center"/>
        </w:trPr>
        <w:tc>
          <w:tcPr>
            <w:tcW w:w="2835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Per capita public green areas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-0.103</w:t>
            </w:r>
          </w:p>
        </w:tc>
        <w:tc>
          <w:tcPr>
            <w:tcW w:w="741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0.077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-1.344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0.181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0.902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0.776~1.048</w:t>
            </w:r>
          </w:p>
        </w:tc>
      </w:tr>
      <w:tr w:rsidR="00F668DC" w:rsidRPr="003221A4" w:rsidTr="002957E4">
        <w:trPr>
          <w:trHeight w:val="320"/>
          <w:jc w:val="center"/>
        </w:trPr>
        <w:tc>
          <w:tcPr>
            <w:tcW w:w="2835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City development 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-0.197</w:t>
            </w:r>
          </w:p>
        </w:tc>
        <w:tc>
          <w:tcPr>
            <w:tcW w:w="741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0.055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-3.567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0.001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0.821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0.737~0.915</w:t>
            </w:r>
          </w:p>
        </w:tc>
      </w:tr>
      <w:tr w:rsidR="00F668DC" w:rsidRPr="003221A4" w:rsidTr="002957E4">
        <w:trPr>
          <w:trHeight w:val="320"/>
          <w:jc w:val="center"/>
        </w:trPr>
        <w:tc>
          <w:tcPr>
            <w:tcW w:w="2835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Meteorological features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-0.272</w:t>
            </w:r>
          </w:p>
        </w:tc>
        <w:tc>
          <w:tcPr>
            <w:tcW w:w="741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-2.416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0.017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0.761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0.610~0.950</w:t>
            </w:r>
          </w:p>
        </w:tc>
      </w:tr>
      <w:tr w:rsidR="00F668DC" w:rsidRPr="003221A4" w:rsidTr="00B41561">
        <w:trPr>
          <w:trHeight w:val="320"/>
          <w:jc w:val="center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Intercept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-4.632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-33.646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&lt;0.001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68DC" w:rsidRPr="003221A4" w:rsidRDefault="00F668DC" w:rsidP="00A73666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0.007~ 0.013</w:t>
            </w:r>
          </w:p>
        </w:tc>
      </w:tr>
    </w:tbl>
    <w:p w:rsidR="00F668DC" w:rsidRPr="003221A4" w:rsidRDefault="00F668DC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73666" w:rsidRPr="003221A4" w:rsidRDefault="00A73666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57C72" w:rsidRPr="00DE3C3B" w:rsidRDefault="00D57C72" w:rsidP="00A14DD3">
      <w:pPr>
        <w:spacing w:line="360" w:lineRule="auto"/>
        <w:rPr>
          <w:rFonts w:ascii="Arial" w:eastAsiaTheme="majorHAnsi" w:hAnsi="Arial" w:cs="Arial"/>
          <w:b/>
          <w:color w:val="000000" w:themeColor="text1"/>
          <w:szCs w:val="21"/>
        </w:rPr>
      </w:pPr>
      <w:r w:rsidRPr="00DE3C3B">
        <w:rPr>
          <w:rFonts w:ascii="Arial" w:eastAsiaTheme="majorHAnsi" w:hAnsi="Arial" w:cs="Arial"/>
          <w:b/>
          <w:color w:val="000000" w:themeColor="text1"/>
          <w:szCs w:val="21"/>
        </w:rPr>
        <w:t>Stratified analysis within female subpopulation</w:t>
      </w:r>
    </w:p>
    <w:p w:rsidR="00F668DC" w:rsidRPr="003221A4" w:rsidRDefault="00F668DC" w:rsidP="00A14DD3">
      <w:pPr>
        <w:spacing w:line="360" w:lineRule="auto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Similar results were generated from the female subgroup. The case-severity risk was significantly negatively correlated with GDP increase rate (RR = 0.764,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0.016), city development indicator (RR=0.825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0.001), and meteorological indicator (RR = 0.785,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0.032)</w:t>
      </w:r>
      <w:r w:rsidR="00A14DD3">
        <w:rPr>
          <w:rFonts w:ascii="Arial" w:eastAsiaTheme="majorHAnsi" w:hAnsi="Arial" w:cs="Arial"/>
          <w:color w:val="000000" w:themeColor="text1"/>
          <w:szCs w:val="21"/>
        </w:rPr>
        <w:t xml:space="preserve"> (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Table </w:t>
      </w:r>
      <w:r w:rsidR="00204A59">
        <w:rPr>
          <w:rFonts w:ascii="Arial" w:eastAsiaTheme="majorHAnsi" w:hAnsi="Arial" w:cs="Arial"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color w:val="000000" w:themeColor="text1"/>
          <w:szCs w:val="21"/>
        </w:rPr>
        <w:t>5</w:t>
      </w:r>
      <w:r w:rsidR="00A14DD3">
        <w:rPr>
          <w:rFonts w:ascii="Arial" w:eastAsiaTheme="majorHAnsi" w:hAnsi="Arial" w:cs="Arial"/>
          <w:color w:val="000000" w:themeColor="text1"/>
          <w:szCs w:val="21"/>
        </w:rPr>
        <w:t>)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. </w:t>
      </w:r>
    </w:p>
    <w:p w:rsidR="00F668DC" w:rsidRPr="003221A4" w:rsidRDefault="00F668DC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F668DC" w:rsidRPr="003221A4" w:rsidRDefault="00F668DC" w:rsidP="00A73666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b/>
          <w:color w:val="000000" w:themeColor="text1"/>
          <w:szCs w:val="21"/>
        </w:rPr>
        <w:t xml:space="preserve">Table </w:t>
      </w:r>
      <w:r w:rsidR="00A14DD3">
        <w:rPr>
          <w:rFonts w:ascii="Arial" w:eastAsiaTheme="majorHAnsi" w:hAnsi="Arial" w:cs="Arial"/>
          <w:b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b/>
          <w:color w:val="000000" w:themeColor="text1"/>
          <w:szCs w:val="21"/>
        </w:rPr>
        <w:t>5</w:t>
      </w:r>
      <w:r w:rsidR="00A73CC9"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The Poisson regression model for associations between city characteristics and case-severity rate in female cases</w:t>
      </w:r>
    </w:p>
    <w:tbl>
      <w:tblPr>
        <w:tblW w:w="907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097"/>
        <w:gridCol w:w="888"/>
        <w:gridCol w:w="992"/>
        <w:gridCol w:w="992"/>
        <w:gridCol w:w="742"/>
        <w:gridCol w:w="1721"/>
      </w:tblGrid>
      <w:tr w:rsidR="00506094" w:rsidRPr="003221A4" w:rsidTr="00B41561">
        <w:trPr>
          <w:trHeight w:val="320"/>
          <w:jc w:val="center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Variables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Estimate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P</w:t>
            </w: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-value</w:t>
            </w: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RR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95% CI for RR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increase rate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0.097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0.176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0.548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0.584</w:t>
            </w:r>
          </w:p>
        </w:tc>
        <w:tc>
          <w:tcPr>
            <w:tcW w:w="689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1.101</w:t>
            </w:r>
          </w:p>
        </w:tc>
        <w:tc>
          <w:tcPr>
            <w:tcW w:w="1721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0.780~1.556  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density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-0.024</w:t>
            </w:r>
          </w:p>
        </w:tc>
        <w:tc>
          <w:tcPr>
            <w:tcW w:w="888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-0.240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0.811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0.976</w:t>
            </w:r>
          </w:p>
        </w:tc>
        <w:tc>
          <w:tcPr>
            <w:tcW w:w="1721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0.803~1.187  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increase rate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-0.269</w:t>
            </w:r>
          </w:p>
        </w:tc>
        <w:tc>
          <w:tcPr>
            <w:tcW w:w="888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-2.441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0.016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0.764</w:t>
            </w:r>
          </w:p>
        </w:tc>
        <w:tc>
          <w:tcPr>
            <w:tcW w:w="1721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0.616~0.948  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lastRenderedPageBreak/>
              <w:t>Per capita public green areas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-0.107</w:t>
            </w:r>
          </w:p>
        </w:tc>
        <w:tc>
          <w:tcPr>
            <w:tcW w:w="888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0.077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-1.382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0.169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0.899</w:t>
            </w:r>
          </w:p>
        </w:tc>
        <w:tc>
          <w:tcPr>
            <w:tcW w:w="1721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0.772~1.046  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City development 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-0.192</w:t>
            </w:r>
          </w:p>
        </w:tc>
        <w:tc>
          <w:tcPr>
            <w:tcW w:w="888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0.054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-3.545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0.001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0.825</w:t>
            </w:r>
          </w:p>
        </w:tc>
        <w:tc>
          <w:tcPr>
            <w:tcW w:w="1721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0.742~0.918  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Meteorological features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-0.242</w:t>
            </w:r>
          </w:p>
        </w:tc>
        <w:tc>
          <w:tcPr>
            <w:tcW w:w="888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-2.170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0.032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0.785</w:t>
            </w:r>
          </w:p>
        </w:tc>
        <w:tc>
          <w:tcPr>
            <w:tcW w:w="1721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0.631~0.977 </w:t>
            </w:r>
          </w:p>
        </w:tc>
      </w:tr>
      <w:tr w:rsidR="00506094" w:rsidRPr="003221A4" w:rsidTr="00B41561">
        <w:trPr>
          <w:trHeight w:val="320"/>
          <w:jc w:val="center"/>
        </w:trPr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Intercept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-4.722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-34.332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&lt;0.001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0.009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0.007~0.012</w:t>
            </w:r>
          </w:p>
        </w:tc>
      </w:tr>
    </w:tbl>
    <w:p w:rsidR="00F668DC" w:rsidRPr="003221A4" w:rsidRDefault="00F668DC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57C72" w:rsidRPr="00DE3C3B" w:rsidRDefault="00D57C72" w:rsidP="00A14DD3">
      <w:pPr>
        <w:spacing w:line="360" w:lineRule="auto"/>
        <w:rPr>
          <w:rFonts w:ascii="Arial" w:eastAsiaTheme="majorHAnsi" w:hAnsi="Arial" w:cs="Arial"/>
          <w:b/>
          <w:color w:val="000000" w:themeColor="text1"/>
          <w:szCs w:val="21"/>
        </w:rPr>
      </w:pPr>
      <w:r w:rsidRPr="00DE3C3B">
        <w:rPr>
          <w:rFonts w:ascii="Arial" w:eastAsiaTheme="majorHAnsi" w:hAnsi="Arial" w:cs="Arial"/>
          <w:b/>
          <w:color w:val="000000" w:themeColor="text1"/>
          <w:szCs w:val="21"/>
        </w:rPr>
        <w:t>Stratified analysis within individuals under 2</w:t>
      </w:r>
      <w:r w:rsidR="00A14DD3" w:rsidRPr="00DE3C3B">
        <w:rPr>
          <w:rFonts w:ascii="Arial" w:eastAsiaTheme="majorHAnsi" w:hAnsi="Arial" w:cs="Arial"/>
          <w:b/>
          <w:color w:val="000000" w:themeColor="text1"/>
          <w:szCs w:val="21"/>
        </w:rPr>
        <w:t xml:space="preserve"> </w:t>
      </w:r>
      <w:r w:rsidRPr="00DE3C3B">
        <w:rPr>
          <w:rFonts w:ascii="Arial" w:eastAsiaTheme="majorHAnsi" w:hAnsi="Arial" w:cs="Arial"/>
          <w:b/>
          <w:color w:val="000000" w:themeColor="text1"/>
          <w:szCs w:val="21"/>
        </w:rPr>
        <w:t xml:space="preserve">years </w:t>
      </w:r>
    </w:p>
    <w:p w:rsidR="00F668DC" w:rsidRPr="003221A4" w:rsidRDefault="00F668DC" w:rsidP="00A14DD3">
      <w:pPr>
        <w:spacing w:line="360" w:lineRule="auto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Similar results were generated from the subgroup of cases under 2 years. The case-severity risk was significantly negatively correlated with GDP increase rate (RR= 0.741,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0.012), city development indicator (RR=0.826</w:t>
      </w:r>
      <w:r w:rsidR="00506094" w:rsidRPr="003221A4">
        <w:rPr>
          <w:rFonts w:ascii="Arial" w:eastAsiaTheme="majorHAnsi" w:hAnsi="Arial" w:cs="Arial"/>
          <w:color w:val="000000" w:themeColor="text1"/>
          <w:szCs w:val="21"/>
        </w:rPr>
        <w:t>,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0.001), and meteorological indicator (RR = 0.706,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>P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 = 0.004)</w:t>
      </w:r>
      <w:r w:rsidR="00A14DD3">
        <w:rPr>
          <w:rFonts w:ascii="Arial" w:eastAsiaTheme="majorHAnsi" w:hAnsi="Arial" w:cs="Arial"/>
          <w:color w:val="000000" w:themeColor="text1"/>
          <w:szCs w:val="21"/>
        </w:rPr>
        <w:t xml:space="preserve"> (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Table </w:t>
      </w:r>
      <w:r w:rsidR="00204A59">
        <w:rPr>
          <w:rFonts w:ascii="Arial" w:eastAsiaTheme="majorHAnsi" w:hAnsi="Arial" w:cs="Arial"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color w:val="000000" w:themeColor="text1"/>
          <w:szCs w:val="21"/>
        </w:rPr>
        <w:t>6</w:t>
      </w:r>
      <w:r w:rsidR="00A14DD3">
        <w:rPr>
          <w:rFonts w:ascii="Arial" w:eastAsiaTheme="majorHAnsi" w:hAnsi="Arial" w:cs="Arial"/>
          <w:color w:val="000000" w:themeColor="text1"/>
          <w:szCs w:val="21"/>
        </w:rPr>
        <w:t>)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. </w:t>
      </w:r>
    </w:p>
    <w:p w:rsidR="00F668DC" w:rsidRPr="003221A4" w:rsidRDefault="00F668DC" w:rsidP="00A73666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</w:p>
    <w:p w:rsidR="00F668DC" w:rsidRPr="003221A4" w:rsidRDefault="00F668DC" w:rsidP="00A73666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b/>
          <w:color w:val="000000" w:themeColor="text1"/>
          <w:szCs w:val="21"/>
        </w:rPr>
        <w:t xml:space="preserve">Table </w:t>
      </w:r>
      <w:r w:rsidR="00A14DD3">
        <w:rPr>
          <w:rFonts w:ascii="Arial" w:eastAsiaTheme="majorHAnsi" w:hAnsi="Arial" w:cs="Arial"/>
          <w:b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b/>
          <w:color w:val="000000" w:themeColor="text1"/>
          <w:szCs w:val="21"/>
        </w:rPr>
        <w:t>6</w:t>
      </w:r>
      <w:r w:rsidR="00225A16"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The Poisson regression model for associations between city characteristics and case-severity rate in patients under two years</w:t>
      </w:r>
    </w:p>
    <w:tbl>
      <w:tblPr>
        <w:tblW w:w="907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097"/>
        <w:gridCol w:w="888"/>
        <w:gridCol w:w="992"/>
        <w:gridCol w:w="992"/>
        <w:gridCol w:w="742"/>
        <w:gridCol w:w="1721"/>
      </w:tblGrid>
      <w:tr w:rsidR="00506094" w:rsidRPr="003221A4" w:rsidTr="00B41561">
        <w:trPr>
          <w:trHeight w:val="320"/>
          <w:jc w:val="center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Variables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Estimate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P</w:t>
            </w: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-value</w:t>
            </w: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RR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95% CI for RR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increase rate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0.113 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0.177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0.641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0.523 </w:t>
            </w:r>
          </w:p>
        </w:tc>
        <w:tc>
          <w:tcPr>
            <w:tcW w:w="689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1.120</w:t>
            </w:r>
          </w:p>
        </w:tc>
        <w:tc>
          <w:tcPr>
            <w:tcW w:w="17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0.792~1.584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density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-0.038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0.107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-0.360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0.719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0.962</w:t>
            </w:r>
          </w:p>
        </w:tc>
        <w:tc>
          <w:tcPr>
            <w:tcW w:w="172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0.781~1.186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increase rate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-0.299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0.118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-2.540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0.012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0.741</w:t>
            </w:r>
          </w:p>
        </w:tc>
        <w:tc>
          <w:tcPr>
            <w:tcW w:w="172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0.588~0.934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Per capita public green areas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-0.120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0.078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-1.534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0.127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0.887</w:t>
            </w:r>
          </w:p>
        </w:tc>
        <w:tc>
          <w:tcPr>
            <w:tcW w:w="172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0.761~1.034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City development 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-0.191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0.059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-3.268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0.001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0.826</w:t>
            </w:r>
          </w:p>
        </w:tc>
        <w:tc>
          <w:tcPr>
            <w:tcW w:w="172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0.736~0.926</w:t>
            </w:r>
          </w:p>
        </w:tc>
      </w:tr>
      <w:tr w:rsidR="00506094" w:rsidRPr="003221A4" w:rsidTr="002957E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Meteorological features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-0.349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0.118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-2.944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0.004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0.706</w:t>
            </w:r>
          </w:p>
        </w:tc>
        <w:tc>
          <w:tcPr>
            <w:tcW w:w="172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0.560~0.890</w:t>
            </w:r>
          </w:p>
        </w:tc>
      </w:tr>
      <w:tr w:rsidR="00506094" w:rsidRPr="003221A4" w:rsidTr="00B41561">
        <w:trPr>
          <w:trHeight w:val="320"/>
          <w:jc w:val="center"/>
        </w:trPr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Intercept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-4.332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-30.918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&lt;0.001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0.013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0.010~0.017</w:t>
            </w:r>
          </w:p>
        </w:tc>
      </w:tr>
    </w:tbl>
    <w:p w:rsidR="00F668DC" w:rsidRPr="003221A4" w:rsidRDefault="00F668DC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57C72" w:rsidRPr="00DE3C3B" w:rsidRDefault="00D57C72" w:rsidP="00D57C72">
      <w:pPr>
        <w:spacing w:line="600" w:lineRule="auto"/>
        <w:rPr>
          <w:rFonts w:ascii="Arial" w:eastAsiaTheme="majorHAnsi" w:hAnsi="Arial" w:cs="Arial"/>
          <w:b/>
          <w:color w:val="000000" w:themeColor="text1"/>
          <w:szCs w:val="21"/>
        </w:rPr>
      </w:pPr>
      <w:r w:rsidRPr="00DE3C3B">
        <w:rPr>
          <w:rFonts w:ascii="Arial" w:eastAsiaTheme="majorHAnsi" w:hAnsi="Arial" w:cs="Arial"/>
          <w:b/>
          <w:color w:val="000000" w:themeColor="text1"/>
          <w:szCs w:val="21"/>
        </w:rPr>
        <w:t xml:space="preserve">Stratified analysis within individuals over and equal to 2 years </w:t>
      </w:r>
    </w:p>
    <w:p w:rsidR="00F668DC" w:rsidRPr="003221A4" w:rsidRDefault="00F668DC" w:rsidP="00204A59">
      <w:pPr>
        <w:spacing w:line="480" w:lineRule="auto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Similar results were generated from the subgroup of cases over and equal to 2 years. The case-severity risk was significantly negatively correlated with GDP increase rate (RR = 0.750,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 xml:space="preserve">P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= 0.010), city development indicator (RR=0.823,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 xml:space="preserve">P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&lt; 0.001), and meteorological indicator (RR = 0.786, </w:t>
      </w:r>
      <w:r w:rsidRPr="003221A4">
        <w:rPr>
          <w:rFonts w:ascii="Arial" w:eastAsiaTheme="majorHAnsi" w:hAnsi="Arial" w:cs="Arial"/>
          <w:i/>
          <w:color w:val="000000" w:themeColor="text1"/>
          <w:szCs w:val="21"/>
        </w:rPr>
        <w:t xml:space="preserve">P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= 0.031)</w:t>
      </w:r>
      <w:r w:rsidR="00204A59">
        <w:rPr>
          <w:rFonts w:ascii="Arial" w:eastAsiaTheme="majorHAnsi" w:hAnsi="Arial" w:cs="Arial"/>
          <w:color w:val="000000" w:themeColor="text1"/>
          <w:szCs w:val="21"/>
        </w:rPr>
        <w:t xml:space="preserve"> (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Table </w:t>
      </w:r>
      <w:r w:rsidR="00204A59">
        <w:rPr>
          <w:rFonts w:ascii="Arial" w:eastAsiaTheme="majorHAnsi" w:hAnsi="Arial" w:cs="Arial"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color w:val="000000" w:themeColor="text1"/>
          <w:szCs w:val="21"/>
        </w:rPr>
        <w:t>7</w:t>
      </w:r>
      <w:r w:rsidR="00204A59">
        <w:rPr>
          <w:rFonts w:ascii="Arial" w:eastAsiaTheme="majorHAnsi" w:hAnsi="Arial" w:cs="Arial"/>
          <w:color w:val="000000" w:themeColor="text1"/>
          <w:szCs w:val="21"/>
        </w:rPr>
        <w:t>)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 xml:space="preserve">. </w:t>
      </w:r>
    </w:p>
    <w:p w:rsidR="00B41561" w:rsidRPr="003221A4" w:rsidRDefault="00B41561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F668DC" w:rsidRPr="003221A4" w:rsidRDefault="00F668DC" w:rsidP="00A73666">
      <w:pPr>
        <w:suppressLineNumbers/>
        <w:jc w:val="left"/>
        <w:rPr>
          <w:rFonts w:ascii="Arial" w:eastAsiaTheme="majorHAnsi" w:hAnsi="Arial" w:cs="Arial"/>
          <w:color w:val="000000" w:themeColor="text1"/>
          <w:szCs w:val="21"/>
        </w:rPr>
      </w:pPr>
      <w:r w:rsidRPr="003221A4">
        <w:rPr>
          <w:rFonts w:ascii="Arial" w:eastAsiaTheme="majorHAnsi" w:hAnsi="Arial" w:cs="Arial"/>
          <w:b/>
          <w:color w:val="000000" w:themeColor="text1"/>
          <w:szCs w:val="21"/>
        </w:rPr>
        <w:t>Table</w:t>
      </w:r>
      <w:r w:rsidR="003221A4">
        <w:rPr>
          <w:rFonts w:ascii="Arial" w:eastAsiaTheme="majorHAnsi" w:hAnsi="Arial" w:cs="Arial"/>
          <w:b/>
          <w:color w:val="000000" w:themeColor="text1"/>
          <w:szCs w:val="21"/>
        </w:rPr>
        <w:t xml:space="preserve"> </w:t>
      </w:r>
      <w:r w:rsidR="00204A59">
        <w:rPr>
          <w:rFonts w:ascii="Arial" w:eastAsiaTheme="majorHAnsi" w:hAnsi="Arial" w:cs="Arial"/>
          <w:b/>
          <w:color w:val="000000" w:themeColor="text1"/>
          <w:szCs w:val="21"/>
        </w:rPr>
        <w:t>S</w:t>
      </w:r>
      <w:r w:rsidR="00B41561" w:rsidRPr="003221A4">
        <w:rPr>
          <w:rFonts w:ascii="Arial" w:eastAsiaTheme="majorHAnsi" w:hAnsi="Arial" w:cs="Arial"/>
          <w:b/>
          <w:color w:val="000000" w:themeColor="text1"/>
          <w:szCs w:val="21"/>
        </w:rPr>
        <w:t>7</w:t>
      </w:r>
      <w:r w:rsidR="00225A16" w:rsidRPr="003221A4">
        <w:rPr>
          <w:rFonts w:ascii="Arial" w:eastAsiaTheme="majorHAnsi" w:hAnsi="Arial" w:cs="Arial"/>
          <w:color w:val="000000" w:themeColor="text1"/>
          <w:szCs w:val="21"/>
        </w:rPr>
        <w:t xml:space="preserve"> </w:t>
      </w:r>
      <w:r w:rsidRPr="003221A4">
        <w:rPr>
          <w:rFonts w:ascii="Arial" w:eastAsiaTheme="majorHAnsi" w:hAnsi="Arial" w:cs="Arial"/>
          <w:color w:val="000000" w:themeColor="text1"/>
          <w:szCs w:val="21"/>
        </w:rPr>
        <w:t>The Poisson regression model for associations between city characteristics and case-severity rate in patients above and equal to two years</w:t>
      </w:r>
    </w:p>
    <w:tbl>
      <w:tblPr>
        <w:tblW w:w="905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097"/>
        <w:gridCol w:w="888"/>
        <w:gridCol w:w="992"/>
        <w:gridCol w:w="992"/>
        <w:gridCol w:w="742"/>
        <w:gridCol w:w="1701"/>
      </w:tblGrid>
      <w:tr w:rsidR="00506094" w:rsidRPr="003221A4" w:rsidTr="00506094">
        <w:trPr>
          <w:trHeight w:val="320"/>
          <w:jc w:val="center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Variables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Estimate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i/>
                <w:color w:val="000000" w:themeColor="text1"/>
                <w:szCs w:val="21"/>
              </w:rPr>
              <w:t>P</w:t>
            </w: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-value</w:t>
            </w: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RR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95% CI for RR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increase rate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0.022 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0.187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0.116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0.908 </w:t>
            </w:r>
          </w:p>
        </w:tc>
        <w:tc>
          <w:tcPr>
            <w:tcW w:w="689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1.022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0.708~1.475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Population density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-0.019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0.099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-0.189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0.850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0.981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0.809~1.191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GDP increase rate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-0.287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0.110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-2.612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0.010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0.605~0.931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lastRenderedPageBreak/>
              <w:t>Per capita public green areas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-0.072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0.078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-0.924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0.357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0.930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0.798~1.084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City development 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-0.195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0.053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-3.668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&lt;0.001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0.823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0.741~0.913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Meteorological features</w:t>
            </w:r>
          </w:p>
        </w:tc>
        <w:tc>
          <w:tcPr>
            <w:tcW w:w="1097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-0.241 </w:t>
            </w:r>
          </w:p>
        </w:tc>
        <w:tc>
          <w:tcPr>
            <w:tcW w:w="888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0.111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-2.178 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0.031 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0.786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0.633~0.976</w:t>
            </w:r>
          </w:p>
        </w:tc>
      </w:tr>
      <w:tr w:rsidR="00506094" w:rsidRPr="003221A4" w:rsidTr="00506094">
        <w:trPr>
          <w:trHeight w:val="320"/>
          <w:jc w:val="center"/>
        </w:trPr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left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Intercept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-4.943 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0.142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 xml:space="preserve">-34.814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&lt;0.001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06094" w:rsidRPr="003221A4" w:rsidRDefault="00506094" w:rsidP="00506094">
            <w:pPr>
              <w:widowControl/>
              <w:jc w:val="center"/>
              <w:rPr>
                <w:rFonts w:ascii="Arial" w:eastAsiaTheme="majorHAnsi" w:hAnsi="Arial" w:cs="Arial"/>
                <w:color w:val="000000" w:themeColor="text1"/>
                <w:szCs w:val="21"/>
              </w:rPr>
            </w:pPr>
            <w:r w:rsidRPr="003221A4">
              <w:rPr>
                <w:rFonts w:ascii="Arial" w:eastAsiaTheme="majorHAnsi" w:hAnsi="Arial" w:cs="Arial"/>
                <w:color w:val="000000" w:themeColor="text1"/>
                <w:szCs w:val="21"/>
              </w:rPr>
              <w:t>0.005~0.009</w:t>
            </w:r>
          </w:p>
        </w:tc>
      </w:tr>
    </w:tbl>
    <w:p w:rsidR="00F668DC" w:rsidRPr="003221A4" w:rsidRDefault="00F668DC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73666" w:rsidRPr="003221A4" w:rsidRDefault="00A73666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73666" w:rsidRPr="003221A4" w:rsidRDefault="00A73666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DE3C3B" w:rsidRPr="003221A4" w:rsidRDefault="00DE3C3B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AE20F9" w:rsidRPr="003221A4" w:rsidRDefault="00AE20F9" w:rsidP="00A73666">
      <w:pPr>
        <w:suppressLineNumbers/>
        <w:rPr>
          <w:rFonts w:ascii="Arial" w:eastAsiaTheme="majorHAnsi" w:hAnsi="Arial" w:cs="Arial"/>
          <w:color w:val="000000" w:themeColor="text1"/>
          <w:szCs w:val="21"/>
        </w:rPr>
      </w:pPr>
    </w:p>
    <w:p w:rsidR="00F668DC" w:rsidRPr="003221A4" w:rsidRDefault="00F668DC" w:rsidP="00B41561">
      <w:pPr>
        <w:suppressLineNumbers/>
        <w:spacing w:line="600" w:lineRule="auto"/>
        <w:rPr>
          <w:rFonts w:ascii="Arial" w:eastAsiaTheme="majorHAnsi" w:hAnsi="Arial" w:cs="Arial"/>
          <w:b/>
          <w:color w:val="000000" w:themeColor="text1"/>
          <w:sz w:val="24"/>
        </w:rPr>
      </w:pPr>
      <w:r w:rsidRPr="003221A4">
        <w:rPr>
          <w:rFonts w:ascii="Arial" w:eastAsiaTheme="majorHAnsi" w:hAnsi="Arial" w:cs="Arial"/>
          <w:b/>
          <w:color w:val="000000" w:themeColor="text1"/>
          <w:sz w:val="24"/>
        </w:rPr>
        <w:lastRenderedPageBreak/>
        <w:t>Reference</w:t>
      </w:r>
    </w:p>
    <w:p w:rsidR="003221A4" w:rsidRPr="003221A4" w:rsidRDefault="00F668DC" w:rsidP="009A4CCC">
      <w:pPr>
        <w:pStyle w:val="EndNoteBibliography"/>
        <w:ind w:left="420" w:hangingChars="200" w:hanging="420"/>
        <w:rPr>
          <w:noProof/>
        </w:rPr>
      </w:pPr>
      <w:r w:rsidRPr="003221A4">
        <w:rPr>
          <w:rFonts w:ascii="Arial" w:eastAsiaTheme="majorHAnsi" w:hAnsi="Arial" w:cs="Arial"/>
          <w:sz w:val="21"/>
          <w:szCs w:val="21"/>
        </w:rPr>
        <w:fldChar w:fldCharType="begin"/>
      </w:r>
      <w:r w:rsidRPr="003221A4">
        <w:rPr>
          <w:rFonts w:ascii="Arial" w:eastAsiaTheme="majorHAnsi" w:hAnsi="Arial" w:cs="Arial"/>
          <w:sz w:val="21"/>
          <w:szCs w:val="21"/>
        </w:rPr>
        <w:instrText xml:space="preserve"> ADDIN EN.REFLIST </w:instrText>
      </w:r>
      <w:r w:rsidRPr="003221A4">
        <w:rPr>
          <w:rFonts w:ascii="Arial" w:eastAsiaTheme="majorHAnsi" w:hAnsi="Arial" w:cs="Arial"/>
          <w:sz w:val="21"/>
          <w:szCs w:val="21"/>
        </w:rPr>
        <w:fldChar w:fldCharType="separate"/>
      </w:r>
      <w:r w:rsidR="003221A4" w:rsidRPr="003221A4">
        <w:rPr>
          <w:noProof/>
        </w:rPr>
        <w:t>1.</w:t>
      </w:r>
      <w:r w:rsidR="003221A4" w:rsidRPr="003221A4">
        <w:rPr>
          <w:noProof/>
        </w:rPr>
        <w:tab/>
        <w:t>Akinwande MO, Dikko HG, Samson A. Variance Inflation Factor: As a Condition for the Inclusion of Suppressor Variable(s) in Regression Analysis. Open Journal of Statistics. 2015;Vol.05No.07:14.</w:t>
      </w:r>
    </w:p>
    <w:p w:rsidR="00F668DC" w:rsidRPr="003221A4" w:rsidRDefault="00F668DC" w:rsidP="00A73666">
      <w:pPr>
        <w:suppressLineNumbers/>
        <w:spacing w:line="480" w:lineRule="auto"/>
        <w:rPr>
          <w:rFonts w:ascii="Arial" w:eastAsiaTheme="majorHAnsi" w:hAnsi="Arial" w:cs="Arial"/>
        </w:rPr>
      </w:pPr>
      <w:r w:rsidRPr="003221A4">
        <w:rPr>
          <w:rFonts w:ascii="Arial" w:eastAsiaTheme="majorHAnsi" w:hAnsi="Arial" w:cs="Arial"/>
          <w:szCs w:val="21"/>
        </w:rPr>
        <w:fldChar w:fldCharType="end"/>
      </w:r>
    </w:p>
    <w:sectPr w:rsidR="00F668DC" w:rsidRPr="003221A4" w:rsidSect="0002123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Health Prevent Med Copy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wx02e25dvsf2eafrqp22drxt5v50ar2ewd&quot;&gt;My EndNote Library&lt;record-ids&gt;&lt;item&gt;199&lt;/item&gt;&lt;/record-ids&gt;&lt;/item&gt;&lt;/Libraries&gt;"/>
  </w:docVars>
  <w:rsids>
    <w:rsidRoot w:val="00FB1339"/>
    <w:rsid w:val="00006564"/>
    <w:rsid w:val="00007597"/>
    <w:rsid w:val="00007807"/>
    <w:rsid w:val="0002123B"/>
    <w:rsid w:val="00025BEE"/>
    <w:rsid w:val="00026CB8"/>
    <w:rsid w:val="000371E2"/>
    <w:rsid w:val="000522EE"/>
    <w:rsid w:val="000536A3"/>
    <w:rsid w:val="00061E1F"/>
    <w:rsid w:val="00072703"/>
    <w:rsid w:val="0007404F"/>
    <w:rsid w:val="00090EE8"/>
    <w:rsid w:val="00097CC9"/>
    <w:rsid w:val="000B0D30"/>
    <w:rsid w:val="000B1BEA"/>
    <w:rsid w:val="000B6840"/>
    <w:rsid w:val="000B7627"/>
    <w:rsid w:val="000C2461"/>
    <w:rsid w:val="000C35AC"/>
    <w:rsid w:val="000E0BAC"/>
    <w:rsid w:val="000E4F97"/>
    <w:rsid w:val="000F589C"/>
    <w:rsid w:val="00111DEB"/>
    <w:rsid w:val="0011638D"/>
    <w:rsid w:val="00121E9F"/>
    <w:rsid w:val="0013261E"/>
    <w:rsid w:val="00146906"/>
    <w:rsid w:val="001476A0"/>
    <w:rsid w:val="00151144"/>
    <w:rsid w:val="00162164"/>
    <w:rsid w:val="00163126"/>
    <w:rsid w:val="00166A8F"/>
    <w:rsid w:val="00175D8E"/>
    <w:rsid w:val="00182BCF"/>
    <w:rsid w:val="001850E4"/>
    <w:rsid w:val="0019258A"/>
    <w:rsid w:val="0019277F"/>
    <w:rsid w:val="00193341"/>
    <w:rsid w:val="001966BD"/>
    <w:rsid w:val="001A129E"/>
    <w:rsid w:val="001A2CC0"/>
    <w:rsid w:val="001B4870"/>
    <w:rsid w:val="001C0698"/>
    <w:rsid w:val="001C7790"/>
    <w:rsid w:val="001D641B"/>
    <w:rsid w:val="001E1F0B"/>
    <w:rsid w:val="001F690C"/>
    <w:rsid w:val="00200E16"/>
    <w:rsid w:val="00204A59"/>
    <w:rsid w:val="002104C4"/>
    <w:rsid w:val="00216DEB"/>
    <w:rsid w:val="00223087"/>
    <w:rsid w:val="00224C5D"/>
    <w:rsid w:val="00225A16"/>
    <w:rsid w:val="0022727D"/>
    <w:rsid w:val="00230459"/>
    <w:rsid w:val="00232A97"/>
    <w:rsid w:val="00237F5D"/>
    <w:rsid w:val="00242255"/>
    <w:rsid w:val="00244630"/>
    <w:rsid w:val="00247B8D"/>
    <w:rsid w:val="002522AE"/>
    <w:rsid w:val="002629FE"/>
    <w:rsid w:val="002662A9"/>
    <w:rsid w:val="00282A57"/>
    <w:rsid w:val="002861CE"/>
    <w:rsid w:val="00290E5A"/>
    <w:rsid w:val="002916B3"/>
    <w:rsid w:val="002957E4"/>
    <w:rsid w:val="002A0F6A"/>
    <w:rsid w:val="002A596F"/>
    <w:rsid w:val="002A67F9"/>
    <w:rsid w:val="002B1EDC"/>
    <w:rsid w:val="002B2EEC"/>
    <w:rsid w:val="002C0D1E"/>
    <w:rsid w:val="002C2E7E"/>
    <w:rsid w:val="002D2459"/>
    <w:rsid w:val="002D2FD4"/>
    <w:rsid w:val="002D5FEF"/>
    <w:rsid w:val="002E7AAA"/>
    <w:rsid w:val="002F478B"/>
    <w:rsid w:val="0030100F"/>
    <w:rsid w:val="003117FA"/>
    <w:rsid w:val="00312104"/>
    <w:rsid w:val="0031482F"/>
    <w:rsid w:val="00316FEC"/>
    <w:rsid w:val="00320C7E"/>
    <w:rsid w:val="003221A4"/>
    <w:rsid w:val="003315C7"/>
    <w:rsid w:val="003361E9"/>
    <w:rsid w:val="00337803"/>
    <w:rsid w:val="00363400"/>
    <w:rsid w:val="00373A74"/>
    <w:rsid w:val="003765B9"/>
    <w:rsid w:val="00383332"/>
    <w:rsid w:val="00395887"/>
    <w:rsid w:val="00397CBF"/>
    <w:rsid w:val="003A5108"/>
    <w:rsid w:val="003A531F"/>
    <w:rsid w:val="003B5000"/>
    <w:rsid w:val="003B5CCB"/>
    <w:rsid w:val="003B60E8"/>
    <w:rsid w:val="003D1599"/>
    <w:rsid w:val="003D37D9"/>
    <w:rsid w:val="003E6446"/>
    <w:rsid w:val="003E7232"/>
    <w:rsid w:val="003F26F4"/>
    <w:rsid w:val="003F4B3A"/>
    <w:rsid w:val="003F5E54"/>
    <w:rsid w:val="003F69D3"/>
    <w:rsid w:val="0040043D"/>
    <w:rsid w:val="00400D03"/>
    <w:rsid w:val="00411D12"/>
    <w:rsid w:val="004145C6"/>
    <w:rsid w:val="004219FC"/>
    <w:rsid w:val="00446CE9"/>
    <w:rsid w:val="00455D12"/>
    <w:rsid w:val="004640EF"/>
    <w:rsid w:val="0046595E"/>
    <w:rsid w:val="00466B46"/>
    <w:rsid w:val="00467497"/>
    <w:rsid w:val="004707A3"/>
    <w:rsid w:val="0047090B"/>
    <w:rsid w:val="0047760B"/>
    <w:rsid w:val="00480767"/>
    <w:rsid w:val="004853E7"/>
    <w:rsid w:val="00486856"/>
    <w:rsid w:val="004877C2"/>
    <w:rsid w:val="00495EFD"/>
    <w:rsid w:val="004A1444"/>
    <w:rsid w:val="004A5C0C"/>
    <w:rsid w:val="004C2DF3"/>
    <w:rsid w:val="004D2424"/>
    <w:rsid w:val="004E74DB"/>
    <w:rsid w:val="004F29E2"/>
    <w:rsid w:val="004F3CC4"/>
    <w:rsid w:val="005003A2"/>
    <w:rsid w:val="00500D91"/>
    <w:rsid w:val="00504D0C"/>
    <w:rsid w:val="00506094"/>
    <w:rsid w:val="00510DB2"/>
    <w:rsid w:val="005134B8"/>
    <w:rsid w:val="00513EAA"/>
    <w:rsid w:val="005141A7"/>
    <w:rsid w:val="005201B0"/>
    <w:rsid w:val="00522745"/>
    <w:rsid w:val="00522899"/>
    <w:rsid w:val="00523312"/>
    <w:rsid w:val="005255A1"/>
    <w:rsid w:val="005349FE"/>
    <w:rsid w:val="00535120"/>
    <w:rsid w:val="00541784"/>
    <w:rsid w:val="00552958"/>
    <w:rsid w:val="005559D8"/>
    <w:rsid w:val="00556B5E"/>
    <w:rsid w:val="005703C8"/>
    <w:rsid w:val="00572BAB"/>
    <w:rsid w:val="005917F8"/>
    <w:rsid w:val="00595C90"/>
    <w:rsid w:val="005A5287"/>
    <w:rsid w:val="005B2D97"/>
    <w:rsid w:val="005B64BB"/>
    <w:rsid w:val="005C0D6F"/>
    <w:rsid w:val="005D22FA"/>
    <w:rsid w:val="005E4614"/>
    <w:rsid w:val="005E7279"/>
    <w:rsid w:val="005F1DCA"/>
    <w:rsid w:val="005F1E7F"/>
    <w:rsid w:val="005F4292"/>
    <w:rsid w:val="005F7CFA"/>
    <w:rsid w:val="00611395"/>
    <w:rsid w:val="00621287"/>
    <w:rsid w:val="00622AB3"/>
    <w:rsid w:val="00624713"/>
    <w:rsid w:val="00625640"/>
    <w:rsid w:val="00633370"/>
    <w:rsid w:val="00634885"/>
    <w:rsid w:val="0064074D"/>
    <w:rsid w:val="00641926"/>
    <w:rsid w:val="00651057"/>
    <w:rsid w:val="006532CD"/>
    <w:rsid w:val="00654E91"/>
    <w:rsid w:val="006556DB"/>
    <w:rsid w:val="00656AAC"/>
    <w:rsid w:val="00662000"/>
    <w:rsid w:val="0066202C"/>
    <w:rsid w:val="00665C9D"/>
    <w:rsid w:val="00671043"/>
    <w:rsid w:val="00671372"/>
    <w:rsid w:val="006728F8"/>
    <w:rsid w:val="00675E13"/>
    <w:rsid w:val="00676A1C"/>
    <w:rsid w:val="006810EB"/>
    <w:rsid w:val="00682717"/>
    <w:rsid w:val="00683D81"/>
    <w:rsid w:val="006A23FC"/>
    <w:rsid w:val="006A510A"/>
    <w:rsid w:val="006B15BD"/>
    <w:rsid w:val="006B6601"/>
    <w:rsid w:val="006C10A5"/>
    <w:rsid w:val="006C4A5A"/>
    <w:rsid w:val="006C5336"/>
    <w:rsid w:val="006C722C"/>
    <w:rsid w:val="006D174D"/>
    <w:rsid w:val="006D4678"/>
    <w:rsid w:val="006F0C40"/>
    <w:rsid w:val="006F6D76"/>
    <w:rsid w:val="006F7D19"/>
    <w:rsid w:val="00710E98"/>
    <w:rsid w:val="00714379"/>
    <w:rsid w:val="007225C7"/>
    <w:rsid w:val="00731187"/>
    <w:rsid w:val="0073266B"/>
    <w:rsid w:val="00741073"/>
    <w:rsid w:val="0074164D"/>
    <w:rsid w:val="007454F5"/>
    <w:rsid w:val="007459A4"/>
    <w:rsid w:val="00747C1B"/>
    <w:rsid w:val="007625E5"/>
    <w:rsid w:val="00767F82"/>
    <w:rsid w:val="00772A2D"/>
    <w:rsid w:val="00772D68"/>
    <w:rsid w:val="00773263"/>
    <w:rsid w:val="00775408"/>
    <w:rsid w:val="007763BE"/>
    <w:rsid w:val="00781811"/>
    <w:rsid w:val="00782976"/>
    <w:rsid w:val="007837F5"/>
    <w:rsid w:val="0078406E"/>
    <w:rsid w:val="00790491"/>
    <w:rsid w:val="00790DE7"/>
    <w:rsid w:val="00793160"/>
    <w:rsid w:val="00794387"/>
    <w:rsid w:val="00795FA9"/>
    <w:rsid w:val="007B7FC0"/>
    <w:rsid w:val="007C35FC"/>
    <w:rsid w:val="007C52AA"/>
    <w:rsid w:val="007D2E98"/>
    <w:rsid w:val="007D3822"/>
    <w:rsid w:val="007D4E8C"/>
    <w:rsid w:val="007D6E4C"/>
    <w:rsid w:val="007E06AB"/>
    <w:rsid w:val="007E4896"/>
    <w:rsid w:val="007E7FC9"/>
    <w:rsid w:val="007F194E"/>
    <w:rsid w:val="007F3C60"/>
    <w:rsid w:val="0080554E"/>
    <w:rsid w:val="00814675"/>
    <w:rsid w:val="00824110"/>
    <w:rsid w:val="0083407B"/>
    <w:rsid w:val="00837EAE"/>
    <w:rsid w:val="0084100F"/>
    <w:rsid w:val="0084405D"/>
    <w:rsid w:val="008507B3"/>
    <w:rsid w:val="008520EA"/>
    <w:rsid w:val="00853D2F"/>
    <w:rsid w:val="0085713D"/>
    <w:rsid w:val="008641F8"/>
    <w:rsid w:val="008674FB"/>
    <w:rsid w:val="008676D4"/>
    <w:rsid w:val="008A2C67"/>
    <w:rsid w:val="008A364D"/>
    <w:rsid w:val="008A642E"/>
    <w:rsid w:val="008B2B3B"/>
    <w:rsid w:val="008B761F"/>
    <w:rsid w:val="008C17D5"/>
    <w:rsid w:val="008D3348"/>
    <w:rsid w:val="008E0C10"/>
    <w:rsid w:val="008E46E4"/>
    <w:rsid w:val="008E5B2A"/>
    <w:rsid w:val="008E5E4E"/>
    <w:rsid w:val="008F6D4E"/>
    <w:rsid w:val="009019A2"/>
    <w:rsid w:val="00905B6D"/>
    <w:rsid w:val="009141F2"/>
    <w:rsid w:val="009167FD"/>
    <w:rsid w:val="00926292"/>
    <w:rsid w:val="00931C47"/>
    <w:rsid w:val="00935D99"/>
    <w:rsid w:val="00940F0D"/>
    <w:rsid w:val="009429BD"/>
    <w:rsid w:val="00953907"/>
    <w:rsid w:val="009577E8"/>
    <w:rsid w:val="0097046B"/>
    <w:rsid w:val="00970FC1"/>
    <w:rsid w:val="00976CB3"/>
    <w:rsid w:val="00985D8D"/>
    <w:rsid w:val="0098648C"/>
    <w:rsid w:val="00990CAB"/>
    <w:rsid w:val="00994A37"/>
    <w:rsid w:val="009966E8"/>
    <w:rsid w:val="00997016"/>
    <w:rsid w:val="009A0EF4"/>
    <w:rsid w:val="009A22ED"/>
    <w:rsid w:val="009A2984"/>
    <w:rsid w:val="009A4CCC"/>
    <w:rsid w:val="009B044F"/>
    <w:rsid w:val="009B5C83"/>
    <w:rsid w:val="009B64FA"/>
    <w:rsid w:val="009C65E0"/>
    <w:rsid w:val="009C7E9D"/>
    <w:rsid w:val="009D22BB"/>
    <w:rsid w:val="009D5998"/>
    <w:rsid w:val="009E7D8B"/>
    <w:rsid w:val="009F1506"/>
    <w:rsid w:val="009F4D79"/>
    <w:rsid w:val="00A047D2"/>
    <w:rsid w:val="00A10398"/>
    <w:rsid w:val="00A12293"/>
    <w:rsid w:val="00A12403"/>
    <w:rsid w:val="00A14DD3"/>
    <w:rsid w:val="00A23CE6"/>
    <w:rsid w:val="00A310D3"/>
    <w:rsid w:val="00A37E01"/>
    <w:rsid w:val="00A420B1"/>
    <w:rsid w:val="00A43B68"/>
    <w:rsid w:val="00A636E6"/>
    <w:rsid w:val="00A71EC3"/>
    <w:rsid w:val="00A729CC"/>
    <w:rsid w:val="00A73666"/>
    <w:rsid w:val="00A73CC9"/>
    <w:rsid w:val="00A779E1"/>
    <w:rsid w:val="00A82B10"/>
    <w:rsid w:val="00A85E21"/>
    <w:rsid w:val="00A93F60"/>
    <w:rsid w:val="00A966CE"/>
    <w:rsid w:val="00AA3F32"/>
    <w:rsid w:val="00AA75F5"/>
    <w:rsid w:val="00AB0EE3"/>
    <w:rsid w:val="00AB552E"/>
    <w:rsid w:val="00AB7035"/>
    <w:rsid w:val="00AC72F2"/>
    <w:rsid w:val="00AD2679"/>
    <w:rsid w:val="00AE20F9"/>
    <w:rsid w:val="00AE2354"/>
    <w:rsid w:val="00AE3776"/>
    <w:rsid w:val="00AE5504"/>
    <w:rsid w:val="00AE6B00"/>
    <w:rsid w:val="00AE70F4"/>
    <w:rsid w:val="00AF676B"/>
    <w:rsid w:val="00AF70E3"/>
    <w:rsid w:val="00B00E2A"/>
    <w:rsid w:val="00B03CFB"/>
    <w:rsid w:val="00B2284C"/>
    <w:rsid w:val="00B30B29"/>
    <w:rsid w:val="00B33445"/>
    <w:rsid w:val="00B352F9"/>
    <w:rsid w:val="00B37455"/>
    <w:rsid w:val="00B41561"/>
    <w:rsid w:val="00B428C3"/>
    <w:rsid w:val="00B42B8C"/>
    <w:rsid w:val="00B4577F"/>
    <w:rsid w:val="00B45DB0"/>
    <w:rsid w:val="00B52129"/>
    <w:rsid w:val="00B563AF"/>
    <w:rsid w:val="00B57C8F"/>
    <w:rsid w:val="00B60F8E"/>
    <w:rsid w:val="00B621C0"/>
    <w:rsid w:val="00B77C1D"/>
    <w:rsid w:val="00B86BEF"/>
    <w:rsid w:val="00B8701A"/>
    <w:rsid w:val="00B91ECD"/>
    <w:rsid w:val="00B95BE4"/>
    <w:rsid w:val="00BA7F99"/>
    <w:rsid w:val="00BC1D4C"/>
    <w:rsid w:val="00BD3329"/>
    <w:rsid w:val="00BD4A91"/>
    <w:rsid w:val="00BD648D"/>
    <w:rsid w:val="00BE0DD6"/>
    <w:rsid w:val="00BF0359"/>
    <w:rsid w:val="00BF58DE"/>
    <w:rsid w:val="00C03D84"/>
    <w:rsid w:val="00C06B74"/>
    <w:rsid w:val="00C07385"/>
    <w:rsid w:val="00C12843"/>
    <w:rsid w:val="00C13764"/>
    <w:rsid w:val="00C14939"/>
    <w:rsid w:val="00C15DF9"/>
    <w:rsid w:val="00C2324E"/>
    <w:rsid w:val="00C33B72"/>
    <w:rsid w:val="00C35F87"/>
    <w:rsid w:val="00C3608A"/>
    <w:rsid w:val="00C36781"/>
    <w:rsid w:val="00C4050F"/>
    <w:rsid w:val="00C429B2"/>
    <w:rsid w:val="00C44614"/>
    <w:rsid w:val="00C461EF"/>
    <w:rsid w:val="00C47C5A"/>
    <w:rsid w:val="00C52D21"/>
    <w:rsid w:val="00C56339"/>
    <w:rsid w:val="00C57DFC"/>
    <w:rsid w:val="00C645D1"/>
    <w:rsid w:val="00C64961"/>
    <w:rsid w:val="00C70C89"/>
    <w:rsid w:val="00C8275D"/>
    <w:rsid w:val="00C95A89"/>
    <w:rsid w:val="00CA044B"/>
    <w:rsid w:val="00CA2EC0"/>
    <w:rsid w:val="00CB3494"/>
    <w:rsid w:val="00CB699F"/>
    <w:rsid w:val="00CD2410"/>
    <w:rsid w:val="00CD6FF0"/>
    <w:rsid w:val="00CE7723"/>
    <w:rsid w:val="00CF6BC1"/>
    <w:rsid w:val="00D05585"/>
    <w:rsid w:val="00D2023E"/>
    <w:rsid w:val="00D22A2D"/>
    <w:rsid w:val="00D237F9"/>
    <w:rsid w:val="00D402FC"/>
    <w:rsid w:val="00D41087"/>
    <w:rsid w:val="00D573C3"/>
    <w:rsid w:val="00D57C72"/>
    <w:rsid w:val="00D667B3"/>
    <w:rsid w:val="00D66935"/>
    <w:rsid w:val="00D83140"/>
    <w:rsid w:val="00D83C29"/>
    <w:rsid w:val="00D87C2C"/>
    <w:rsid w:val="00D92E6F"/>
    <w:rsid w:val="00D97335"/>
    <w:rsid w:val="00DA326A"/>
    <w:rsid w:val="00DA3647"/>
    <w:rsid w:val="00DA6AEA"/>
    <w:rsid w:val="00DB3775"/>
    <w:rsid w:val="00DD763E"/>
    <w:rsid w:val="00DD7A86"/>
    <w:rsid w:val="00DE3C3B"/>
    <w:rsid w:val="00DF4D05"/>
    <w:rsid w:val="00E110DA"/>
    <w:rsid w:val="00E136AF"/>
    <w:rsid w:val="00E23000"/>
    <w:rsid w:val="00E277ED"/>
    <w:rsid w:val="00E30DAA"/>
    <w:rsid w:val="00E31A07"/>
    <w:rsid w:val="00E33277"/>
    <w:rsid w:val="00E33D27"/>
    <w:rsid w:val="00E35ABF"/>
    <w:rsid w:val="00E36F2A"/>
    <w:rsid w:val="00E42BC5"/>
    <w:rsid w:val="00E60CD7"/>
    <w:rsid w:val="00E776EB"/>
    <w:rsid w:val="00E8380B"/>
    <w:rsid w:val="00E86A96"/>
    <w:rsid w:val="00E92039"/>
    <w:rsid w:val="00EA2823"/>
    <w:rsid w:val="00EA704C"/>
    <w:rsid w:val="00EB289E"/>
    <w:rsid w:val="00EB5BA0"/>
    <w:rsid w:val="00EC7114"/>
    <w:rsid w:val="00ED14F1"/>
    <w:rsid w:val="00EE1443"/>
    <w:rsid w:val="00EF00CD"/>
    <w:rsid w:val="00EF2997"/>
    <w:rsid w:val="00EF3908"/>
    <w:rsid w:val="00EF3B35"/>
    <w:rsid w:val="00EF3B74"/>
    <w:rsid w:val="00EF5AC9"/>
    <w:rsid w:val="00EF713A"/>
    <w:rsid w:val="00F05798"/>
    <w:rsid w:val="00F16923"/>
    <w:rsid w:val="00F20317"/>
    <w:rsid w:val="00F254ED"/>
    <w:rsid w:val="00F51AD7"/>
    <w:rsid w:val="00F540B6"/>
    <w:rsid w:val="00F56EA3"/>
    <w:rsid w:val="00F5760A"/>
    <w:rsid w:val="00F627C0"/>
    <w:rsid w:val="00F651FC"/>
    <w:rsid w:val="00F663FE"/>
    <w:rsid w:val="00F6642B"/>
    <w:rsid w:val="00F6643D"/>
    <w:rsid w:val="00F66636"/>
    <w:rsid w:val="00F668DC"/>
    <w:rsid w:val="00F7321D"/>
    <w:rsid w:val="00F76B96"/>
    <w:rsid w:val="00F77FB0"/>
    <w:rsid w:val="00F80137"/>
    <w:rsid w:val="00F820DA"/>
    <w:rsid w:val="00FA0048"/>
    <w:rsid w:val="00FA2377"/>
    <w:rsid w:val="00FB1339"/>
    <w:rsid w:val="00FB1CD9"/>
    <w:rsid w:val="00FB22A3"/>
    <w:rsid w:val="00FB3209"/>
    <w:rsid w:val="00FB7921"/>
    <w:rsid w:val="00FC4341"/>
    <w:rsid w:val="00FC5D91"/>
    <w:rsid w:val="00FD1935"/>
    <w:rsid w:val="00FD28E1"/>
    <w:rsid w:val="00FD5EBB"/>
    <w:rsid w:val="00FD6FCC"/>
    <w:rsid w:val="00FE25BB"/>
    <w:rsid w:val="00FE3DAA"/>
    <w:rsid w:val="00FE4A05"/>
    <w:rsid w:val="00FF560B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21FE1"/>
  <w15:chartTrackingRefBased/>
  <w15:docId w15:val="{D45223DE-AAD5-C147-B367-1C929FB1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0"/>
    <w:rsid w:val="00166A8F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rsid w:val="00166A8F"/>
    <w:rPr>
      <w:rFonts w:ascii="DengXian" w:eastAsia="DengXian" w:hAnsi="DengXian"/>
      <w:sz w:val="20"/>
    </w:rPr>
  </w:style>
  <w:style w:type="table" w:styleId="a3">
    <w:name w:val="Table Grid"/>
    <w:basedOn w:val="a1"/>
    <w:uiPriority w:val="39"/>
    <w:rsid w:val="00F66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A73666"/>
  </w:style>
  <w:style w:type="paragraph" w:customStyle="1" w:styleId="EndNoteBibliographyTitle">
    <w:name w:val="EndNote Bibliography Title"/>
    <w:basedOn w:val="a"/>
    <w:link w:val="EndNoteBibliographyTitle0"/>
    <w:rsid w:val="0002123B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2123B"/>
    <w:rPr>
      <w:rFonts w:ascii="DengXian" w:eastAsia="DengXian" w:hAnsi="DengXi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1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F15C86-CF70-1842-AEEF-ABA1CB480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2658</Words>
  <Characters>15152</Characters>
  <Application>Microsoft Office Word</Application>
  <DocSecurity>0</DocSecurity>
  <Lines>126</Lines>
  <Paragraphs>35</Paragraphs>
  <ScaleCrop>false</ScaleCrop>
  <Company/>
  <LinksUpToDate>false</LinksUpToDate>
  <CharactersWithSpaces>17775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Panqing</dc:creator>
  <cp:keywords/>
  <dc:description/>
  <cp:lastModifiedBy>Panqing</cp:lastModifiedBy>
  <cp:revision>38</cp:revision>
  <dcterms:created xsi:type="dcterms:W3CDTF">2020-08-02T06:12:00Z</dcterms:created>
  <dcterms:modified xsi:type="dcterms:W3CDTF">2020-12-06T15:39:00Z</dcterms:modified>
</cp:coreProperties>
</file>