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2C2" w:rsidRPr="004262C2" w:rsidRDefault="004262C2" w:rsidP="004262C2">
      <w:pPr>
        <w:pStyle w:val="Title"/>
        <w:rPr>
          <w:rFonts w:cs="Times New Roman"/>
        </w:rPr>
      </w:pPr>
      <w:r w:rsidRPr="004262C2">
        <w:rPr>
          <w:rFonts w:cs="Times New Roman"/>
        </w:rPr>
        <w:t>Supplementary Material</w:t>
      </w:r>
    </w:p>
    <w:p w:rsidR="004262C2" w:rsidRPr="004262C2" w:rsidRDefault="004262C2" w:rsidP="004262C2">
      <w:pPr>
        <w:spacing w:after="0"/>
        <w:rPr>
          <w:rFonts w:ascii="Times New Roman" w:hAnsi="Times New Roman" w:cs="Times New Roman"/>
        </w:rPr>
      </w:pPr>
      <w:r w:rsidRPr="004262C2">
        <w:rPr>
          <w:rFonts w:ascii="Times New Roman" w:hAnsi="Times New Roman" w:cs="Times New Roman"/>
        </w:rPr>
        <w:t>Pharmacokinetics and Safety of Vortioxetine in the Chinese Population</w:t>
      </w:r>
    </w:p>
    <w:p w:rsidR="004262C2" w:rsidRPr="004262C2" w:rsidRDefault="004262C2" w:rsidP="004262C2">
      <w:pPr>
        <w:spacing w:after="0"/>
        <w:rPr>
          <w:rFonts w:ascii="Times New Roman" w:hAnsi="Times New Roman" w:cs="Times New Roman"/>
        </w:rPr>
      </w:pPr>
      <w:r w:rsidRPr="004262C2">
        <w:rPr>
          <w:rFonts w:ascii="Times New Roman" w:hAnsi="Times New Roman" w:cs="Times New Roman"/>
        </w:rPr>
        <w:t xml:space="preserve">Journal: </w:t>
      </w:r>
      <w:r w:rsidRPr="004262C2">
        <w:rPr>
          <w:rFonts w:ascii="Times New Roman" w:hAnsi="Times New Roman" w:cs="Times New Roman"/>
          <w:i/>
        </w:rPr>
        <w:t>Advances in Therapy</w:t>
      </w:r>
    </w:p>
    <w:p w:rsidR="004262C2" w:rsidRPr="004262C2" w:rsidRDefault="004262C2" w:rsidP="004262C2">
      <w:pPr>
        <w:spacing w:after="0"/>
        <w:rPr>
          <w:rFonts w:ascii="Times New Roman" w:hAnsi="Times New Roman" w:cs="Times New Roman"/>
        </w:rPr>
      </w:pPr>
      <w:r w:rsidRPr="004262C2">
        <w:rPr>
          <w:rFonts w:ascii="Times New Roman" w:hAnsi="Times New Roman" w:cs="Times New Roman"/>
          <w:color w:val="000000" w:themeColor="text1"/>
        </w:rPr>
        <w:t>Jia Miao, Gang Wang, Jie Hou, Johan Areberg, Yan Zhao,</w:t>
      </w:r>
      <w:r w:rsidRPr="004262C2">
        <w:rPr>
          <w:rFonts w:ascii="Times New Roman" w:hAnsi="Times New Roman" w:cs="Times New Roman"/>
        </w:rPr>
        <w:t xml:space="preserve"> </w:t>
      </w:r>
      <w:r w:rsidRPr="004262C2">
        <w:rPr>
          <w:rFonts w:ascii="Times New Roman" w:hAnsi="Times New Roman" w:cs="Times New Roman"/>
          <w:color w:val="000000" w:themeColor="text1"/>
        </w:rPr>
        <w:t>Astrid-Maria Højer, Anders Ettrup</w:t>
      </w:r>
      <w:r w:rsidRPr="004262C2">
        <w:rPr>
          <w:rFonts w:ascii="Times New Roman" w:hAnsi="Times New Roman" w:cs="Times New Roman"/>
        </w:rPr>
        <w:t xml:space="preserve"> Corresponding Author: Jia Miao</w:t>
      </w:r>
    </w:p>
    <w:p w:rsidR="004262C2" w:rsidRPr="004262C2" w:rsidRDefault="004262C2" w:rsidP="004262C2">
      <w:pPr>
        <w:spacing w:after="0"/>
        <w:rPr>
          <w:rFonts w:ascii="Times New Roman" w:hAnsi="Times New Roman" w:cs="Times New Roman"/>
        </w:rPr>
      </w:pPr>
      <w:r w:rsidRPr="004262C2">
        <w:rPr>
          <w:rFonts w:ascii="Times New Roman" w:hAnsi="Times New Roman" w:cs="Times New Roman"/>
        </w:rPr>
        <w:t>West China Hospital, Sichuan University, Chengdu, China</w:t>
      </w:r>
    </w:p>
    <w:p w:rsidR="004262C2" w:rsidRPr="004262C2" w:rsidRDefault="004262C2" w:rsidP="004262C2">
      <w:pPr>
        <w:spacing w:after="0"/>
        <w:rPr>
          <w:rFonts w:ascii="Times New Roman" w:hAnsi="Times New Roman" w:cs="Times New Roman"/>
          <w:b/>
        </w:rPr>
      </w:pPr>
      <w:r w:rsidRPr="004262C2">
        <w:rPr>
          <w:rFonts w:ascii="Times New Roman" w:hAnsi="Times New Roman" w:cs="Times New Roman"/>
        </w:rPr>
        <w:t>Email: miaosiyi1971@163.com</w:t>
      </w: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b/>
        </w:rPr>
      </w:pPr>
      <w:r w:rsidRPr="004262C2">
        <w:rPr>
          <w:rFonts w:ascii="Times New Roman" w:hAnsi="Times New Roman" w:cs="Times New Roman"/>
          <w:b/>
        </w:rPr>
        <w:t>Supplementary Methodology</w:t>
      </w:r>
    </w:p>
    <w:p w:rsidR="004262C2" w:rsidRPr="004262C2" w:rsidRDefault="004262C2" w:rsidP="004262C2">
      <w:pPr>
        <w:rPr>
          <w:rFonts w:ascii="Times New Roman" w:hAnsi="Times New Roman" w:cs="Times New Roman"/>
          <w:b/>
        </w:rPr>
      </w:pPr>
      <w:r w:rsidRPr="004262C2">
        <w:rPr>
          <w:rFonts w:ascii="Times New Roman" w:hAnsi="Times New Roman" w:cs="Times New Roman"/>
          <w:b/>
        </w:rPr>
        <w:t>Assessment of Goodness-of-Fit</w:t>
      </w:r>
    </w:p>
    <w:p w:rsidR="004262C2" w:rsidRPr="004262C2" w:rsidRDefault="004262C2" w:rsidP="004262C2">
      <w:pPr>
        <w:rPr>
          <w:rFonts w:ascii="Times New Roman" w:hAnsi="Times New Roman" w:cs="Times New Roman"/>
        </w:rPr>
      </w:pPr>
      <w:r w:rsidRPr="004262C2">
        <w:rPr>
          <w:rFonts w:ascii="Times New Roman" w:hAnsi="Times New Roman" w:cs="Times New Roman"/>
        </w:rPr>
        <w:t>Diagnostic plots of the observed versus predicted dependent variable, conditional weighted residuals versus the predicted dependent variable, conditional weighted residuals versus time, individual weighted residuals versus the predicted dependent variable, histograms of conditional weighted residuals, and Q-Q plot of the conditional weighted residuals were used to assess the goodness-of-fit. In addition, the standard errors of the estimated parameter values given by NONMEM</w:t>
      </w:r>
      <w:r w:rsidRPr="004262C2">
        <w:rPr>
          <w:rFonts w:ascii="Times New Roman" w:hAnsi="Times New Roman" w:cs="Times New Roman"/>
          <w:vertAlign w:val="superscript"/>
        </w:rPr>
        <w:t>®</w:t>
      </w:r>
      <w:r w:rsidRPr="004262C2">
        <w:rPr>
          <w:rFonts w:ascii="Times New Roman" w:hAnsi="Times New Roman" w:cs="Times New Roman"/>
        </w:rPr>
        <w:t>, and the confidence intervals for the interindividual variability, and the residual errors were checked.</w:t>
      </w:r>
    </w:p>
    <w:p w:rsidR="004262C2" w:rsidRPr="004262C2" w:rsidRDefault="004262C2" w:rsidP="004262C2">
      <w:pPr>
        <w:rPr>
          <w:rFonts w:ascii="Times New Roman" w:hAnsi="Times New Roman" w:cs="Times New Roman"/>
          <w:b/>
        </w:rPr>
      </w:pPr>
      <w:r w:rsidRPr="004262C2">
        <w:rPr>
          <w:rFonts w:ascii="Times New Roman" w:hAnsi="Times New Roman" w:cs="Times New Roman"/>
          <w:b/>
        </w:rPr>
        <w:t>Predictability</w:t>
      </w:r>
    </w:p>
    <w:p w:rsidR="004262C2" w:rsidRPr="004262C2" w:rsidRDefault="004262C2" w:rsidP="004262C2">
      <w:pPr>
        <w:rPr>
          <w:rFonts w:ascii="Times New Roman" w:hAnsi="Times New Roman" w:cs="Times New Roman"/>
        </w:rPr>
      </w:pPr>
      <w:r w:rsidRPr="004262C2">
        <w:rPr>
          <w:rFonts w:ascii="Times New Roman" w:hAnsi="Times New Roman" w:cs="Times New Roman"/>
        </w:rPr>
        <w:t>The normalized prediction distribution error (NPDE) estimated using NONMEM</w:t>
      </w:r>
      <w:r w:rsidRPr="004262C2">
        <w:rPr>
          <w:rFonts w:ascii="Times New Roman" w:hAnsi="Times New Roman" w:cs="Times New Roman"/>
          <w:vertAlign w:val="superscript"/>
        </w:rPr>
        <w:t>®</w:t>
      </w:r>
      <w:r w:rsidRPr="004262C2">
        <w:rPr>
          <w:rFonts w:ascii="Times New Roman" w:hAnsi="Times New Roman" w:cs="Times New Roman"/>
        </w:rPr>
        <w:t xml:space="preserve"> was used to assess predictability. A model describes the data well when the predicted discrepancies are evenly distributed. Prediction distribution errors are obtained after de-correlation of both the observations and the simulated Y with respect to the empirical mean and variance obtained in the simulations. They are then normalized by using the inverse of the cumulative density function of N(0, 1). The distribution of the NPDE values was investigated graphically to determine whether they could be described by an N(0, 1) distribution. </w:t>
      </w:r>
      <w:r w:rsidRPr="004262C2">
        <w:rPr>
          <w:rFonts w:ascii="Times New Roman" w:hAnsi="Times New Roman" w:cs="Times New Roman"/>
          <w:color w:val="000000" w:themeColor="text1"/>
        </w:rPr>
        <w:t xml:space="preserve">Prediction-corrected visual </w:t>
      </w:r>
      <w:r w:rsidRPr="004262C2">
        <w:rPr>
          <w:rFonts w:ascii="Times New Roman" w:hAnsi="Times New Roman" w:cs="Times New Roman"/>
        </w:rPr>
        <w:t xml:space="preserve">predictive check plots were constructed to evaluate model predictability. The 95% confidence intervals (2.5% and 97.5% percentiles) of simulated concentrations were plotted together with </w:t>
      </w:r>
      <w:r w:rsidRPr="004262C2">
        <w:rPr>
          <w:rFonts w:ascii="Times New Roman" w:hAnsi="Times New Roman" w:cs="Times New Roman"/>
          <w:color w:val="000000" w:themeColor="text1"/>
        </w:rPr>
        <w:t xml:space="preserve">prediction-corrected observed </w:t>
      </w:r>
      <w:r w:rsidRPr="004262C2">
        <w:rPr>
          <w:rFonts w:ascii="Times New Roman" w:hAnsi="Times New Roman" w:cs="Times New Roman"/>
        </w:rPr>
        <w:t>concentrations after single dosing. The shrinkage, estimated using NONMEM</w:t>
      </w:r>
      <w:r w:rsidRPr="004262C2">
        <w:rPr>
          <w:rFonts w:ascii="Times New Roman" w:hAnsi="Times New Roman" w:cs="Times New Roman"/>
          <w:vertAlign w:val="superscript"/>
        </w:rPr>
        <w:t>®</w:t>
      </w:r>
      <w:r w:rsidRPr="004262C2">
        <w:rPr>
          <w:rFonts w:ascii="Times New Roman" w:hAnsi="Times New Roman" w:cs="Times New Roman"/>
        </w:rPr>
        <w:t xml:space="preserve"> for the individually estimated concentrations (epsilon shrinkage) and parameters (eta shrinkage), was investigated. Although no formal criterion exists, a maximum value of 20% was used to conclude “no shrinkage.”</w:t>
      </w:r>
    </w:p>
    <w:p w:rsidR="004262C2" w:rsidRPr="004262C2" w:rsidRDefault="004262C2" w:rsidP="004262C2">
      <w:pPr>
        <w:rPr>
          <w:rFonts w:ascii="Times New Roman" w:hAnsi="Times New Roman" w:cs="Times New Roman"/>
          <w:b/>
        </w:rPr>
      </w:pPr>
      <w:r w:rsidRPr="004262C2">
        <w:rPr>
          <w:rFonts w:ascii="Times New Roman" w:hAnsi="Times New Roman" w:cs="Times New Roman"/>
          <w:b/>
        </w:rPr>
        <w:br w:type="page"/>
      </w:r>
    </w:p>
    <w:p w:rsidR="004262C2" w:rsidRPr="004262C2" w:rsidRDefault="004262C2" w:rsidP="004262C2">
      <w:pPr>
        <w:rPr>
          <w:rFonts w:ascii="Times New Roman" w:hAnsi="Times New Roman" w:cs="Times New Roman"/>
          <w:b/>
        </w:rPr>
      </w:pPr>
      <w:r w:rsidRPr="004262C2">
        <w:rPr>
          <w:rFonts w:ascii="Times New Roman" w:hAnsi="Times New Roman" w:cs="Times New Roman"/>
          <w:b/>
        </w:rPr>
        <w:lastRenderedPageBreak/>
        <w:t>Supplementary Figures and Legends</w:t>
      </w:r>
    </w:p>
    <w:p w:rsidR="004262C2" w:rsidRPr="004262C2" w:rsidRDefault="004262C2" w:rsidP="004262C2">
      <w:pPr>
        <w:autoSpaceDE w:val="0"/>
        <w:autoSpaceDN w:val="0"/>
        <w:adjustRightInd w:val="0"/>
        <w:spacing w:after="0" w:line="240" w:lineRule="auto"/>
        <w:rPr>
          <w:rFonts w:ascii="Times New Roman" w:hAnsi="Times New Roman" w:cs="Times New Roman"/>
        </w:rPr>
      </w:pPr>
    </w:p>
    <w:p w:rsidR="004262C2" w:rsidRPr="004262C2" w:rsidRDefault="004262C2" w:rsidP="004262C2">
      <w:pPr>
        <w:autoSpaceDE w:val="0"/>
        <w:autoSpaceDN w:val="0"/>
        <w:adjustRightInd w:val="0"/>
        <w:spacing w:after="0" w:line="240" w:lineRule="auto"/>
        <w:rPr>
          <w:rFonts w:ascii="Times New Roman" w:hAnsi="Times New Roman" w:cs="Times New Roman"/>
          <w:b/>
        </w:rPr>
      </w:pPr>
      <w:r w:rsidRPr="004262C2">
        <w:rPr>
          <w:rFonts w:ascii="Times New Roman" w:hAnsi="Times New Roman" w:cs="Times New Roman"/>
          <w:noProof/>
        </w:rPr>
        <w:drawing>
          <wp:inline distT="0" distB="0" distL="0" distR="0" wp14:anchorId="0DD80E80" wp14:editId="34B0F774">
            <wp:extent cx="5906498" cy="399587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4" t="3372" r="1" b="761"/>
                    <a:stretch/>
                  </pic:blipFill>
                  <pic:spPr bwMode="auto">
                    <a:xfrm>
                      <a:off x="0" y="0"/>
                      <a:ext cx="5911858" cy="3999501"/>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autoSpaceDE w:val="0"/>
        <w:autoSpaceDN w:val="0"/>
        <w:adjustRightInd w:val="0"/>
        <w:spacing w:after="0" w:line="240" w:lineRule="auto"/>
        <w:rPr>
          <w:rFonts w:ascii="Times New Roman" w:hAnsi="Times New Roman" w:cs="Times New Roman"/>
          <w:b/>
        </w:rPr>
      </w:pPr>
    </w:p>
    <w:p w:rsidR="004262C2" w:rsidRPr="004262C2" w:rsidRDefault="004262C2" w:rsidP="00E82F76">
      <w:pPr>
        <w:autoSpaceDE w:val="0"/>
        <w:autoSpaceDN w:val="0"/>
        <w:adjustRightInd w:val="0"/>
        <w:rPr>
          <w:rFonts w:ascii="Times New Roman" w:hAnsi="Times New Roman" w:cs="Times New Roman"/>
          <w:color w:val="666666"/>
          <w:shd w:val="clear" w:color="auto" w:fill="FFFCF0"/>
        </w:rPr>
      </w:pPr>
      <w:r w:rsidRPr="004262C2">
        <w:rPr>
          <w:rFonts w:ascii="Times New Roman" w:hAnsi="Times New Roman" w:cs="Times New Roman"/>
          <w:b/>
        </w:rPr>
        <w:t>Supplementary Fig. S1 Predicted-corrected visual check plots for the final model</w:t>
      </w:r>
      <w:r w:rsidRPr="004262C2">
        <w:rPr>
          <w:rFonts w:ascii="Times New Roman" w:hAnsi="Times New Roman" w:cs="Times New Roman"/>
          <w:b/>
          <w:color w:val="666666"/>
          <w:shd w:val="clear" w:color="auto" w:fill="FFFCF0"/>
        </w:rPr>
        <w:t>.</w:t>
      </w:r>
      <w:r w:rsidRPr="004262C2">
        <w:rPr>
          <w:rFonts w:ascii="Times New Roman" w:hAnsi="Times New Roman" w:cs="Times New Roman"/>
          <w:color w:val="666666"/>
          <w:shd w:val="clear" w:color="auto" w:fill="FFFCF0"/>
        </w:rPr>
        <w:t xml:space="preserve"> </w:t>
      </w:r>
    </w:p>
    <w:p w:rsidR="004262C2" w:rsidRPr="004262C2" w:rsidRDefault="004262C2" w:rsidP="00E82F76">
      <w:pPr>
        <w:autoSpaceDE w:val="0"/>
        <w:autoSpaceDN w:val="0"/>
        <w:adjustRightInd w:val="0"/>
        <w:rPr>
          <w:rFonts w:ascii="Times New Roman" w:hAnsi="Times New Roman" w:cs="Times New Roman"/>
          <w:color w:val="000000"/>
        </w:rPr>
      </w:pPr>
      <w:r w:rsidRPr="004262C2">
        <w:rPr>
          <w:rFonts w:ascii="Times New Roman" w:hAnsi="Times New Roman" w:cs="Times New Roman"/>
          <w:color w:val="000000"/>
        </w:rPr>
        <w:t>The solid red line represents the median observed plasma concentration (prediction-corrected); the semitransparent red field represents the simulation-based 95% confidence interval for the median. The observed 5% and 95% percentiles are presented with dashed red lines, and the 95% confidence intervals for the corresponding model-predicted percentiles are shown as semitransparent blue fields. The observed plasma concentrations (prediction-corrected) are represented by blue arcs.</w:t>
      </w:r>
    </w:p>
    <w:p w:rsidR="004262C2" w:rsidRPr="004262C2" w:rsidRDefault="004262C2" w:rsidP="004262C2">
      <w:pPr>
        <w:autoSpaceDE w:val="0"/>
        <w:autoSpaceDN w:val="0"/>
        <w:adjustRightInd w:val="0"/>
        <w:spacing w:after="0" w:line="240" w:lineRule="auto"/>
        <w:rPr>
          <w:rFonts w:ascii="Times New Roman" w:hAnsi="Times New Roman" w:cs="Times New Roman"/>
          <w:color w:val="000000"/>
        </w:rPr>
      </w:pPr>
    </w:p>
    <w:p w:rsidR="004262C2" w:rsidRPr="004262C2" w:rsidRDefault="004262C2" w:rsidP="004262C2">
      <w:pPr>
        <w:autoSpaceDE w:val="0"/>
        <w:autoSpaceDN w:val="0"/>
        <w:adjustRightInd w:val="0"/>
        <w:spacing w:after="0" w:line="240" w:lineRule="auto"/>
        <w:rPr>
          <w:rFonts w:ascii="Times New Roman" w:hAnsi="Times New Roman" w:cs="Times New Roman"/>
          <w:color w:val="000000"/>
        </w:rPr>
      </w:pPr>
    </w:p>
    <w:p w:rsidR="004262C2" w:rsidRPr="004262C2" w:rsidRDefault="004262C2" w:rsidP="004262C2">
      <w:pPr>
        <w:autoSpaceDE w:val="0"/>
        <w:autoSpaceDN w:val="0"/>
        <w:adjustRightInd w:val="0"/>
        <w:spacing w:after="0" w:line="240" w:lineRule="auto"/>
        <w:rPr>
          <w:rStyle w:val="Emphasis"/>
          <w:rFonts w:ascii="Times New Roman" w:hAnsi="Times New Roman" w:cs="Times New Roman"/>
          <w:i w:val="0"/>
          <w:iCs w:val="0"/>
          <w:color w:val="000000"/>
        </w:rPr>
      </w:pP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b/>
        </w:rPr>
      </w:pPr>
      <w:r w:rsidRPr="004262C2">
        <w:rPr>
          <w:rFonts w:ascii="Times New Roman" w:hAnsi="Times New Roman" w:cs="Times New Roman"/>
          <w:noProof/>
        </w:rPr>
        <w:lastRenderedPageBreak/>
        <w:drawing>
          <wp:inline distT="0" distB="0" distL="0" distR="0" wp14:anchorId="37C6225B" wp14:editId="4720CDE8">
            <wp:extent cx="5943600" cy="41687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7202"/>
                    <a:stretch/>
                  </pic:blipFill>
                  <pic:spPr bwMode="auto">
                    <a:xfrm>
                      <a:off x="0" y="0"/>
                      <a:ext cx="5943600" cy="4168775"/>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rPr>
          <w:rFonts w:ascii="Times New Roman" w:hAnsi="Times New Roman" w:cs="Times New Roman"/>
        </w:rPr>
      </w:pP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rPr>
      </w:pPr>
      <w:r w:rsidRPr="004262C2">
        <w:rPr>
          <w:rFonts w:ascii="Times New Roman" w:hAnsi="Times New Roman" w:cs="Times New Roman"/>
          <w:b/>
        </w:rPr>
        <w:t>Supplementary Fig. S2 Goodness-of-fit plot for the final model.</w:t>
      </w: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r w:rsidRPr="004262C2">
        <w:rPr>
          <w:rFonts w:ascii="Times New Roman" w:hAnsi="Times New Roman" w:cs="Times New Roman"/>
        </w:rPr>
        <w:t xml:space="preserve">Dependent variable versus population-predicted dependent variable for the final model. Solid lines represent trend lines; dotted lines represent unity lines. </w:t>
      </w: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b/>
        </w:rPr>
      </w:pPr>
      <w:r w:rsidRPr="004262C2">
        <w:rPr>
          <w:rFonts w:ascii="Times New Roman" w:hAnsi="Times New Roman" w:cs="Times New Roman"/>
          <w:noProof/>
        </w:rPr>
        <w:lastRenderedPageBreak/>
        <w:drawing>
          <wp:inline distT="0" distB="0" distL="0" distR="0" wp14:anchorId="508816BF" wp14:editId="0FDD7295">
            <wp:extent cx="5943600" cy="414806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9234"/>
                    <a:stretch/>
                  </pic:blipFill>
                  <pic:spPr bwMode="auto">
                    <a:xfrm>
                      <a:off x="0" y="0"/>
                      <a:ext cx="5943600" cy="4148064"/>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rPr>
      </w:pPr>
      <w:r w:rsidRPr="004262C2">
        <w:rPr>
          <w:rFonts w:ascii="Times New Roman" w:hAnsi="Times New Roman" w:cs="Times New Roman"/>
          <w:b/>
        </w:rPr>
        <w:t>Supplementary Fig. S3 Goodness-of-fit plot for the final model.</w:t>
      </w: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r w:rsidRPr="004262C2">
        <w:rPr>
          <w:rFonts w:ascii="Times New Roman" w:hAnsi="Times New Roman" w:cs="Times New Roman"/>
        </w:rPr>
        <w:t xml:space="preserve">Dependent variable </w:t>
      </w:r>
      <w:r w:rsidRPr="004262C2">
        <w:rPr>
          <w:rFonts w:ascii="Times New Roman" w:hAnsi="Times New Roman" w:cs="Times New Roman"/>
          <w:iCs/>
        </w:rPr>
        <w:t xml:space="preserve">versus </w:t>
      </w:r>
      <w:r w:rsidRPr="004262C2">
        <w:rPr>
          <w:rFonts w:ascii="Times New Roman" w:hAnsi="Times New Roman" w:cs="Times New Roman"/>
        </w:rPr>
        <w:t>individually predicted dependent variable</w:t>
      </w:r>
      <w:r w:rsidRPr="004262C2">
        <w:rPr>
          <w:rFonts w:ascii="Times New Roman" w:hAnsi="Times New Roman" w:cs="Times New Roman"/>
          <w:iCs/>
        </w:rPr>
        <w:t xml:space="preserve"> </w:t>
      </w:r>
      <w:r w:rsidRPr="004262C2">
        <w:rPr>
          <w:rFonts w:ascii="Times New Roman" w:hAnsi="Times New Roman" w:cs="Times New Roman"/>
        </w:rPr>
        <w:t>for the final model. Solid lines represent trend lines; dotted lines represent unity lines.</w:t>
      </w: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b/>
        </w:rPr>
      </w:pPr>
      <w:r w:rsidRPr="004262C2">
        <w:rPr>
          <w:rFonts w:ascii="Times New Roman" w:hAnsi="Times New Roman" w:cs="Times New Roman"/>
          <w:noProof/>
        </w:rPr>
        <w:lastRenderedPageBreak/>
        <w:drawing>
          <wp:inline distT="0" distB="0" distL="0" distR="0" wp14:anchorId="3D8185C3" wp14:editId="2CF55631">
            <wp:extent cx="5943600" cy="416345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8784"/>
                    <a:stretch/>
                  </pic:blipFill>
                  <pic:spPr bwMode="auto">
                    <a:xfrm>
                      <a:off x="0" y="0"/>
                      <a:ext cx="5943600" cy="4163451"/>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rPr>
      </w:pPr>
      <w:r w:rsidRPr="004262C2">
        <w:rPr>
          <w:rFonts w:ascii="Times New Roman" w:hAnsi="Times New Roman" w:cs="Times New Roman"/>
          <w:b/>
        </w:rPr>
        <w:t>Supplementary Fig. S4 Goodness-of-fit plot for the final model</w:t>
      </w: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r w:rsidRPr="004262C2">
        <w:rPr>
          <w:rFonts w:ascii="Times New Roman" w:hAnsi="Times New Roman" w:cs="Times New Roman"/>
        </w:rPr>
        <w:t>Conditional weighted residual versus population-predicted dependent variable for the final model. Solid lines represent trend lines; dotted lines represent unity lines.</w:t>
      </w: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b/>
        </w:rPr>
      </w:pPr>
      <w:r w:rsidRPr="004262C2">
        <w:rPr>
          <w:rFonts w:ascii="Times New Roman" w:hAnsi="Times New Roman" w:cs="Times New Roman"/>
          <w:noProof/>
        </w:rPr>
        <w:lastRenderedPageBreak/>
        <w:drawing>
          <wp:inline distT="0" distB="0" distL="0" distR="0" wp14:anchorId="5AF87329" wp14:editId="0866D22D">
            <wp:extent cx="5943600" cy="426011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8186"/>
                    <a:stretch/>
                  </pic:blipFill>
                  <pic:spPr bwMode="auto">
                    <a:xfrm>
                      <a:off x="0" y="0"/>
                      <a:ext cx="5943600" cy="4260117"/>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rPr>
      </w:pPr>
      <w:r w:rsidRPr="004262C2">
        <w:rPr>
          <w:rFonts w:ascii="Times New Roman" w:hAnsi="Times New Roman" w:cs="Times New Roman"/>
          <w:b/>
        </w:rPr>
        <w:t>Supplementary Fig. S5 Goodness-of-fit plot for the final model</w:t>
      </w: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r w:rsidRPr="004262C2">
        <w:rPr>
          <w:rFonts w:ascii="Times New Roman" w:hAnsi="Times New Roman" w:cs="Times New Roman"/>
        </w:rPr>
        <w:t>Individual weighted residuals versus individual predicted value for the final model. Solid lines represent trend lines; dotted lines represent unity lines.</w:t>
      </w: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b/>
        </w:rPr>
      </w:pPr>
      <w:r w:rsidRPr="004262C2">
        <w:rPr>
          <w:rFonts w:ascii="Times New Roman" w:hAnsi="Times New Roman" w:cs="Times New Roman"/>
          <w:noProof/>
        </w:rPr>
        <w:lastRenderedPageBreak/>
        <w:drawing>
          <wp:inline distT="0" distB="0" distL="0" distR="0" wp14:anchorId="6B99B980" wp14:editId="036E4356">
            <wp:extent cx="5943400" cy="400929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213"/>
                    <a:stretch/>
                  </pic:blipFill>
                  <pic:spPr bwMode="auto">
                    <a:xfrm>
                      <a:off x="0" y="0"/>
                      <a:ext cx="5943600" cy="4009427"/>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rPr>
      </w:pPr>
      <w:r w:rsidRPr="004262C2">
        <w:rPr>
          <w:rFonts w:ascii="Times New Roman" w:hAnsi="Times New Roman" w:cs="Times New Roman"/>
          <w:b/>
        </w:rPr>
        <w:t>Supplementary Fig. S6 Goodness-of-fit plot for the final model.</w:t>
      </w: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r w:rsidRPr="004262C2">
        <w:rPr>
          <w:rFonts w:ascii="Times New Roman" w:hAnsi="Times New Roman" w:cs="Times New Roman"/>
        </w:rPr>
        <w:t xml:space="preserve">Conditional weighted residuals versus </w:t>
      </w:r>
      <w:bookmarkStart w:id="0" w:name="_GoBack"/>
      <w:r w:rsidRPr="004262C2">
        <w:rPr>
          <w:rFonts w:ascii="Times New Roman" w:hAnsi="Times New Roman" w:cs="Times New Roman"/>
        </w:rPr>
        <w:t>time for the final model. Solid lines represent trend lines; dotted lines represent unity lines.</w:t>
      </w:r>
    </w:p>
    <w:bookmarkEnd w:id="0"/>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b/>
        </w:rPr>
      </w:pPr>
      <w:r w:rsidRPr="004262C2">
        <w:rPr>
          <w:rFonts w:ascii="Times New Roman" w:hAnsi="Times New Roman" w:cs="Times New Roman"/>
          <w:noProof/>
        </w:rPr>
        <w:lastRenderedPageBreak/>
        <w:drawing>
          <wp:inline distT="0" distB="0" distL="0" distR="0" wp14:anchorId="3819FA02" wp14:editId="5798E84E">
            <wp:extent cx="5943600" cy="41418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8967"/>
                    <a:stretch/>
                  </pic:blipFill>
                  <pic:spPr bwMode="auto">
                    <a:xfrm>
                      <a:off x="0" y="0"/>
                      <a:ext cx="5943600" cy="4141812"/>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rPr>
      </w:pPr>
      <w:r w:rsidRPr="004262C2">
        <w:rPr>
          <w:rFonts w:ascii="Times New Roman" w:hAnsi="Times New Roman" w:cs="Times New Roman"/>
          <w:b/>
        </w:rPr>
        <w:t>Supplementary Fig. S7 Goodness-of-fit plot for the final model.</w:t>
      </w: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r w:rsidRPr="004262C2">
        <w:rPr>
          <w:rFonts w:ascii="Times New Roman" w:hAnsi="Times New Roman" w:cs="Times New Roman"/>
        </w:rPr>
        <w:t>Q-Q plot of conditional weighted residuals for the final model. Solid lines represent trend lines; dotted lines represent unity lines.</w:t>
      </w: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b/>
        </w:rPr>
      </w:pPr>
      <w:r w:rsidRPr="004262C2">
        <w:rPr>
          <w:rFonts w:ascii="Times New Roman" w:hAnsi="Times New Roman" w:cs="Times New Roman"/>
          <w:noProof/>
        </w:rPr>
        <w:lastRenderedPageBreak/>
        <w:drawing>
          <wp:inline distT="0" distB="0" distL="0" distR="0" wp14:anchorId="2014E06A" wp14:editId="5BF20172">
            <wp:extent cx="5943600" cy="407230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095"/>
                    <a:stretch/>
                  </pic:blipFill>
                  <pic:spPr bwMode="auto">
                    <a:xfrm>
                      <a:off x="0" y="0"/>
                      <a:ext cx="5943600" cy="4072304"/>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rPr>
      </w:pPr>
      <w:r w:rsidRPr="004262C2">
        <w:rPr>
          <w:rFonts w:ascii="Times New Roman" w:hAnsi="Times New Roman" w:cs="Times New Roman"/>
          <w:b/>
        </w:rPr>
        <w:t>Supplementary Fig. S8 Goodness-of-fit plot for the final model.</w:t>
      </w: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r w:rsidRPr="004262C2">
        <w:rPr>
          <w:rFonts w:ascii="Times New Roman" w:hAnsi="Times New Roman" w:cs="Times New Roman"/>
        </w:rPr>
        <w:t>Conditional weighted residuals for the final model.</w:t>
      </w: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rPr>
      </w:pPr>
    </w:p>
    <w:p w:rsidR="004262C2" w:rsidRPr="004262C2" w:rsidRDefault="004262C2" w:rsidP="004262C2">
      <w:pPr>
        <w:rPr>
          <w:rFonts w:ascii="Times New Roman" w:hAnsi="Times New Roman" w:cs="Times New Roman"/>
          <w:b/>
        </w:rPr>
      </w:pPr>
      <w:r w:rsidRPr="004262C2">
        <w:rPr>
          <w:rFonts w:ascii="Times New Roman" w:hAnsi="Times New Roman" w:cs="Times New Roman"/>
          <w:noProof/>
        </w:rPr>
        <w:lastRenderedPageBreak/>
        <w:drawing>
          <wp:inline distT="0" distB="0" distL="0" distR="0" wp14:anchorId="6E2E626E" wp14:editId="04830502">
            <wp:extent cx="5943600" cy="41401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403"/>
                    <a:stretch/>
                  </pic:blipFill>
                  <pic:spPr bwMode="auto">
                    <a:xfrm>
                      <a:off x="0" y="0"/>
                      <a:ext cx="5943600" cy="4140102"/>
                    </a:xfrm>
                    <a:prstGeom prst="rect">
                      <a:avLst/>
                    </a:prstGeom>
                    <a:ln>
                      <a:noFill/>
                    </a:ln>
                    <a:extLst>
                      <a:ext uri="{53640926-AAD7-44D8-BBD7-CCE9431645EC}">
                        <a14:shadowObscured xmlns:a14="http://schemas.microsoft.com/office/drawing/2010/main"/>
                      </a:ext>
                    </a:extLst>
                  </pic:spPr>
                </pic:pic>
              </a:graphicData>
            </a:graphic>
          </wp:inline>
        </w:drawing>
      </w:r>
    </w:p>
    <w:p w:rsidR="004262C2" w:rsidRPr="004262C2" w:rsidRDefault="004262C2" w:rsidP="004262C2">
      <w:pPr>
        <w:rPr>
          <w:rFonts w:ascii="Times New Roman" w:hAnsi="Times New Roman" w:cs="Times New Roman"/>
          <w:b/>
        </w:rPr>
      </w:pPr>
    </w:p>
    <w:p w:rsidR="004262C2" w:rsidRPr="004262C2" w:rsidRDefault="004262C2" w:rsidP="004262C2">
      <w:pPr>
        <w:rPr>
          <w:rFonts w:ascii="Times New Roman" w:hAnsi="Times New Roman" w:cs="Times New Roman"/>
        </w:rPr>
      </w:pPr>
      <w:r w:rsidRPr="004262C2">
        <w:rPr>
          <w:rFonts w:ascii="Times New Roman" w:hAnsi="Times New Roman" w:cs="Times New Roman"/>
          <w:b/>
        </w:rPr>
        <w:t>Supplementary Fig. S9</w:t>
      </w:r>
      <w:r w:rsidRPr="004262C2">
        <w:rPr>
          <w:rFonts w:ascii="Times New Roman" w:hAnsi="Times New Roman" w:cs="Times New Roman"/>
        </w:rPr>
        <w:t xml:space="preserve"> </w:t>
      </w:r>
      <w:r w:rsidRPr="004262C2">
        <w:rPr>
          <w:rFonts w:ascii="Times New Roman" w:hAnsi="Times New Roman" w:cs="Times New Roman"/>
          <w:b/>
        </w:rPr>
        <w:t>Goodness-of-fit plots of the NPDE.</w:t>
      </w:r>
      <w:r w:rsidRPr="004262C2">
        <w:rPr>
          <w:rFonts w:ascii="Times New Roman" w:hAnsi="Times New Roman" w:cs="Times New Roman"/>
        </w:rPr>
        <w:t xml:space="preserve"> </w:t>
      </w:r>
    </w:p>
    <w:p w:rsidR="004262C2" w:rsidRPr="004262C2" w:rsidRDefault="004262C2" w:rsidP="004262C2">
      <w:pPr>
        <w:rPr>
          <w:rFonts w:ascii="Times New Roman" w:hAnsi="Times New Roman" w:cs="Times New Roman"/>
        </w:rPr>
      </w:pPr>
      <w:r w:rsidRPr="004262C2">
        <w:rPr>
          <w:rFonts w:ascii="Times New Roman" w:hAnsi="Times New Roman" w:cs="Times New Roman"/>
        </w:rPr>
        <w:t>NPDEs of the final model: (A) Q-Q plot of the NPDE, (B) histogram of the NPDE, (C) NPDE versus time after the first dose, (D) NPDE versus PRED. NPDE, normalized prediction distribution errors; PRED, population-predicted concentration.</w:t>
      </w:r>
      <w:r w:rsidRPr="004262C2">
        <w:rPr>
          <w:rFonts w:ascii="Times New Roman" w:hAnsi="Times New Roman" w:cs="Times New Roman"/>
        </w:rPr>
        <w:fldChar w:fldCharType="begin"/>
      </w:r>
      <w:r w:rsidRPr="004262C2">
        <w:rPr>
          <w:rFonts w:ascii="Times New Roman" w:hAnsi="Times New Roman" w:cs="Times New Roman"/>
        </w:rPr>
        <w:instrText xml:space="preserve"> ADDIN </w:instrText>
      </w:r>
      <w:r w:rsidRPr="004262C2">
        <w:rPr>
          <w:rFonts w:ascii="Times New Roman" w:hAnsi="Times New Roman" w:cs="Times New Roman"/>
        </w:rPr>
        <w:fldChar w:fldCharType="end"/>
      </w:r>
    </w:p>
    <w:p w:rsidR="004262C2" w:rsidRPr="004262C2" w:rsidRDefault="004262C2" w:rsidP="004262C2">
      <w:pPr>
        <w:rPr>
          <w:rFonts w:ascii="Times New Roman" w:hAnsi="Times New Roman" w:cs="Times New Roman"/>
        </w:rPr>
      </w:pPr>
    </w:p>
    <w:p w:rsidR="00B65EAF" w:rsidRPr="004262C2" w:rsidRDefault="00E82F76">
      <w:pPr>
        <w:rPr>
          <w:rFonts w:ascii="Times New Roman" w:hAnsi="Times New Roman" w:cs="Times New Roman"/>
        </w:rPr>
      </w:pPr>
    </w:p>
    <w:sectPr w:rsidR="00B65EAF" w:rsidRPr="004262C2" w:rsidSect="009826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2C2"/>
    <w:rsid w:val="000A1D1B"/>
    <w:rsid w:val="0027092F"/>
    <w:rsid w:val="0030642C"/>
    <w:rsid w:val="00392BD5"/>
    <w:rsid w:val="004262C2"/>
    <w:rsid w:val="005B65A7"/>
    <w:rsid w:val="00A32DBB"/>
    <w:rsid w:val="00E82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2C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62C2"/>
    <w:rPr>
      <w:i/>
      <w:iCs/>
    </w:rPr>
  </w:style>
  <w:style w:type="paragraph" w:styleId="Title">
    <w:name w:val="Title"/>
    <w:basedOn w:val="Normal"/>
    <w:next w:val="Normal"/>
    <w:link w:val="TitleChar"/>
    <w:uiPriority w:val="10"/>
    <w:qFormat/>
    <w:rsid w:val="004262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62C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26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2C2"/>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2C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62C2"/>
    <w:rPr>
      <w:i/>
      <w:iCs/>
    </w:rPr>
  </w:style>
  <w:style w:type="paragraph" w:styleId="Title">
    <w:name w:val="Title"/>
    <w:basedOn w:val="Normal"/>
    <w:next w:val="Normal"/>
    <w:link w:val="TitleChar"/>
    <w:uiPriority w:val="10"/>
    <w:qFormat/>
    <w:rsid w:val="004262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62C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26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2C2"/>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inVentiv Health</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Pereira</dc:creator>
  <cp:lastModifiedBy>Cynthia Pereira</cp:lastModifiedBy>
  <cp:revision>5</cp:revision>
  <dcterms:created xsi:type="dcterms:W3CDTF">2019-09-03T19:33:00Z</dcterms:created>
  <dcterms:modified xsi:type="dcterms:W3CDTF">2019-09-04T00:05:00Z</dcterms:modified>
</cp:coreProperties>
</file>