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50" w:rsidRDefault="006C7050"/>
    <w:p w:rsidR="006C7050" w:rsidRDefault="00A77320">
      <w:pPr>
        <w:pStyle w:val="Heading2"/>
        <w:spacing w:line="480" w:lineRule="auto"/>
        <w:rPr>
          <w:b/>
          <w:color w:val="434343"/>
          <w:sz w:val="28"/>
          <w:szCs w:val="28"/>
        </w:rPr>
      </w:pPr>
      <w:bookmarkStart w:id="0" w:name="_gjdgxs" w:colFirst="0" w:colLast="0"/>
      <w:bookmarkEnd w:id="0"/>
      <w:r>
        <w:rPr>
          <w:b/>
          <w:color w:val="434343"/>
          <w:sz w:val="28"/>
          <w:szCs w:val="28"/>
        </w:rPr>
        <w:t xml:space="preserve">SUPPLEMENTARY </w:t>
      </w:r>
      <w:r w:rsidR="000E4B50">
        <w:rPr>
          <w:b/>
          <w:color w:val="434343"/>
          <w:sz w:val="28"/>
          <w:szCs w:val="28"/>
        </w:rPr>
        <w:t>MATERIALS</w:t>
      </w:r>
    </w:p>
    <w:p w:rsidR="006C7050" w:rsidRDefault="000E4B50">
      <w:pPr>
        <w:pStyle w:val="Heading2"/>
        <w:spacing w:line="480" w:lineRule="auto"/>
        <w:rPr>
          <w:b/>
          <w:color w:val="980000"/>
          <w:sz w:val="24"/>
          <w:szCs w:val="24"/>
        </w:rPr>
      </w:pPr>
      <w:bookmarkStart w:id="1" w:name="_30j0zll" w:colFirst="0" w:colLast="0"/>
      <w:bookmarkEnd w:id="1"/>
      <w:r>
        <w:rPr>
          <w:b/>
          <w:sz w:val="24"/>
          <w:szCs w:val="24"/>
        </w:rPr>
        <w:t xml:space="preserve">Characterization of a real-world response variable and comparison with RECIST-based response rates from clinical trials in advanced NSCLC </w:t>
      </w:r>
    </w:p>
    <w:p w:rsidR="006C7050" w:rsidRDefault="000E4B50">
      <w:pPr>
        <w:spacing w:line="480" w:lineRule="auto"/>
      </w:pPr>
      <w:r>
        <w:t xml:space="preserve">Xinran Ma; Lawrence </w:t>
      </w:r>
      <w:proofErr w:type="spellStart"/>
      <w:r>
        <w:t>Bellomo</w:t>
      </w:r>
      <w:proofErr w:type="spellEnd"/>
      <w:r>
        <w:t xml:space="preserve">; Kelly Magee; Caroline S. </w:t>
      </w:r>
      <w:proofErr w:type="spellStart"/>
      <w:r>
        <w:t>Bennette</w:t>
      </w:r>
      <w:proofErr w:type="spellEnd"/>
      <w:r>
        <w:t xml:space="preserve">; Olga </w:t>
      </w:r>
      <w:proofErr w:type="spellStart"/>
      <w:r>
        <w:t>Tymejczyk</w:t>
      </w:r>
      <w:proofErr w:type="spellEnd"/>
      <w:r>
        <w:t xml:space="preserve">; </w:t>
      </w:r>
      <w:proofErr w:type="spellStart"/>
      <w:r>
        <w:t>Meghna</w:t>
      </w:r>
      <w:proofErr w:type="spellEnd"/>
      <w:r>
        <w:t xml:space="preserve"> </w:t>
      </w:r>
      <w:proofErr w:type="spellStart"/>
      <w:r>
        <w:t>Samant</w:t>
      </w:r>
      <w:proofErr w:type="spellEnd"/>
      <w:r>
        <w:t xml:space="preserve">; Melisa Tucker; Nathan Nussbaum; Bryan E. Bowser; Joshua S. Kraut; Ariel </w:t>
      </w:r>
      <w:proofErr w:type="spellStart"/>
      <w:r>
        <w:t>Bulua</w:t>
      </w:r>
      <w:proofErr w:type="spellEnd"/>
      <w:r>
        <w:t xml:space="preserve"> </w:t>
      </w:r>
      <w:proofErr w:type="spellStart"/>
      <w:r>
        <w:t>Bourla</w:t>
      </w:r>
      <w:proofErr w:type="spellEnd"/>
    </w:p>
    <w:p w:rsidR="006C7050" w:rsidRDefault="006C7050"/>
    <w:p w:rsidR="006C7050" w:rsidRDefault="006C7050"/>
    <w:p w:rsidR="006C7050" w:rsidRDefault="006C7050">
      <w:pPr>
        <w:pStyle w:val="Heading3"/>
        <w:widowControl w:val="0"/>
        <w:spacing w:line="240" w:lineRule="auto"/>
      </w:pPr>
      <w:bookmarkStart w:id="2" w:name="_1fob9te" w:colFirst="0" w:colLast="0"/>
      <w:bookmarkEnd w:id="2"/>
    </w:p>
    <w:p w:rsidR="006C7050" w:rsidRDefault="006C7050">
      <w:pPr>
        <w:widowControl w:val="0"/>
        <w:spacing w:line="240" w:lineRule="auto"/>
        <w:rPr>
          <w:rFonts w:ascii="Helvetica Neue" w:eastAsia="Helvetica Neue" w:hAnsi="Helvetica Neue" w:cs="Helvetica Neue"/>
          <w:sz w:val="30"/>
          <w:szCs w:val="30"/>
        </w:rPr>
      </w:pPr>
    </w:p>
    <w:p w:rsidR="006C7050" w:rsidRDefault="000E4B50">
      <w:pPr>
        <w:widowControl w:val="0"/>
        <w:spacing w:line="240" w:lineRule="auto"/>
        <w:rPr>
          <w:sz w:val="20"/>
          <w:szCs w:val="20"/>
        </w:rPr>
      </w:pPr>
      <w:r>
        <w:br w:type="page"/>
      </w:r>
    </w:p>
    <w:p w:rsidR="006C7050" w:rsidRDefault="00A77320">
      <w:pPr>
        <w:pStyle w:val="Heading3"/>
        <w:rPr>
          <w:b/>
        </w:rPr>
      </w:pPr>
      <w:bookmarkStart w:id="3" w:name="_3znysh7" w:colFirst="0" w:colLast="0"/>
      <w:bookmarkEnd w:id="3"/>
      <w:r>
        <w:rPr>
          <w:b/>
        </w:rPr>
        <w:lastRenderedPageBreak/>
        <w:t>Supplementary</w:t>
      </w:r>
      <w:r w:rsidR="000E4B50">
        <w:rPr>
          <w:b/>
        </w:rPr>
        <w:t xml:space="preserve"> Methods</w:t>
      </w:r>
    </w:p>
    <w:p w:rsidR="006C7050" w:rsidRDefault="000E4B50">
      <w:pPr>
        <w:spacing w:before="120" w:line="480" w:lineRule="auto"/>
      </w:pPr>
      <w:r>
        <w:rPr>
          <w:b/>
        </w:rPr>
        <w:t xml:space="preserve">Part 2 Cohort Selection Criteria. </w:t>
      </w:r>
      <w:r>
        <w:t>This cohort include</w:t>
      </w:r>
      <w:r>
        <w:t xml:space="preserve">d patients with a diagnosis of </w:t>
      </w:r>
      <w:proofErr w:type="spellStart"/>
      <w:r>
        <w:t>aNSCLC</w:t>
      </w:r>
      <w:proofErr w:type="spellEnd"/>
      <w:r>
        <w:t xml:space="preserve"> at age 18 or above between January 1, 2011 and April 1, 2019, at least two EHR-documented clinical visits on or after January 1, 2011, and received at least one line of therapy. Patients who had incomplete historical t</w:t>
      </w:r>
      <w:r>
        <w:t xml:space="preserve">reatment data or who initiated the therapy of interest on or after October 1, 2018 were excluded to allow sufficient follow-up time. </w:t>
      </w:r>
    </w:p>
    <w:p w:rsidR="006C7050" w:rsidRDefault="000E4B50">
      <w:pPr>
        <w:spacing w:before="120" w:line="480" w:lineRule="auto"/>
      </w:pPr>
      <w:r>
        <w:rPr>
          <w:b/>
        </w:rPr>
        <w:t xml:space="preserve">Development of the </w:t>
      </w:r>
      <w:proofErr w:type="spellStart"/>
      <w:r>
        <w:rPr>
          <w:b/>
        </w:rPr>
        <w:t>rwR</w:t>
      </w:r>
      <w:proofErr w:type="spellEnd"/>
      <w:r>
        <w:rPr>
          <w:b/>
        </w:rPr>
        <w:t xml:space="preserve"> variable, EHR document review.</w:t>
      </w:r>
      <w:r>
        <w:t xml:space="preserve"> Imaging tests performed within 2 weeks of each other were considered</w:t>
      </w:r>
      <w:r>
        <w:t xml:space="preserve"> one single assessment time point, since unique assessments of a patient’s disease burden may encompass multiple imaging tests performed in close succession (e.g., a chest CT followed by a brain MRI one week later) and documented in a single synthesized en</w:t>
      </w:r>
      <w:r>
        <w:t xml:space="preserve">try. </w:t>
      </w:r>
    </w:p>
    <w:p w:rsidR="006C7050" w:rsidRDefault="000E4B50">
      <w:pPr>
        <w:spacing w:before="120" w:line="480" w:lineRule="auto"/>
      </w:pPr>
      <w:r>
        <w:rPr>
          <w:b/>
        </w:rPr>
        <w:t xml:space="preserve">Landmark analyses to investigate correlation between </w:t>
      </w:r>
      <w:proofErr w:type="spellStart"/>
      <w:r>
        <w:rPr>
          <w:b/>
        </w:rPr>
        <w:t>rwR</w:t>
      </w:r>
      <w:proofErr w:type="spellEnd"/>
      <w:r>
        <w:rPr>
          <w:b/>
        </w:rPr>
        <w:t xml:space="preserve"> and </w:t>
      </w:r>
      <w:proofErr w:type="spellStart"/>
      <w:r>
        <w:rPr>
          <w:b/>
        </w:rPr>
        <w:t>rwPFS</w:t>
      </w:r>
      <w:proofErr w:type="spellEnd"/>
      <w:r>
        <w:rPr>
          <w:b/>
        </w:rPr>
        <w:t xml:space="preserve">, as well as the correlation between </w:t>
      </w:r>
      <w:proofErr w:type="spellStart"/>
      <w:r>
        <w:rPr>
          <w:b/>
        </w:rPr>
        <w:t>rwR</w:t>
      </w:r>
      <w:proofErr w:type="spellEnd"/>
      <w:r>
        <w:rPr>
          <w:b/>
        </w:rPr>
        <w:t xml:space="preserve"> and </w:t>
      </w:r>
      <w:proofErr w:type="spellStart"/>
      <w:r>
        <w:rPr>
          <w:b/>
        </w:rPr>
        <w:t>rwOS</w:t>
      </w:r>
      <w:proofErr w:type="spellEnd"/>
      <w:r>
        <w:rPr>
          <w:b/>
        </w:rPr>
        <w:t>.</w:t>
      </w:r>
      <w:r>
        <w:t xml:space="preserve"> Multivariable Cox models were employed, adjusting for age, stage at initial diagnosis, histology, and smoking status. We estimated ha</w:t>
      </w:r>
      <w:r>
        <w:t xml:space="preserve">zard ratios (HRs) of responders compared with non-responders (patients with and without a complete or partial response) for </w:t>
      </w:r>
      <w:proofErr w:type="spellStart"/>
      <w:r>
        <w:t>rwOS</w:t>
      </w:r>
      <w:proofErr w:type="spellEnd"/>
      <w:r>
        <w:t xml:space="preserve"> and </w:t>
      </w:r>
      <w:proofErr w:type="spellStart"/>
      <w:r>
        <w:t>rwPFS</w:t>
      </w:r>
      <w:proofErr w:type="spellEnd"/>
      <w:r>
        <w:t xml:space="preserve"> by line settings, with/without requiring real world confirmation for response status. When confirmation was required,</w:t>
      </w:r>
      <w:r>
        <w:t xml:space="preserve"> responders included patients who had a complete or partial response by landmark time and had an immediate subsequent assessment of complete or partial response or stable disease. The rest were reclassified as non-responders. Landmark time points were comp</w:t>
      </w:r>
      <w:r>
        <w:t xml:space="preserve">uted after initiation of treatment of interest, to account for immortal time bias. </w:t>
      </w:r>
    </w:p>
    <w:p w:rsidR="006C7050" w:rsidRDefault="000E4B50">
      <w:pPr>
        <w:spacing w:before="120" w:line="480" w:lineRule="auto"/>
      </w:pPr>
      <w:r>
        <w:rPr>
          <w:b/>
        </w:rPr>
        <w:t xml:space="preserve">Comparison to published ORR results. </w:t>
      </w:r>
      <w:r>
        <w:t xml:space="preserve">We identified all randomized clinical trials that supported FDA approvals of anticancer therapies for </w:t>
      </w:r>
      <w:proofErr w:type="spellStart"/>
      <w:r>
        <w:t>aNSCLC</w:t>
      </w:r>
      <w:proofErr w:type="spellEnd"/>
      <w:r>
        <w:t xml:space="preserve"> from January 1, 2015 to De</w:t>
      </w:r>
      <w:r>
        <w:t xml:space="preserve">cember 31, 2017 (N=11 trials, 22 arms). This time period was chosen to include a </w:t>
      </w:r>
      <w:r>
        <w:lastRenderedPageBreak/>
        <w:t>range of trials with enrollment time periods expected to overlap with datasets in our study database at the time of analyses. We excluded trial arms where identifying patients</w:t>
      </w:r>
      <w:r>
        <w:t xml:space="preserve"> receiving comparable care in real-world settings was deemed infeasible, for example due to unavailability of trial protocol or availability of &lt;30 patients in the real-world cohort (i.e., trial arms not reflective of real-world standard of care). </w:t>
      </w:r>
      <w:r>
        <w:br/>
        <w:t xml:space="preserve">In the </w:t>
      </w:r>
      <w:r>
        <w:t>process of applying eligibility criteria, common missing EHR data precluding matching trial-related eligibility criteria included: process-related activities (e.g., providing tumor tissue or signing consent forms), prior adverse events and their resolution</w:t>
      </w:r>
      <w:r>
        <w:t xml:space="preserve"> before treatment, history of adjuvant and </w:t>
      </w:r>
      <w:proofErr w:type="spellStart"/>
      <w:r>
        <w:t>neoadjuvant</w:t>
      </w:r>
      <w:proofErr w:type="spellEnd"/>
      <w:r>
        <w:t xml:space="preserve"> therapy, and subjective estimations of expected prognosis or study adherence.</w:t>
      </w:r>
    </w:p>
    <w:p w:rsidR="006C7050" w:rsidRDefault="000E4B50">
      <w:pPr>
        <w:spacing w:before="200" w:line="480" w:lineRule="auto"/>
      </w:pPr>
      <w:r>
        <w:t>Application of the inverse odds weights approach, analogous to propensity score modeling, is feasible in the absence of pat</w:t>
      </w:r>
      <w:r>
        <w:t>ient-level trial data, and weights the real-world patients to achieve cohort-level balance.</w:t>
      </w:r>
    </w:p>
    <w:p w:rsidR="006C7050" w:rsidRDefault="006C7050">
      <w:pPr>
        <w:spacing w:line="480" w:lineRule="auto"/>
      </w:pPr>
    </w:p>
    <w:p w:rsidR="006C7050" w:rsidRDefault="000E4B50">
      <w:pPr>
        <w:widowControl w:val="0"/>
        <w:spacing w:line="480" w:lineRule="auto"/>
        <w:rPr>
          <w:sz w:val="20"/>
          <w:szCs w:val="20"/>
        </w:rPr>
      </w:pPr>
      <w:r>
        <w:br w:type="page"/>
      </w:r>
    </w:p>
    <w:p w:rsidR="006C7050" w:rsidRDefault="00A77320">
      <w:pPr>
        <w:pStyle w:val="Heading3"/>
        <w:rPr>
          <w:b/>
        </w:rPr>
      </w:pPr>
      <w:bookmarkStart w:id="4" w:name="_2et92p0" w:colFirst="0" w:colLast="0"/>
      <w:bookmarkEnd w:id="4"/>
      <w:r>
        <w:rPr>
          <w:b/>
        </w:rPr>
        <w:lastRenderedPageBreak/>
        <w:t xml:space="preserve">Supplementary </w:t>
      </w:r>
      <w:r w:rsidR="000E4B50">
        <w:rPr>
          <w:b/>
        </w:rPr>
        <w:t>Figure 1. Patient selection flow for the study cohorts (STROBE diagram)</w:t>
      </w:r>
    </w:p>
    <w:p w:rsidR="006C7050" w:rsidRDefault="006C7050">
      <w:pPr>
        <w:widowControl w:val="0"/>
        <w:spacing w:line="240" w:lineRule="auto"/>
        <w:rPr>
          <w:sz w:val="20"/>
          <w:szCs w:val="20"/>
        </w:rPr>
      </w:pPr>
    </w:p>
    <w:p w:rsidR="006C7050" w:rsidRDefault="006C7050"/>
    <w:p w:rsidR="006C7050" w:rsidRDefault="000E4B50">
      <w:r>
        <w:rPr>
          <w:noProof/>
          <w:lang w:val="en-GB"/>
        </w:rPr>
        <mc:AlternateContent>
          <mc:Choice Requires="wpg">
            <w:drawing>
              <wp:inline distT="114300" distB="114300" distL="114300" distR="114300">
                <wp:extent cx="6300788" cy="4474357"/>
                <wp:effectExtent l="0" t="0" r="0" b="0"/>
                <wp:docPr id="1" name="Group 1"/>
                <wp:cNvGraphicFramePr/>
                <a:graphic xmlns:a="http://schemas.openxmlformats.org/drawingml/2006/main">
                  <a:graphicData uri="http://schemas.microsoft.com/office/word/2010/wordprocessingGroup">
                    <wpg:wgp>
                      <wpg:cNvGrpSpPr/>
                      <wpg:grpSpPr>
                        <a:xfrm>
                          <a:off x="0" y="0"/>
                          <a:ext cx="6300788" cy="4474357"/>
                          <a:chOff x="37988" y="13125"/>
                          <a:chExt cx="7505825" cy="5322975"/>
                        </a:xfrm>
                      </wpg:grpSpPr>
                      <wps:wsp>
                        <wps:cNvPr id="2" name="Text Box 2"/>
                        <wps:cNvSpPr txBox="1"/>
                        <wps:spPr>
                          <a:xfrm>
                            <a:off x="38050" y="13125"/>
                            <a:ext cx="7505700" cy="3507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8"/>
                                </w:rPr>
                                <w:t>Flatiron Health longitudinal de-identified database</w:t>
                              </w:r>
                            </w:p>
                          </w:txbxContent>
                        </wps:txbx>
                        <wps:bodyPr spcFirstLastPara="1" wrap="square" lIns="91425" tIns="91425" rIns="91425" bIns="91425" anchor="t" anchorCtr="0">
                          <a:noAutofit/>
                        </wps:bodyPr>
                      </wps:wsp>
                      <wps:wsp>
                        <wps:cNvPr id="3" name="Text Box 3"/>
                        <wps:cNvSpPr txBox="1"/>
                        <wps:spPr>
                          <a:xfrm>
                            <a:off x="37988" y="800700"/>
                            <a:ext cx="3819900" cy="12294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ind w:left="720" w:firstLine="360"/>
                                <w:textDirection w:val="btLr"/>
                              </w:pPr>
                              <w:r>
                                <w:rPr>
                                  <w:color w:val="000000"/>
                                  <w:sz w:val="24"/>
                                </w:rPr>
                                <w:t>T</w:t>
                              </w:r>
                              <w:r>
                                <w:rPr>
                                  <w:color w:val="000000"/>
                                  <w:sz w:val="24"/>
                                </w:rPr>
                                <w:t>wo clinic visits since 1/1/2011</w:t>
                              </w:r>
                            </w:p>
                            <w:p w:rsidR="006C7050" w:rsidRDefault="000E4B50">
                              <w:pPr>
                                <w:spacing w:line="240" w:lineRule="auto"/>
                                <w:ind w:left="720" w:firstLine="360"/>
                                <w:textDirection w:val="btLr"/>
                              </w:pPr>
                              <w:proofErr w:type="spellStart"/>
                              <w:r>
                                <w:rPr>
                                  <w:color w:val="000000"/>
                                  <w:sz w:val="24"/>
                                </w:rPr>
                                <w:t>aNSCLC</w:t>
                              </w:r>
                              <w:proofErr w:type="spellEnd"/>
                              <w:r>
                                <w:rPr>
                                  <w:color w:val="000000"/>
                                  <w:sz w:val="24"/>
                                </w:rPr>
                                <w:t xml:space="preserve"> diagnosis at age </w:t>
                              </w:r>
                              <w:r>
                                <w:rPr>
                                  <w:color w:val="000000"/>
                                  <w:sz w:val="24"/>
                                  <w:u w:val="single"/>
                                </w:rPr>
                                <w:t>&gt;</w:t>
                              </w:r>
                              <w:r>
                                <w:rPr>
                                  <w:color w:val="000000"/>
                                  <w:sz w:val="24"/>
                                </w:rPr>
                                <w:t>18 before 7/1/2018</w:t>
                              </w:r>
                            </w:p>
                            <w:p w:rsidR="006C7050" w:rsidRDefault="000E4B50">
                              <w:pPr>
                                <w:spacing w:line="240" w:lineRule="auto"/>
                                <w:ind w:left="720" w:firstLine="360"/>
                                <w:textDirection w:val="btLr"/>
                              </w:pPr>
                              <w:r>
                                <w:rPr>
                                  <w:color w:val="000000"/>
                                  <w:sz w:val="24"/>
                                </w:rPr>
                                <w:t>Underwent NGS testing</w:t>
                              </w:r>
                            </w:p>
                            <w:p w:rsidR="006C7050" w:rsidRDefault="006C7050">
                              <w:pPr>
                                <w:spacing w:line="240" w:lineRule="auto"/>
                                <w:ind w:left="720" w:firstLine="720"/>
                                <w:textDirection w:val="btLr"/>
                              </w:pPr>
                            </w:p>
                            <w:p w:rsidR="006C7050" w:rsidRDefault="000E4B50">
                              <w:pPr>
                                <w:spacing w:line="240" w:lineRule="auto"/>
                                <w:ind w:left="720" w:firstLine="720"/>
                                <w:jc w:val="center"/>
                                <w:textDirection w:val="btLr"/>
                              </w:pPr>
                              <w:r>
                                <w:rPr>
                                  <w:color w:val="000000"/>
                                  <w:sz w:val="24"/>
                                </w:rPr>
                                <w:t>N=4,845</w:t>
                              </w:r>
                            </w:p>
                          </w:txbxContent>
                        </wps:txbx>
                        <wps:bodyPr spcFirstLastPara="1" wrap="square" lIns="91425" tIns="91425" rIns="91425" bIns="91425" anchor="t" anchorCtr="0">
                          <a:noAutofit/>
                        </wps:bodyPr>
                      </wps:wsp>
                      <wps:wsp>
                        <wps:cNvPr id="4" name="Text Box 4"/>
                        <wps:cNvSpPr txBox="1"/>
                        <wps:spPr>
                          <a:xfrm>
                            <a:off x="3956113" y="800700"/>
                            <a:ext cx="3587700" cy="12294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ind w:left="720" w:firstLine="360"/>
                                <w:textDirection w:val="btLr"/>
                              </w:pPr>
                              <w:r>
                                <w:rPr>
                                  <w:color w:val="000000"/>
                                  <w:sz w:val="24"/>
                                </w:rPr>
                                <w:t>Two clinic visits since 1/1/2011</w:t>
                              </w:r>
                            </w:p>
                            <w:p w:rsidR="006C7050" w:rsidRDefault="000E4B50">
                              <w:pPr>
                                <w:spacing w:line="240" w:lineRule="auto"/>
                                <w:ind w:left="720" w:firstLine="360"/>
                                <w:textDirection w:val="btLr"/>
                              </w:pPr>
                              <w:proofErr w:type="spellStart"/>
                              <w:r>
                                <w:rPr>
                                  <w:color w:val="000000"/>
                                  <w:sz w:val="24"/>
                                </w:rPr>
                                <w:t>aNSCLC</w:t>
                              </w:r>
                              <w:proofErr w:type="spellEnd"/>
                              <w:r>
                                <w:rPr>
                                  <w:color w:val="000000"/>
                                  <w:sz w:val="24"/>
                                </w:rPr>
                                <w:t xml:space="preserve"> at age </w:t>
                              </w:r>
                              <w:r>
                                <w:rPr>
                                  <w:color w:val="000000"/>
                                  <w:sz w:val="24"/>
                                  <w:u w:val="single"/>
                                </w:rPr>
                                <w:t>&gt;</w:t>
                              </w:r>
                              <w:r>
                                <w:rPr>
                                  <w:color w:val="000000"/>
                                  <w:sz w:val="24"/>
                                </w:rPr>
                                <w:t>18 between 1/1/2011 and 4/1/2019</w:t>
                              </w:r>
                            </w:p>
                            <w:p w:rsidR="006C7050" w:rsidRDefault="006C7050">
                              <w:pPr>
                                <w:spacing w:line="240" w:lineRule="auto"/>
                                <w:ind w:left="720" w:firstLine="720"/>
                                <w:textDirection w:val="btLr"/>
                              </w:pPr>
                            </w:p>
                            <w:p w:rsidR="006C7050" w:rsidRDefault="000E4B50">
                              <w:pPr>
                                <w:spacing w:line="240" w:lineRule="auto"/>
                                <w:jc w:val="center"/>
                                <w:textDirection w:val="btLr"/>
                              </w:pPr>
                              <w:r>
                                <w:rPr>
                                  <w:color w:val="000000"/>
                                  <w:sz w:val="24"/>
                                </w:rPr>
                                <w:t>N=54,325</w:t>
                              </w:r>
                            </w:p>
                          </w:txbxContent>
                        </wps:txbx>
                        <wps:bodyPr spcFirstLastPara="1" wrap="square" lIns="91425" tIns="91425" rIns="91425" bIns="91425" anchor="t" anchorCtr="0">
                          <a:noAutofit/>
                        </wps:bodyPr>
                      </wps:wsp>
                      <wps:wsp>
                        <wps:cNvPr id="5" name="Text Box 5"/>
                        <wps:cNvSpPr txBox="1"/>
                        <wps:spPr>
                          <a:xfrm>
                            <a:off x="37988" y="2247750"/>
                            <a:ext cx="3819900" cy="6567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Had structured activity within 90 days after the advanced diagnosis date</w:t>
                              </w:r>
                            </w:p>
                            <w:p w:rsidR="006C7050" w:rsidRDefault="000E4B50">
                              <w:pPr>
                                <w:spacing w:line="240" w:lineRule="auto"/>
                                <w:jc w:val="center"/>
                                <w:textDirection w:val="btLr"/>
                              </w:pPr>
                              <w:r>
                                <w:rPr>
                                  <w:color w:val="000000"/>
                                  <w:sz w:val="24"/>
                                </w:rPr>
                                <w:t>N=4,273</w:t>
                              </w:r>
                            </w:p>
                          </w:txbxContent>
                        </wps:txbx>
                        <wps:bodyPr spcFirstLastPara="1" wrap="square" lIns="91425" tIns="91425" rIns="91425" bIns="91425" anchor="t" anchorCtr="0">
                          <a:noAutofit/>
                        </wps:bodyPr>
                      </wps:wsp>
                      <wps:wsp>
                        <wps:cNvPr id="6" name="Text Box 6"/>
                        <wps:cNvSpPr txBox="1"/>
                        <wps:spPr>
                          <a:xfrm>
                            <a:off x="37988" y="3122100"/>
                            <a:ext cx="3819900" cy="5490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Received at least one line of therapy</w:t>
                              </w:r>
                            </w:p>
                            <w:p w:rsidR="006C7050" w:rsidRDefault="000E4B50">
                              <w:pPr>
                                <w:spacing w:line="240" w:lineRule="auto"/>
                                <w:jc w:val="center"/>
                                <w:textDirection w:val="btLr"/>
                              </w:pPr>
                              <w:r>
                                <w:rPr>
                                  <w:color w:val="000000"/>
                                  <w:sz w:val="24"/>
                                </w:rPr>
                                <w:t>N=3,588</w:t>
                              </w:r>
                            </w:p>
                          </w:txbxContent>
                        </wps:txbx>
                        <wps:bodyPr spcFirstLastPara="1" wrap="square" lIns="91425" tIns="91425" rIns="91425" bIns="91425" anchor="t" anchorCtr="0">
                          <a:noAutofit/>
                        </wps:bodyPr>
                      </wps:wsp>
                      <wps:wsp>
                        <wps:cNvPr id="7" name="Text Box 7"/>
                        <wps:cNvSpPr txBox="1"/>
                        <wps:spPr>
                          <a:xfrm>
                            <a:off x="37988" y="3888750"/>
                            <a:ext cx="3819900" cy="6567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Had at least 30 days of follow-up time since line of therapy start</w:t>
                              </w:r>
                            </w:p>
                            <w:p w:rsidR="006C7050" w:rsidRDefault="000E4B50">
                              <w:pPr>
                                <w:spacing w:line="240" w:lineRule="auto"/>
                                <w:jc w:val="center"/>
                                <w:textDirection w:val="btLr"/>
                              </w:pPr>
                              <w:r>
                                <w:rPr>
                                  <w:color w:val="000000"/>
                                  <w:sz w:val="24"/>
                                </w:rPr>
                                <w:t>N=3,482</w:t>
                              </w:r>
                            </w:p>
                          </w:txbxContent>
                        </wps:txbx>
                        <wps:bodyPr spcFirstLastPara="1" wrap="square" lIns="91425" tIns="91425" rIns="91425" bIns="91425" anchor="t" anchorCtr="0">
                          <a:noAutofit/>
                        </wps:bodyPr>
                      </wps:wsp>
                      <wps:wsp>
                        <wps:cNvPr id="8" name="Text Box 8"/>
                        <wps:cNvSpPr txBox="1"/>
                        <wps:spPr>
                          <a:xfrm>
                            <a:off x="41588" y="4763100"/>
                            <a:ext cx="3812700" cy="5730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 xml:space="preserve">Manually abstracted EHR information available </w:t>
                              </w:r>
                            </w:p>
                            <w:p w:rsidR="006C7050" w:rsidRDefault="000E4B50">
                              <w:pPr>
                                <w:spacing w:line="240" w:lineRule="auto"/>
                                <w:jc w:val="center"/>
                                <w:textDirection w:val="btLr"/>
                              </w:pPr>
                              <w:r>
                                <w:rPr>
                                  <w:color w:val="000000"/>
                                  <w:sz w:val="24"/>
                                </w:rPr>
                                <w:t>N=3,248</w:t>
                              </w:r>
                            </w:p>
                          </w:txbxContent>
                        </wps:txbx>
                        <wps:bodyPr spcFirstLastPara="1" wrap="square" lIns="91425" tIns="91425" rIns="91425" bIns="91425" anchor="t" anchorCtr="0">
                          <a:noAutofit/>
                        </wps:bodyPr>
                      </wps:wsp>
                      <wps:wsp>
                        <wps:cNvPr id="9" name="Text Box 9"/>
                        <wps:cNvSpPr txBox="1"/>
                        <wps:spPr>
                          <a:xfrm>
                            <a:off x="3956113" y="2132640"/>
                            <a:ext cx="3587700" cy="6492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Had structured activity within 90 days after the advanced diagnosis date</w:t>
                              </w:r>
                            </w:p>
                            <w:p w:rsidR="006C7050" w:rsidRDefault="000E4B50">
                              <w:pPr>
                                <w:spacing w:line="240" w:lineRule="auto"/>
                                <w:jc w:val="center"/>
                                <w:textDirection w:val="btLr"/>
                              </w:pPr>
                              <w:r>
                                <w:rPr>
                                  <w:color w:val="000000"/>
                                  <w:sz w:val="24"/>
                                </w:rPr>
                                <w:t>N=49,309</w:t>
                              </w:r>
                            </w:p>
                          </w:txbxContent>
                        </wps:txbx>
                        <wps:bodyPr spcFirstLastPara="1" wrap="square" lIns="91425" tIns="91425" rIns="91425" bIns="91425" anchor="t" anchorCtr="0">
                          <a:noAutofit/>
                        </wps:bodyPr>
                      </wps:wsp>
                      <wps:wsp>
                        <wps:cNvPr id="10" name="Text Box 10"/>
                        <wps:cNvSpPr txBox="1"/>
                        <wps:spPr>
                          <a:xfrm>
                            <a:off x="3956113" y="3449820"/>
                            <a:ext cx="3587700" cy="4830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Received therapy of interest before 10/1/2018</w:t>
                              </w:r>
                            </w:p>
                            <w:p w:rsidR="006C7050" w:rsidRDefault="000E4B50">
                              <w:pPr>
                                <w:spacing w:line="240" w:lineRule="auto"/>
                                <w:jc w:val="center"/>
                                <w:textDirection w:val="btLr"/>
                              </w:pPr>
                              <w:r>
                                <w:rPr>
                                  <w:color w:val="000000"/>
                                  <w:sz w:val="24"/>
                                </w:rPr>
                                <w:t>N=4,552*</w:t>
                              </w:r>
                            </w:p>
                          </w:txbxContent>
                        </wps:txbx>
                        <wps:bodyPr spcFirstLastPara="1" wrap="square" lIns="91425" tIns="91425" rIns="91425" bIns="91425" anchor="t" anchorCtr="0">
                          <a:noAutofit/>
                        </wps:bodyPr>
                      </wps:wsp>
                      <wps:wsp>
                        <wps:cNvPr id="11" name="Text Box 11"/>
                        <wps:cNvSpPr txBox="1"/>
                        <wps:spPr>
                          <a:xfrm>
                            <a:off x="3956113" y="2884380"/>
                            <a:ext cx="3587700" cy="4629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Aligned with the corresponding trial I/E criteria</w:t>
                              </w:r>
                            </w:p>
                            <w:p w:rsidR="006C7050" w:rsidRDefault="000E4B50">
                              <w:pPr>
                                <w:spacing w:line="240" w:lineRule="auto"/>
                                <w:jc w:val="center"/>
                                <w:textDirection w:val="btLr"/>
                              </w:pPr>
                              <w:r>
                                <w:rPr>
                                  <w:color w:val="000000"/>
                                  <w:sz w:val="24"/>
                                </w:rPr>
                                <w:t>N=4,934*</w:t>
                              </w:r>
                            </w:p>
                          </w:txbxContent>
                        </wps:txbx>
                        <wps:bodyPr spcFirstLastPara="1" wrap="square" lIns="91425" tIns="91425" rIns="91425" bIns="91425" anchor="t" anchorCtr="0">
                          <a:noAutofit/>
                        </wps:bodyPr>
                      </wps:wsp>
                      <wps:wsp>
                        <wps:cNvPr id="12" name="Text Box 12"/>
                        <wps:cNvSpPr txBox="1"/>
                        <wps:spPr>
                          <a:xfrm>
                            <a:off x="3956113" y="4035360"/>
                            <a:ext cx="3587700" cy="5490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Manually abstracted EHR information availabl</w:t>
                              </w:r>
                              <w:r>
                                <w:rPr>
                                  <w:color w:val="000000"/>
                                  <w:sz w:val="24"/>
                                </w:rPr>
                                <w:t>e</w:t>
                              </w:r>
                            </w:p>
                            <w:p w:rsidR="006C7050" w:rsidRDefault="000E4B50">
                              <w:pPr>
                                <w:spacing w:line="240" w:lineRule="auto"/>
                                <w:jc w:val="center"/>
                                <w:textDirection w:val="btLr"/>
                              </w:pPr>
                              <w:r>
                                <w:rPr>
                                  <w:color w:val="000000"/>
                                  <w:sz w:val="24"/>
                                </w:rPr>
                                <w:t>N=1,224</w:t>
                              </w:r>
                              <w:proofErr w:type="gramStart"/>
                              <w:r>
                                <w:rPr>
                                  <w:color w:val="000000"/>
                                  <w:sz w:val="24"/>
                                </w:rPr>
                                <w:t>*</w:t>
                              </w:r>
                              <w:r>
                                <w:rPr>
                                  <w:color w:val="000000"/>
                                  <w:sz w:val="24"/>
                                  <w:vertAlign w:val="superscript"/>
                                </w:rPr>
                                <w:t>,†</w:t>
                              </w:r>
                              <w:proofErr w:type="gramEnd"/>
                            </w:p>
                          </w:txbxContent>
                        </wps:txbx>
                        <wps:bodyPr spcFirstLastPara="1" wrap="square" lIns="91425" tIns="91425" rIns="91425" bIns="91425" anchor="t" anchorCtr="0">
                          <a:noAutofit/>
                        </wps:bodyPr>
                      </wps:wsp>
                      <wps:wsp>
                        <wps:cNvPr id="13" name="Text Box 13"/>
                        <wps:cNvSpPr txBox="1"/>
                        <wps:spPr>
                          <a:xfrm>
                            <a:off x="3956113" y="4686900"/>
                            <a:ext cx="3587700" cy="649200"/>
                          </a:xfrm>
                          <a:prstGeom prst="rect">
                            <a:avLst/>
                          </a:prstGeom>
                          <a:noFill/>
                          <a:ln w="9525" cap="flat" cmpd="sng">
                            <a:solidFill>
                              <a:srgbClr val="000000"/>
                            </a:solidFill>
                            <a:prstDash val="solid"/>
                            <a:round/>
                            <a:headEnd type="none" w="sm" len="sm"/>
                            <a:tailEnd type="none" w="sm" len="sm"/>
                          </a:ln>
                        </wps:spPr>
                        <wps:txbx>
                          <w:txbxContent>
                            <w:p w:rsidR="006C7050" w:rsidRDefault="000E4B50">
                              <w:pPr>
                                <w:spacing w:line="240" w:lineRule="auto"/>
                                <w:jc w:val="center"/>
                                <w:textDirection w:val="btLr"/>
                              </w:pPr>
                              <w:r>
                                <w:rPr>
                                  <w:color w:val="000000"/>
                                  <w:sz w:val="24"/>
                                </w:rPr>
                                <w:t>Had at least one EHR-documented disease burden assessment</w:t>
                              </w:r>
                            </w:p>
                            <w:p w:rsidR="006C7050" w:rsidRDefault="000E4B50">
                              <w:pPr>
                                <w:spacing w:line="240" w:lineRule="auto"/>
                                <w:jc w:val="center"/>
                                <w:textDirection w:val="btLr"/>
                              </w:pPr>
                              <w:r>
                                <w:rPr>
                                  <w:color w:val="000000"/>
                                  <w:sz w:val="24"/>
                                </w:rPr>
                                <w:t>N=962*</w:t>
                              </w:r>
                            </w:p>
                          </w:txbxContent>
                        </wps:txbx>
                        <wps:bodyPr spcFirstLastPara="1" wrap="square" lIns="91425" tIns="91425" rIns="91425" bIns="91425" anchor="t" anchorCtr="0">
                          <a:noAutofit/>
                        </wps:bodyPr>
                      </wps:wsp>
                      <wps:wsp>
                        <wps:cNvPr id="14" name="Text Box 14"/>
                        <wps:cNvSpPr txBox="1"/>
                        <wps:spPr>
                          <a:xfrm>
                            <a:off x="1085288" y="362050"/>
                            <a:ext cx="1725300" cy="350700"/>
                          </a:xfrm>
                          <a:prstGeom prst="rect">
                            <a:avLst/>
                          </a:prstGeom>
                          <a:noFill/>
                          <a:ln>
                            <a:noFill/>
                          </a:ln>
                        </wps:spPr>
                        <wps:txbx>
                          <w:txbxContent>
                            <w:p w:rsidR="006C7050" w:rsidRDefault="000E4B50">
                              <w:pPr>
                                <w:spacing w:line="240" w:lineRule="auto"/>
                                <w:jc w:val="center"/>
                                <w:textDirection w:val="btLr"/>
                              </w:pPr>
                              <w:r>
                                <w:rPr>
                                  <w:color w:val="000000"/>
                                  <w:sz w:val="28"/>
                                </w:rPr>
                                <w:t>Part 1 cohort</w:t>
                              </w:r>
                            </w:p>
                          </w:txbxContent>
                        </wps:txbx>
                        <wps:bodyPr spcFirstLastPara="1" wrap="square" lIns="91425" tIns="91425" rIns="91425" bIns="91425" anchor="t" anchorCtr="0">
                          <a:noAutofit/>
                        </wps:bodyPr>
                      </wps:wsp>
                      <wps:wsp>
                        <wps:cNvPr id="15" name="Text Box 15"/>
                        <wps:cNvSpPr txBox="1"/>
                        <wps:spPr>
                          <a:xfrm>
                            <a:off x="4781425" y="362050"/>
                            <a:ext cx="1860900" cy="350700"/>
                          </a:xfrm>
                          <a:prstGeom prst="rect">
                            <a:avLst/>
                          </a:prstGeom>
                          <a:noFill/>
                          <a:ln>
                            <a:noFill/>
                          </a:ln>
                        </wps:spPr>
                        <wps:txbx>
                          <w:txbxContent>
                            <w:p w:rsidR="006C7050" w:rsidRDefault="000E4B50">
                              <w:pPr>
                                <w:spacing w:line="240" w:lineRule="auto"/>
                                <w:jc w:val="center"/>
                                <w:textDirection w:val="btLr"/>
                              </w:pPr>
                              <w:r>
                                <w:rPr>
                                  <w:color w:val="000000"/>
                                  <w:sz w:val="28"/>
                                </w:rPr>
                                <w:t>Part 2 cohort</w:t>
                              </w:r>
                            </w:p>
                          </w:txbxContent>
                        </wps:txbx>
                        <wps:bodyPr spcFirstLastPara="1" wrap="square" lIns="91425" tIns="91425" rIns="91425" bIns="91425" anchor="t" anchorCtr="0">
                          <a:noAutofit/>
                        </wps:bodyPr>
                      </wps:wsp>
                      <wps:wsp>
                        <wps:cNvPr id="16" name="Straight Arrow Connector 16"/>
                        <wps:cNvCnPr/>
                        <wps:spPr>
                          <a:xfrm>
                            <a:off x="1947938" y="2030100"/>
                            <a:ext cx="0" cy="2178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a:off x="1947938" y="2904450"/>
                            <a:ext cx="0" cy="217800"/>
                          </a:xfrm>
                          <a:prstGeom prst="straightConnector1">
                            <a:avLst/>
                          </a:prstGeom>
                          <a:noFill/>
                          <a:ln w="9525" cap="flat" cmpd="sng">
                            <a:solidFill>
                              <a:srgbClr val="000000"/>
                            </a:solidFill>
                            <a:prstDash val="solid"/>
                            <a:round/>
                            <a:headEnd type="none" w="med" len="med"/>
                            <a:tailEnd type="triangle" w="med" len="med"/>
                          </a:ln>
                        </wps:spPr>
                        <wps:bodyPr/>
                      </wps:wsp>
                      <wps:wsp>
                        <wps:cNvPr id="18" name="Straight Arrow Connector 18"/>
                        <wps:cNvCnPr/>
                        <wps:spPr>
                          <a:xfrm>
                            <a:off x="1947938" y="4545450"/>
                            <a:ext cx="0" cy="217800"/>
                          </a:xfrm>
                          <a:prstGeom prst="straightConnector1">
                            <a:avLst/>
                          </a:prstGeom>
                          <a:noFill/>
                          <a:ln w="9525" cap="flat" cmpd="sng">
                            <a:solidFill>
                              <a:srgbClr val="000000"/>
                            </a:solidFill>
                            <a:prstDash val="solid"/>
                            <a:round/>
                            <a:headEnd type="none" w="med" len="med"/>
                            <a:tailEnd type="triangle" w="med" len="med"/>
                          </a:ln>
                        </wps:spPr>
                        <wps:bodyPr/>
                      </wps:wsp>
                      <wps:wsp>
                        <wps:cNvPr id="19" name="Straight Arrow Connector 19"/>
                        <wps:cNvCnPr/>
                        <wps:spPr>
                          <a:xfrm>
                            <a:off x="2256000" y="2444200"/>
                            <a:ext cx="0" cy="0"/>
                          </a:xfrm>
                          <a:prstGeom prst="straightConnector1">
                            <a:avLst/>
                          </a:prstGeom>
                          <a:noFill/>
                          <a:ln w="9525" cap="flat" cmpd="sng">
                            <a:solidFill>
                              <a:srgbClr val="000000"/>
                            </a:solidFill>
                            <a:prstDash val="solid"/>
                            <a:round/>
                            <a:headEnd type="none" w="med" len="med"/>
                            <a:tailEnd type="triangle" w="med" len="med"/>
                          </a:ln>
                        </wps:spPr>
                        <wps:bodyPr/>
                      </wps:wsp>
                      <wps:wsp>
                        <wps:cNvPr id="20" name="Straight Arrow Connector 20"/>
                        <wps:cNvCnPr/>
                        <wps:spPr>
                          <a:xfrm>
                            <a:off x="1947938" y="3671100"/>
                            <a:ext cx="0" cy="217800"/>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a:off x="5749963" y="2781840"/>
                            <a:ext cx="0" cy="102600"/>
                          </a:xfrm>
                          <a:prstGeom prst="straightConnector1">
                            <a:avLst/>
                          </a:prstGeom>
                          <a:noFill/>
                          <a:ln w="9525" cap="flat" cmpd="sng">
                            <a:solidFill>
                              <a:srgbClr val="000000"/>
                            </a:solidFill>
                            <a:prstDash val="solid"/>
                            <a:round/>
                            <a:headEnd type="none" w="med" len="med"/>
                            <a:tailEnd type="triangle" w="med" len="med"/>
                          </a:ln>
                        </wps:spPr>
                        <wps:bodyPr/>
                      </wps:wsp>
                      <wps:wsp>
                        <wps:cNvPr id="22" name="Straight Arrow Connector 22"/>
                        <wps:cNvCnPr/>
                        <wps:spPr>
                          <a:xfrm>
                            <a:off x="5749963" y="3357290"/>
                            <a:ext cx="0" cy="102600"/>
                          </a:xfrm>
                          <a:prstGeom prst="straightConnector1">
                            <a:avLst/>
                          </a:prstGeom>
                          <a:noFill/>
                          <a:ln w="9525" cap="flat" cmpd="sng">
                            <a:solidFill>
                              <a:srgbClr val="000000"/>
                            </a:solidFill>
                            <a:prstDash val="solid"/>
                            <a:round/>
                            <a:headEnd type="none" w="med" len="med"/>
                            <a:tailEnd type="triangle" w="med" len="med"/>
                          </a:ln>
                        </wps:spPr>
                        <wps:bodyPr/>
                      </wps:wsp>
                      <wps:wsp>
                        <wps:cNvPr id="23" name="Straight Arrow Connector 23"/>
                        <wps:cNvCnPr/>
                        <wps:spPr>
                          <a:xfrm>
                            <a:off x="5749963" y="3910290"/>
                            <a:ext cx="0" cy="102600"/>
                          </a:xfrm>
                          <a:prstGeom prst="straightConnector1">
                            <a:avLst/>
                          </a:prstGeom>
                          <a:noFill/>
                          <a:ln w="9525" cap="flat" cmpd="sng">
                            <a:solidFill>
                              <a:srgbClr val="000000"/>
                            </a:solidFill>
                            <a:prstDash val="solid"/>
                            <a:round/>
                            <a:headEnd type="none" w="med" len="med"/>
                            <a:tailEnd type="triangle" w="med" len="med"/>
                          </a:ln>
                        </wps:spPr>
                        <wps:bodyPr/>
                      </wps:wsp>
                      <wps:wsp>
                        <wps:cNvPr id="24" name="Straight Arrow Connector 24"/>
                        <wps:cNvCnPr/>
                        <wps:spPr>
                          <a:xfrm>
                            <a:off x="5749963" y="4600790"/>
                            <a:ext cx="0" cy="102600"/>
                          </a:xfrm>
                          <a:prstGeom prst="straightConnector1">
                            <a:avLst/>
                          </a:prstGeom>
                          <a:noFill/>
                          <a:ln w="9525" cap="flat" cmpd="sng">
                            <a:solidFill>
                              <a:srgbClr val="000000"/>
                            </a:solidFill>
                            <a:prstDash val="solid"/>
                            <a:round/>
                            <a:headEnd type="none" w="med" len="med"/>
                            <a:tailEnd type="triangle" w="med" len="med"/>
                          </a:ln>
                        </wps:spPr>
                        <wps:bodyPr/>
                      </wps:wsp>
                      <wps:wsp>
                        <wps:cNvPr id="25" name="Straight Arrow Connector 25"/>
                        <wps:cNvCnPr/>
                        <wps:spPr>
                          <a:xfrm>
                            <a:off x="5749963" y="2029978"/>
                            <a:ext cx="0" cy="1026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300788" cy="447435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00788" cy="4474357"/>
                        </a:xfrm>
                        <a:prstGeom prst="rect"/>
                        <a:ln/>
                      </pic:spPr>
                    </pic:pic>
                  </a:graphicData>
                </a:graphic>
              </wp:inline>
            </w:drawing>
          </mc:Fallback>
        </mc:AlternateContent>
      </w:r>
    </w:p>
    <w:p w:rsidR="006C7050" w:rsidRDefault="006C7050"/>
    <w:p w:rsidR="006C7050" w:rsidRDefault="000E4B50">
      <w:r>
        <w:t xml:space="preserve">*Pooled N of distinct patients form 12 </w:t>
      </w:r>
      <w:proofErr w:type="spellStart"/>
      <w:r>
        <w:t>rw</w:t>
      </w:r>
      <w:proofErr w:type="spellEnd"/>
      <w:r>
        <w:t xml:space="preserve"> cohorts. It is possible for an individual to be included in more than one </w:t>
      </w:r>
      <w:proofErr w:type="spellStart"/>
      <w:r>
        <w:t>rw</w:t>
      </w:r>
      <w:proofErr w:type="spellEnd"/>
      <w:r>
        <w:t xml:space="preserve"> cohort due to receiving therapies of interest for different trials. </w:t>
      </w:r>
      <w:r>
        <w:rPr>
          <w:vertAlign w:val="superscript"/>
        </w:rPr>
        <w:t>†</w:t>
      </w:r>
      <w:r>
        <w:t>A random sample of patients was abstracted for Part 2 cohort, consid</w:t>
      </w:r>
      <w:r>
        <w:t>ering that abstraction of all patients who received therapies of interest was not feasible due to the time, cost, and resources required.</w:t>
      </w:r>
    </w:p>
    <w:p w:rsidR="006C7050" w:rsidRDefault="00A77320">
      <w:pPr>
        <w:pStyle w:val="Heading3"/>
        <w:spacing w:before="200"/>
        <w:rPr>
          <w:b/>
        </w:rPr>
      </w:pPr>
      <w:bookmarkStart w:id="5" w:name="_4luspk2e1qop" w:colFirst="0" w:colLast="0"/>
      <w:bookmarkEnd w:id="5"/>
      <w:r>
        <w:rPr>
          <w:b/>
        </w:rPr>
        <w:lastRenderedPageBreak/>
        <w:t>Supplementary</w:t>
      </w:r>
      <w:r w:rsidR="000E4B50">
        <w:rPr>
          <w:b/>
        </w:rPr>
        <w:t xml:space="preserve"> Figure 2. Best response analysis in part 1 of the study, overall and by line of therapy. </w:t>
      </w:r>
    </w:p>
    <w:p w:rsidR="006C7050" w:rsidRDefault="000E4B50">
      <w:pPr>
        <w:pStyle w:val="Heading3"/>
        <w:spacing w:before="200"/>
        <w:rPr>
          <w:color w:val="222222"/>
          <w:sz w:val="22"/>
          <w:szCs w:val="22"/>
        </w:rPr>
      </w:pPr>
      <w:bookmarkStart w:id="6" w:name="_ocv81qhd4xzj" w:colFirst="0" w:colLast="0"/>
      <w:bookmarkEnd w:id="6"/>
      <w:r>
        <w:rPr>
          <w:color w:val="222222"/>
          <w:sz w:val="22"/>
          <w:szCs w:val="22"/>
        </w:rPr>
        <w:t>Best response among</w:t>
      </w:r>
      <w:r>
        <w:rPr>
          <w:color w:val="222222"/>
          <w:sz w:val="22"/>
          <w:szCs w:val="22"/>
        </w:rPr>
        <w:t xml:space="preserve"> Part 1 cohort patients with at least one radiographic assessment documented in EHR (n=2775 patients, 4651 patient-lines).</w:t>
      </w:r>
    </w:p>
    <w:p w:rsidR="006C7050" w:rsidRDefault="000E4B50">
      <w:pPr>
        <w:pStyle w:val="Heading3"/>
        <w:spacing w:before="200"/>
        <w:rPr>
          <w:b/>
        </w:rPr>
      </w:pPr>
      <w:bookmarkStart w:id="7" w:name="_7hldyiwoyap0" w:colFirst="0" w:colLast="0"/>
      <w:bookmarkEnd w:id="7"/>
      <w:r>
        <w:rPr>
          <w:b/>
          <w:noProof/>
          <w:lang w:val="en-GB"/>
        </w:rPr>
        <w:drawing>
          <wp:inline distT="19050" distB="19050" distL="19050" distR="19050">
            <wp:extent cx="5943600" cy="3667125"/>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667125"/>
                    </a:xfrm>
                    <a:prstGeom prst="rect">
                      <a:avLst/>
                    </a:prstGeom>
                    <a:ln/>
                  </pic:spPr>
                </pic:pic>
              </a:graphicData>
            </a:graphic>
          </wp:inline>
        </w:drawing>
      </w:r>
    </w:p>
    <w:p w:rsidR="006C7050" w:rsidRDefault="000E4B50">
      <w:pPr>
        <w:widowControl w:val="0"/>
      </w:pPr>
      <w:r>
        <w:rPr>
          <w:color w:val="222222"/>
          <w:sz w:val="18"/>
          <w:szCs w:val="18"/>
        </w:rPr>
        <w:t>CR, real-world complete response; PR, real-world partial response; SD, real-world stable disease; PD, real-world progressive diseas</w:t>
      </w:r>
      <w:r>
        <w:rPr>
          <w:color w:val="222222"/>
          <w:sz w:val="18"/>
          <w:szCs w:val="18"/>
        </w:rPr>
        <w:t xml:space="preserve">e; </w:t>
      </w:r>
      <w:proofErr w:type="spellStart"/>
      <w:r>
        <w:rPr>
          <w:color w:val="222222"/>
          <w:sz w:val="18"/>
          <w:szCs w:val="18"/>
        </w:rPr>
        <w:t>Pseudoprogression</w:t>
      </w:r>
      <w:proofErr w:type="spellEnd"/>
      <w:r>
        <w:rPr>
          <w:color w:val="222222"/>
          <w:sz w:val="18"/>
          <w:szCs w:val="18"/>
        </w:rPr>
        <w:t xml:space="preserve">, real-world </w:t>
      </w:r>
      <w:proofErr w:type="spellStart"/>
      <w:r>
        <w:rPr>
          <w:color w:val="222222"/>
          <w:sz w:val="18"/>
          <w:szCs w:val="18"/>
        </w:rPr>
        <w:t>pseudoprogression</w:t>
      </w:r>
      <w:proofErr w:type="spellEnd"/>
      <w:r>
        <w:rPr>
          <w:color w:val="222222"/>
          <w:sz w:val="18"/>
          <w:szCs w:val="18"/>
        </w:rPr>
        <w:t xml:space="preserve">. </w:t>
      </w:r>
    </w:p>
    <w:p w:rsidR="006C7050" w:rsidRDefault="006C7050"/>
    <w:p w:rsidR="006C7050" w:rsidRDefault="000E4B50">
      <w:pPr>
        <w:pStyle w:val="Heading3"/>
        <w:spacing w:before="200"/>
        <w:rPr>
          <w:b/>
        </w:rPr>
      </w:pPr>
      <w:bookmarkStart w:id="8" w:name="_y8ccrlzao76p" w:colFirst="0" w:colLast="0"/>
      <w:bookmarkEnd w:id="8"/>
      <w:r>
        <w:br w:type="page"/>
      </w:r>
    </w:p>
    <w:p w:rsidR="006C7050" w:rsidRDefault="00A77320">
      <w:pPr>
        <w:pStyle w:val="Heading3"/>
        <w:spacing w:before="200"/>
        <w:rPr>
          <w:b/>
        </w:rPr>
      </w:pPr>
      <w:bookmarkStart w:id="9" w:name="_f9517m3b4opb" w:colFirst="0" w:colLast="0"/>
      <w:bookmarkEnd w:id="9"/>
      <w:r>
        <w:rPr>
          <w:b/>
        </w:rPr>
        <w:lastRenderedPageBreak/>
        <w:t xml:space="preserve">Supplementary </w:t>
      </w:r>
      <w:r w:rsidR="000E4B50">
        <w:rPr>
          <w:b/>
        </w:rPr>
        <w:t xml:space="preserve">Figure 3. Association of response with progression and mortality by line and therapeutic class. </w:t>
      </w:r>
    </w:p>
    <w:p w:rsidR="006C7050" w:rsidRDefault="000E4B50">
      <w:pPr>
        <w:pStyle w:val="Heading3"/>
        <w:spacing w:before="200"/>
        <w:rPr>
          <w:sz w:val="22"/>
          <w:szCs w:val="22"/>
        </w:rPr>
      </w:pPr>
      <w:bookmarkStart w:id="10" w:name="_jfct72qnpnxg" w:colFirst="0" w:colLast="0"/>
      <w:bookmarkEnd w:id="10"/>
      <w:r>
        <w:rPr>
          <w:color w:val="222222"/>
          <w:sz w:val="22"/>
          <w:szCs w:val="22"/>
        </w:rPr>
        <w:t xml:space="preserve">Adjusted hazard ratios and 95% confidence intervals of </w:t>
      </w:r>
      <w:proofErr w:type="spellStart"/>
      <w:r>
        <w:rPr>
          <w:color w:val="222222"/>
          <w:sz w:val="22"/>
          <w:szCs w:val="22"/>
        </w:rPr>
        <w:t>rwOS</w:t>
      </w:r>
      <w:proofErr w:type="spellEnd"/>
      <w:r>
        <w:rPr>
          <w:color w:val="222222"/>
          <w:sz w:val="22"/>
          <w:szCs w:val="22"/>
        </w:rPr>
        <w:t xml:space="preserve"> and </w:t>
      </w:r>
      <w:proofErr w:type="spellStart"/>
      <w:r>
        <w:rPr>
          <w:color w:val="222222"/>
          <w:sz w:val="22"/>
          <w:szCs w:val="22"/>
        </w:rPr>
        <w:t>rwPFS</w:t>
      </w:r>
      <w:proofErr w:type="spellEnd"/>
      <w:r>
        <w:rPr>
          <w:color w:val="222222"/>
          <w:sz w:val="22"/>
          <w:szCs w:val="22"/>
        </w:rPr>
        <w:t xml:space="preserve"> comparing responders wit</w:t>
      </w:r>
      <w:r>
        <w:rPr>
          <w:color w:val="222222"/>
          <w:sz w:val="22"/>
          <w:szCs w:val="22"/>
        </w:rPr>
        <w:t xml:space="preserve">h non-responders by line setting and therapy class subgroups. In these exploratory analyses, models are adjusted for age at advanced diagnosis, smoking status, histology, and stage at initial diagnosis. </w:t>
      </w:r>
      <w:r>
        <w:rPr>
          <w:sz w:val="22"/>
          <w:szCs w:val="22"/>
        </w:rPr>
        <w:t xml:space="preserve">For </w:t>
      </w:r>
      <w:proofErr w:type="spellStart"/>
      <w:r>
        <w:rPr>
          <w:sz w:val="22"/>
          <w:szCs w:val="22"/>
        </w:rPr>
        <w:t>rwOS</w:t>
      </w:r>
      <w:proofErr w:type="spellEnd"/>
      <w:r>
        <w:rPr>
          <w:sz w:val="22"/>
          <w:szCs w:val="22"/>
        </w:rPr>
        <w:t>, the results were largely consistent with th</w:t>
      </w:r>
      <w:r>
        <w:rPr>
          <w:sz w:val="22"/>
          <w:szCs w:val="22"/>
        </w:rPr>
        <w:t xml:space="preserve">e primary analysis (hazard ratios for line 3 or above not calculated due to small </w:t>
      </w:r>
      <w:proofErr w:type="spellStart"/>
      <w:r>
        <w:rPr>
          <w:sz w:val="22"/>
          <w:szCs w:val="22"/>
        </w:rPr>
        <w:t>subcohort</w:t>
      </w:r>
      <w:proofErr w:type="spellEnd"/>
      <w:r>
        <w:rPr>
          <w:sz w:val="22"/>
          <w:szCs w:val="22"/>
        </w:rPr>
        <w:t xml:space="preserve"> sizes). For </w:t>
      </w:r>
      <w:proofErr w:type="spellStart"/>
      <w:r>
        <w:rPr>
          <w:sz w:val="22"/>
          <w:szCs w:val="22"/>
        </w:rPr>
        <w:t>rwPFS</w:t>
      </w:r>
      <w:proofErr w:type="spellEnd"/>
      <w:r>
        <w:rPr>
          <w:sz w:val="22"/>
          <w:szCs w:val="22"/>
        </w:rPr>
        <w:t>, responders at 3 months had a lower risk of progression or death compared to non-responders in both line 1 and line 2 PD-1/PD-L1-based therapy coh</w:t>
      </w:r>
      <w:r>
        <w:rPr>
          <w:sz w:val="22"/>
          <w:szCs w:val="22"/>
        </w:rPr>
        <w:t>ort, and line 2 targeted therapy cohort. When requiring confirmation, responders at 3 months had a lower risk of progression than non-responders in all line settings, although in the line 2 anti-VEGF-based therapy and chemotherapy cohort point estimates tr</w:t>
      </w:r>
      <w:r>
        <w:rPr>
          <w:sz w:val="22"/>
          <w:szCs w:val="22"/>
        </w:rPr>
        <w:t>ended in the direction of lower risk of progression or death for responders with confidence intervals overlapping 1. In the 6-month landmark analysis, associations with a decreased risk of progression or death for responders with or without requiring confi</w:t>
      </w:r>
      <w:r>
        <w:rPr>
          <w:sz w:val="22"/>
          <w:szCs w:val="22"/>
        </w:rPr>
        <w:t>rmation were consistently found in PD-1/PD-L1 based therapies.</w:t>
      </w:r>
    </w:p>
    <w:p w:rsidR="006C7050" w:rsidRDefault="006C7050"/>
    <w:p w:rsidR="006C7050" w:rsidRDefault="000E4B50">
      <w:r>
        <w:rPr>
          <w:noProof/>
          <w:lang w:val="en-GB"/>
        </w:rPr>
        <w:lastRenderedPageBreak/>
        <w:drawing>
          <wp:inline distT="114300" distB="114300" distL="114300" distR="114300">
            <wp:extent cx="8229600" cy="6400800"/>
            <wp:effectExtent l="0" t="0" r="0" b="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229600" cy="6400800"/>
                    </a:xfrm>
                    <a:prstGeom prst="rect">
                      <a:avLst/>
                    </a:prstGeom>
                    <a:ln/>
                  </pic:spPr>
                </pic:pic>
              </a:graphicData>
            </a:graphic>
          </wp:inline>
        </w:drawing>
      </w:r>
    </w:p>
    <w:p w:rsidR="006C7050" w:rsidRDefault="00A77320">
      <w:pPr>
        <w:pStyle w:val="Heading3"/>
        <w:rPr>
          <w:b/>
        </w:rPr>
      </w:pPr>
      <w:bookmarkStart w:id="11" w:name="_nkyyaogj2imi" w:colFirst="0" w:colLast="0"/>
      <w:bookmarkEnd w:id="11"/>
      <w:r>
        <w:rPr>
          <w:b/>
        </w:rPr>
        <w:lastRenderedPageBreak/>
        <w:t>Supplementary</w:t>
      </w:r>
      <w:r w:rsidR="000E4B50">
        <w:rPr>
          <w:b/>
        </w:rPr>
        <w:t xml:space="preserve"> Table 1: Background information about the </w:t>
      </w:r>
      <w:proofErr w:type="spellStart"/>
      <w:r w:rsidR="000E4B50">
        <w:rPr>
          <w:b/>
        </w:rPr>
        <w:t>registrational</w:t>
      </w:r>
      <w:proofErr w:type="spellEnd"/>
      <w:r w:rsidR="000E4B50">
        <w:rPr>
          <w:b/>
        </w:rPr>
        <w:t xml:space="preserve"> trials used for RR comparison purposes</w:t>
      </w:r>
    </w:p>
    <w:tbl>
      <w:tblPr>
        <w:tblStyle w:val="a"/>
        <w:tblW w:w="15075" w:type="dxa"/>
        <w:tblInd w:w="-1055" w:type="dxa"/>
        <w:tblBorders>
          <w:top w:val="nil"/>
          <w:left w:val="nil"/>
          <w:bottom w:val="nil"/>
          <w:right w:val="nil"/>
          <w:insideH w:val="nil"/>
          <w:insideV w:val="nil"/>
        </w:tblBorders>
        <w:tblLayout w:type="fixed"/>
        <w:tblLook w:val="0600" w:firstRow="0" w:lastRow="0" w:firstColumn="0" w:lastColumn="0" w:noHBand="1" w:noVBand="1"/>
      </w:tblPr>
      <w:tblGrid>
        <w:gridCol w:w="1885"/>
        <w:gridCol w:w="1885"/>
        <w:gridCol w:w="1885"/>
        <w:gridCol w:w="1884"/>
        <w:gridCol w:w="1884"/>
        <w:gridCol w:w="1884"/>
        <w:gridCol w:w="1884"/>
        <w:gridCol w:w="1884"/>
      </w:tblGrid>
      <w:tr w:rsidR="006C7050">
        <w:trPr>
          <w:trHeight w:val="750"/>
        </w:trPr>
        <w:tc>
          <w:tcPr>
            <w:tcW w:w="1885" w:type="dxa"/>
            <w:tcBorders>
              <w:top w:val="single" w:sz="6" w:space="0" w:color="000000"/>
              <w:left w:val="single" w:sz="6" w:space="0" w:color="000000"/>
              <w:bottom w:val="single" w:sz="6" w:space="0" w:color="000000"/>
              <w:right w:val="single" w:sz="6" w:space="0" w:color="000000"/>
            </w:tcBorders>
            <w:shd w:val="clear" w:color="auto" w:fill="F2F5F9"/>
            <w:tcMar>
              <w:top w:w="40" w:type="dxa"/>
              <w:left w:w="40" w:type="dxa"/>
              <w:bottom w:w="40" w:type="dxa"/>
              <w:right w:w="40" w:type="dxa"/>
            </w:tcMar>
          </w:tcPr>
          <w:p w:rsidR="006C7050" w:rsidRDefault="006C7050">
            <w:pPr>
              <w:widowControl w:val="0"/>
              <w:rPr>
                <w:sz w:val="20"/>
                <w:szCs w:val="20"/>
              </w:rPr>
            </w:pPr>
          </w:p>
        </w:tc>
        <w:tc>
          <w:tcPr>
            <w:tcW w:w="1885"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ALEX</w:t>
            </w:r>
          </w:p>
        </w:tc>
        <w:tc>
          <w:tcPr>
            <w:tcW w:w="1885"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AURA</w:t>
            </w:r>
          </w:p>
        </w:tc>
        <w:tc>
          <w:tcPr>
            <w:tcW w:w="1884"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CheckMate-017</w:t>
            </w:r>
          </w:p>
        </w:tc>
        <w:tc>
          <w:tcPr>
            <w:tcW w:w="1884"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CheckMate-057</w:t>
            </w:r>
          </w:p>
        </w:tc>
        <w:tc>
          <w:tcPr>
            <w:tcW w:w="1884"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KEYNOTE-021</w:t>
            </w:r>
          </w:p>
        </w:tc>
        <w:tc>
          <w:tcPr>
            <w:tcW w:w="1884"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KEYNOTE-024</w:t>
            </w:r>
          </w:p>
        </w:tc>
        <w:tc>
          <w:tcPr>
            <w:tcW w:w="1884" w:type="dxa"/>
            <w:tcBorders>
              <w:top w:val="single" w:sz="6" w:space="0" w:color="000000"/>
              <w:left w:val="single" w:sz="6" w:space="0" w:color="CCCCCC"/>
              <w:bottom w:val="single" w:sz="6" w:space="0" w:color="000000"/>
              <w:right w:val="single" w:sz="6" w:space="0" w:color="000000"/>
            </w:tcBorders>
            <w:shd w:val="clear" w:color="auto" w:fill="F2F5F9"/>
            <w:tcMar>
              <w:top w:w="40" w:type="dxa"/>
              <w:left w:w="40" w:type="dxa"/>
              <w:bottom w:w="40" w:type="dxa"/>
              <w:right w:w="40" w:type="dxa"/>
            </w:tcMar>
          </w:tcPr>
          <w:p w:rsidR="006C7050" w:rsidRDefault="000E4B50">
            <w:pPr>
              <w:widowControl w:val="0"/>
              <w:rPr>
                <w:sz w:val="20"/>
                <w:szCs w:val="20"/>
              </w:rPr>
            </w:pPr>
            <w:r>
              <w:rPr>
                <w:b/>
                <w:color w:val="2A2A2A"/>
                <w:sz w:val="20"/>
                <w:szCs w:val="20"/>
              </w:rPr>
              <w:t>OAK</w:t>
            </w:r>
          </w:p>
        </w:tc>
      </w:tr>
      <w:tr w:rsidR="006C7050">
        <w:trPr>
          <w:trHeight w:val="1200"/>
        </w:trPr>
        <w:tc>
          <w:tcPr>
            <w:tcW w:w="18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 xml:space="preserve">Treatment arms </w:t>
            </w:r>
          </w:p>
          <w:p w:rsidR="006C7050" w:rsidRDefault="000E4B50">
            <w:pPr>
              <w:widowControl w:val="0"/>
              <w:rPr>
                <w:sz w:val="20"/>
                <w:szCs w:val="20"/>
              </w:rPr>
            </w:pPr>
            <w:r>
              <w:rPr>
                <w:color w:val="2A2A2A"/>
                <w:sz w:val="20"/>
                <w:szCs w:val="20"/>
              </w:rPr>
              <w:t>Experimental (E)/Control (C)</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Alectinib</w:t>
            </w:r>
            <w:proofErr w:type="spellEnd"/>
            <w:r>
              <w:rPr>
                <w:color w:val="2A2A2A"/>
                <w:sz w:val="20"/>
                <w:szCs w:val="20"/>
              </w:rPr>
              <w:t>/</w:t>
            </w:r>
            <w:proofErr w:type="spellStart"/>
            <w:r>
              <w:rPr>
                <w:color w:val="2A2A2A"/>
                <w:sz w:val="20"/>
                <w:szCs w:val="20"/>
              </w:rPr>
              <w:t>Crizotinib</w:t>
            </w:r>
            <w:proofErr w:type="spellEnd"/>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Osimertinib</w:t>
            </w:r>
            <w:proofErr w:type="spellEnd"/>
            <w:r>
              <w:rPr>
                <w:color w:val="2A2A2A"/>
                <w:sz w:val="20"/>
                <w:szCs w:val="20"/>
              </w:rPr>
              <w:t>/</w:t>
            </w:r>
            <w:proofErr w:type="spellStart"/>
            <w:r>
              <w:rPr>
                <w:color w:val="2A2A2A"/>
                <w:sz w:val="20"/>
                <w:szCs w:val="20"/>
              </w:rPr>
              <w:t>Pemetrexed</w:t>
            </w:r>
            <w:proofErr w:type="spellEnd"/>
            <w:r>
              <w:rPr>
                <w:color w:val="2A2A2A"/>
                <w:sz w:val="20"/>
                <w:szCs w:val="20"/>
              </w:rPr>
              <w:t xml:space="preserve"> + carboplatin or cisplatin</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Nivolumab</w:t>
            </w:r>
            <w:proofErr w:type="spellEnd"/>
            <w:r>
              <w:rPr>
                <w:color w:val="2A2A2A"/>
                <w:sz w:val="20"/>
                <w:szCs w:val="20"/>
              </w:rPr>
              <w:t>/Docetaxel</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Nivolumab</w:t>
            </w:r>
            <w:proofErr w:type="spellEnd"/>
            <w:r>
              <w:rPr>
                <w:color w:val="2A2A2A"/>
                <w:sz w:val="20"/>
                <w:szCs w:val="20"/>
              </w:rPr>
              <w:t>/Docetaxel</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Pembrolizumab</w:t>
            </w:r>
            <w:proofErr w:type="spellEnd"/>
            <w:r>
              <w:rPr>
                <w:color w:val="2A2A2A"/>
                <w:sz w:val="20"/>
                <w:szCs w:val="20"/>
              </w:rPr>
              <w:t xml:space="preserve"> + Carboplatin + </w:t>
            </w:r>
            <w:proofErr w:type="spellStart"/>
            <w:r>
              <w:rPr>
                <w:color w:val="2A2A2A"/>
                <w:sz w:val="20"/>
                <w:szCs w:val="20"/>
              </w:rPr>
              <w:t>Pemetrexed</w:t>
            </w:r>
            <w:proofErr w:type="spellEnd"/>
            <w:r>
              <w:rPr>
                <w:color w:val="2A2A2A"/>
                <w:sz w:val="20"/>
                <w:szCs w:val="20"/>
              </w:rPr>
              <w:t xml:space="preserve">/Carboplatin + </w:t>
            </w:r>
            <w:proofErr w:type="spellStart"/>
            <w:r>
              <w:rPr>
                <w:color w:val="2A2A2A"/>
                <w:sz w:val="20"/>
                <w:szCs w:val="20"/>
              </w:rPr>
              <w:t>Pemetrexed</w:t>
            </w:r>
            <w:proofErr w:type="spellEnd"/>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Pembrolizumab</w:t>
            </w:r>
            <w:proofErr w:type="spellEnd"/>
            <w:r>
              <w:rPr>
                <w:color w:val="2A2A2A"/>
                <w:sz w:val="20"/>
                <w:szCs w:val="20"/>
              </w:rPr>
              <w:t>/Investigator’s choice of platinum-ba</w:t>
            </w:r>
            <w:r>
              <w:rPr>
                <w:color w:val="2A2A2A"/>
                <w:sz w:val="20"/>
                <w:szCs w:val="20"/>
              </w:rPr>
              <w:t>sed chemotherapy</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proofErr w:type="spellStart"/>
            <w:r>
              <w:rPr>
                <w:color w:val="2A2A2A"/>
                <w:sz w:val="20"/>
                <w:szCs w:val="20"/>
              </w:rPr>
              <w:t>Atezolizumab</w:t>
            </w:r>
            <w:proofErr w:type="spellEnd"/>
            <w:r>
              <w:rPr>
                <w:color w:val="2A2A2A"/>
                <w:sz w:val="20"/>
                <w:szCs w:val="20"/>
              </w:rPr>
              <w:t>/Docetaxel</w:t>
            </w:r>
          </w:p>
        </w:tc>
      </w:tr>
      <w:tr w:rsidR="006C7050">
        <w:trPr>
          <w:trHeight w:val="315"/>
        </w:trPr>
        <w:tc>
          <w:tcPr>
            <w:tcW w:w="18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N, E/C</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126/114</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279/140</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135/137</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292/290</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60/63</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154/151</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425/425</w:t>
            </w:r>
          </w:p>
        </w:tc>
      </w:tr>
      <w:tr w:rsidR="006C7050">
        <w:trPr>
          <w:trHeight w:val="975"/>
        </w:trPr>
        <w:tc>
          <w:tcPr>
            <w:tcW w:w="18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Trial ORR (95% CI), E/C</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82.9 (76.0-88.5)/</w:t>
            </w:r>
          </w:p>
          <w:p w:rsidR="006C7050" w:rsidRDefault="000E4B50">
            <w:pPr>
              <w:widowControl w:val="0"/>
              <w:rPr>
                <w:sz w:val="20"/>
                <w:szCs w:val="20"/>
              </w:rPr>
            </w:pPr>
            <w:r>
              <w:rPr>
                <w:color w:val="2A2A2A"/>
                <w:sz w:val="20"/>
                <w:szCs w:val="20"/>
              </w:rPr>
              <w:t>75.5 (67.8-82.1)</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71 (65-76)/</w:t>
            </w:r>
          </w:p>
          <w:p w:rsidR="006C7050" w:rsidRDefault="000E4B50">
            <w:pPr>
              <w:widowControl w:val="0"/>
              <w:rPr>
                <w:sz w:val="20"/>
                <w:szCs w:val="20"/>
              </w:rPr>
            </w:pPr>
            <w:r>
              <w:rPr>
                <w:color w:val="2A2A2A"/>
                <w:sz w:val="20"/>
                <w:szCs w:val="20"/>
              </w:rPr>
              <w:t>31 (24-40)</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20 (14-28)/</w:t>
            </w:r>
          </w:p>
          <w:p w:rsidR="006C7050" w:rsidRDefault="000E4B50">
            <w:pPr>
              <w:widowControl w:val="0"/>
              <w:rPr>
                <w:sz w:val="20"/>
                <w:szCs w:val="20"/>
              </w:rPr>
            </w:pPr>
            <w:r>
              <w:rPr>
                <w:color w:val="2A2A2A"/>
                <w:sz w:val="20"/>
                <w:szCs w:val="20"/>
              </w:rPr>
              <w:t>9 (5-15)</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19 (15-24)/</w:t>
            </w:r>
          </w:p>
          <w:p w:rsidR="006C7050" w:rsidRDefault="000E4B50">
            <w:pPr>
              <w:widowControl w:val="0"/>
              <w:rPr>
                <w:sz w:val="20"/>
                <w:szCs w:val="20"/>
              </w:rPr>
            </w:pPr>
            <w:r>
              <w:rPr>
                <w:color w:val="2A2A2A"/>
                <w:sz w:val="20"/>
                <w:szCs w:val="20"/>
              </w:rPr>
              <w:t>12 (9-17)</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55 (42–68)/</w:t>
            </w:r>
          </w:p>
          <w:p w:rsidR="006C7050" w:rsidRDefault="000E4B50">
            <w:pPr>
              <w:widowControl w:val="0"/>
              <w:rPr>
                <w:sz w:val="20"/>
                <w:szCs w:val="20"/>
              </w:rPr>
            </w:pPr>
            <w:r>
              <w:rPr>
                <w:color w:val="2A2A2A"/>
                <w:sz w:val="20"/>
                <w:szCs w:val="20"/>
              </w:rPr>
              <w:t>29 (18–41)</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44.8 (36.8-53.0)/</w:t>
            </w:r>
          </w:p>
          <w:p w:rsidR="006C7050" w:rsidRDefault="000E4B50">
            <w:pPr>
              <w:widowControl w:val="0"/>
              <w:rPr>
                <w:sz w:val="20"/>
                <w:szCs w:val="20"/>
              </w:rPr>
            </w:pPr>
            <w:r>
              <w:rPr>
                <w:color w:val="2A2A2A"/>
                <w:sz w:val="20"/>
                <w:szCs w:val="20"/>
              </w:rPr>
              <w:t>27.8 (20.8, 35.7)</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color w:val="2A2A2A"/>
                <w:sz w:val="20"/>
                <w:szCs w:val="20"/>
              </w:rPr>
            </w:pPr>
            <w:r>
              <w:rPr>
                <w:color w:val="2A2A2A"/>
                <w:sz w:val="20"/>
                <w:szCs w:val="20"/>
              </w:rPr>
              <w:t>13.6/</w:t>
            </w:r>
          </w:p>
          <w:p w:rsidR="006C7050" w:rsidRDefault="000E4B50">
            <w:pPr>
              <w:widowControl w:val="0"/>
              <w:rPr>
                <w:sz w:val="20"/>
                <w:szCs w:val="20"/>
              </w:rPr>
            </w:pPr>
            <w:r>
              <w:rPr>
                <w:color w:val="2A2A2A"/>
                <w:sz w:val="20"/>
                <w:szCs w:val="20"/>
              </w:rPr>
              <w:t>13.4</w:t>
            </w:r>
          </w:p>
        </w:tc>
      </w:tr>
      <w:tr w:rsidR="006C7050">
        <w:trPr>
          <w:trHeight w:val="750"/>
        </w:trPr>
        <w:tc>
          <w:tcPr>
            <w:tcW w:w="18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Trial arm feasible for benchmarking</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Both arms</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E only</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Both arms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Both arms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Both arms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E only</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rPr>
                <w:sz w:val="20"/>
                <w:szCs w:val="20"/>
              </w:rPr>
            </w:pPr>
            <w:r>
              <w:rPr>
                <w:color w:val="2A2A2A"/>
                <w:sz w:val="20"/>
                <w:szCs w:val="20"/>
              </w:rPr>
              <w:t>Both arms</w:t>
            </w:r>
          </w:p>
        </w:tc>
      </w:tr>
      <w:tr w:rsidR="006C7050">
        <w:tc>
          <w:tcPr>
            <w:tcW w:w="18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sz w:val="20"/>
                <w:szCs w:val="20"/>
              </w:rPr>
            </w:pPr>
            <w:r>
              <w:rPr>
                <w:color w:val="2A2A2A"/>
                <w:sz w:val="20"/>
                <w:szCs w:val="20"/>
              </w:rPr>
              <w:t xml:space="preserve">Key eligibility criteria applied to select </w:t>
            </w:r>
            <w:proofErr w:type="spellStart"/>
            <w:r>
              <w:rPr>
                <w:color w:val="2A2A2A"/>
                <w:sz w:val="20"/>
                <w:szCs w:val="20"/>
              </w:rPr>
              <w:t>rw</w:t>
            </w:r>
            <w:proofErr w:type="spellEnd"/>
            <w:r>
              <w:rPr>
                <w:color w:val="2A2A2A"/>
                <w:sz w:val="20"/>
                <w:szCs w:val="20"/>
              </w:rPr>
              <w:t xml:space="preserve"> cohort</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color w:val="2A2A2A"/>
                <w:sz w:val="20"/>
                <w:szCs w:val="20"/>
              </w:rPr>
            </w:pPr>
            <w:r>
              <w:rPr>
                <w:color w:val="2A2A2A"/>
                <w:sz w:val="20"/>
                <w:szCs w:val="20"/>
              </w:rPr>
              <w:t xml:space="preserve">Treatment-naive ALK-positive </w:t>
            </w:r>
            <w:proofErr w:type="spellStart"/>
            <w:r>
              <w:rPr>
                <w:color w:val="2A2A2A"/>
                <w:sz w:val="20"/>
                <w:szCs w:val="20"/>
              </w:rPr>
              <w:t>aNSCLC</w:t>
            </w:r>
            <w:proofErr w:type="spellEnd"/>
          </w:p>
          <w:p w:rsidR="006C7050" w:rsidRDefault="000E4B50">
            <w:pPr>
              <w:widowControl w:val="0"/>
              <w:spacing w:before="80"/>
              <w:rPr>
                <w:color w:val="2A2A2A"/>
                <w:sz w:val="20"/>
                <w:szCs w:val="20"/>
              </w:rPr>
            </w:pPr>
            <w:r>
              <w:rPr>
                <w:color w:val="2A2A2A"/>
                <w:sz w:val="20"/>
                <w:szCs w:val="20"/>
              </w:rPr>
              <w:t>ECOG PS not greater than 2, including missing ECOG</w:t>
            </w:r>
          </w:p>
          <w:p w:rsidR="006C7050" w:rsidRDefault="000E4B50">
            <w:pPr>
              <w:widowControl w:val="0"/>
              <w:spacing w:before="80"/>
              <w:rPr>
                <w:color w:val="2A2A2A"/>
                <w:sz w:val="20"/>
                <w:szCs w:val="20"/>
              </w:rPr>
            </w:pPr>
            <w:r>
              <w:rPr>
                <w:color w:val="2A2A2A"/>
                <w:sz w:val="20"/>
                <w:szCs w:val="20"/>
              </w:rPr>
              <w:t>Adequate renal, and hematologic function*</w:t>
            </w:r>
          </w:p>
          <w:p w:rsidR="006C7050" w:rsidRDefault="000E4B50">
            <w:pPr>
              <w:widowControl w:val="0"/>
              <w:spacing w:before="80"/>
              <w:rPr>
                <w:color w:val="2A2A2A"/>
                <w:sz w:val="20"/>
                <w:szCs w:val="20"/>
              </w:rPr>
            </w:pPr>
            <w:r>
              <w:rPr>
                <w:color w:val="2A2A2A"/>
                <w:sz w:val="20"/>
                <w:szCs w:val="20"/>
              </w:rPr>
              <w:t xml:space="preserve">No prior history of HIV or Hepatitis B/C based on ICD </w:t>
            </w:r>
            <w:r>
              <w:rPr>
                <w:color w:val="2A2A2A"/>
                <w:sz w:val="20"/>
                <w:szCs w:val="20"/>
              </w:rPr>
              <w:lastRenderedPageBreak/>
              <w:t>codes</w:t>
            </w:r>
          </w:p>
        </w:tc>
        <w:tc>
          <w:tcPr>
            <w:tcW w:w="18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i/>
                <w:color w:val="2A2A2A"/>
                <w:sz w:val="20"/>
                <w:szCs w:val="20"/>
              </w:rPr>
            </w:pPr>
            <w:r>
              <w:rPr>
                <w:color w:val="2A2A2A"/>
                <w:sz w:val="20"/>
                <w:szCs w:val="20"/>
              </w:rPr>
              <w:lastRenderedPageBreak/>
              <w:t xml:space="preserve">Non-squamous cell </w:t>
            </w:r>
            <w:proofErr w:type="spellStart"/>
            <w:r>
              <w:rPr>
                <w:color w:val="2A2A2A"/>
                <w:sz w:val="20"/>
                <w:szCs w:val="20"/>
              </w:rPr>
              <w:t>aNSCLC</w:t>
            </w:r>
            <w:proofErr w:type="spellEnd"/>
            <w:r>
              <w:rPr>
                <w:color w:val="2A2A2A"/>
                <w:sz w:val="20"/>
                <w:szCs w:val="20"/>
              </w:rPr>
              <w:t xml:space="preserve"> </w:t>
            </w:r>
            <w:r>
              <w:rPr>
                <w:i/>
                <w:color w:val="2A2A2A"/>
                <w:sz w:val="20"/>
                <w:szCs w:val="20"/>
              </w:rPr>
              <w:t>EGFR T790M-positive</w:t>
            </w:r>
          </w:p>
          <w:p w:rsidR="006C7050" w:rsidRDefault="000E4B50">
            <w:pPr>
              <w:widowControl w:val="0"/>
              <w:spacing w:before="80"/>
              <w:rPr>
                <w:color w:val="2A2A2A"/>
                <w:sz w:val="20"/>
                <w:szCs w:val="20"/>
              </w:rPr>
            </w:pPr>
            <w:r>
              <w:rPr>
                <w:color w:val="2A2A2A"/>
                <w:sz w:val="20"/>
                <w:szCs w:val="20"/>
              </w:rPr>
              <w:t xml:space="preserve">Progressed following prior therapy with a </w:t>
            </w:r>
            <w:proofErr w:type="gramStart"/>
            <w:r>
              <w:rPr>
                <w:color w:val="2A2A2A"/>
                <w:sz w:val="20"/>
                <w:szCs w:val="20"/>
              </w:rPr>
              <w:t>first  generatio</w:t>
            </w:r>
            <w:r>
              <w:rPr>
                <w:color w:val="2A2A2A"/>
                <w:sz w:val="20"/>
                <w:szCs w:val="20"/>
              </w:rPr>
              <w:t>n</w:t>
            </w:r>
            <w:proofErr w:type="gramEnd"/>
            <w:r>
              <w:rPr>
                <w:color w:val="2A2A2A"/>
                <w:sz w:val="20"/>
                <w:szCs w:val="20"/>
              </w:rPr>
              <w:t xml:space="preserve"> EGFR TKI agent</w:t>
            </w:r>
          </w:p>
          <w:p w:rsidR="006C7050" w:rsidRDefault="000E4B50">
            <w:pPr>
              <w:widowControl w:val="0"/>
              <w:spacing w:before="80"/>
              <w:rPr>
                <w:color w:val="2A2A2A"/>
                <w:sz w:val="20"/>
                <w:szCs w:val="20"/>
              </w:rPr>
            </w:pPr>
            <w:r>
              <w:rPr>
                <w:color w:val="2A2A2A"/>
                <w:sz w:val="20"/>
                <w:szCs w:val="20"/>
              </w:rPr>
              <w:t>ECOG PS not greater than 1, including missing ECOG</w:t>
            </w:r>
          </w:p>
          <w:p w:rsidR="006C7050" w:rsidRDefault="000E4B50">
            <w:pPr>
              <w:widowControl w:val="0"/>
              <w:spacing w:before="80"/>
              <w:rPr>
                <w:color w:val="2A2A2A"/>
                <w:sz w:val="20"/>
                <w:szCs w:val="20"/>
              </w:rPr>
            </w:pPr>
            <w:r>
              <w:rPr>
                <w:color w:val="2A2A2A"/>
                <w:sz w:val="20"/>
                <w:szCs w:val="20"/>
              </w:rPr>
              <w:t xml:space="preserve">Adequate renal, and </w:t>
            </w:r>
            <w:r>
              <w:rPr>
                <w:color w:val="2A2A2A"/>
                <w:sz w:val="20"/>
                <w:szCs w:val="20"/>
              </w:rPr>
              <w:lastRenderedPageBreak/>
              <w:t>hematologic function*</w:t>
            </w:r>
          </w:p>
          <w:p w:rsidR="006C7050" w:rsidRDefault="000E4B50">
            <w:pPr>
              <w:widowControl w:val="0"/>
              <w:spacing w:before="80"/>
              <w:rPr>
                <w:color w:val="2A2A2A"/>
                <w:sz w:val="20"/>
                <w:szCs w:val="20"/>
              </w:rPr>
            </w:pPr>
            <w:r>
              <w:rPr>
                <w:color w:val="2A2A2A"/>
                <w:sz w:val="20"/>
                <w:szCs w:val="20"/>
              </w:rPr>
              <w:t>No history of HIV or Hepatitis B/C based on ICD codes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color w:val="2A2A2A"/>
                <w:sz w:val="20"/>
                <w:szCs w:val="20"/>
              </w:rPr>
            </w:pPr>
            <w:r>
              <w:rPr>
                <w:color w:val="2A2A2A"/>
                <w:sz w:val="20"/>
                <w:szCs w:val="20"/>
              </w:rPr>
              <w:lastRenderedPageBreak/>
              <w:t>Squamous cell NSCLC with Stage IIIB/IV disease or with recurrent or progressive disease</w:t>
            </w:r>
          </w:p>
          <w:p w:rsidR="006C7050" w:rsidRDefault="000E4B50">
            <w:pPr>
              <w:widowControl w:val="0"/>
              <w:spacing w:before="80"/>
              <w:rPr>
                <w:color w:val="2A2A2A"/>
                <w:sz w:val="20"/>
                <w:szCs w:val="20"/>
              </w:rPr>
            </w:pPr>
            <w:r>
              <w:rPr>
                <w:color w:val="2A2A2A"/>
                <w:sz w:val="20"/>
                <w:szCs w:val="20"/>
              </w:rPr>
              <w:t>Progressed in one prior platinum doublet-based chemotherapy regimen</w:t>
            </w:r>
          </w:p>
          <w:p w:rsidR="006C7050" w:rsidRDefault="000E4B50">
            <w:pPr>
              <w:widowControl w:val="0"/>
              <w:spacing w:before="80"/>
              <w:rPr>
                <w:color w:val="2A2A2A"/>
                <w:sz w:val="20"/>
                <w:szCs w:val="20"/>
              </w:rPr>
            </w:pPr>
            <w:r>
              <w:rPr>
                <w:color w:val="2A2A2A"/>
                <w:sz w:val="20"/>
                <w:szCs w:val="20"/>
              </w:rPr>
              <w:t>ECOG PS not greater than 1, including missing ECOG</w:t>
            </w:r>
          </w:p>
          <w:p w:rsidR="006C7050" w:rsidRDefault="000E4B50">
            <w:pPr>
              <w:widowControl w:val="0"/>
              <w:spacing w:before="80"/>
              <w:rPr>
                <w:color w:val="2A2A2A"/>
                <w:sz w:val="20"/>
                <w:szCs w:val="20"/>
              </w:rPr>
            </w:pPr>
            <w:r>
              <w:rPr>
                <w:color w:val="2A2A2A"/>
                <w:sz w:val="20"/>
                <w:szCs w:val="20"/>
              </w:rPr>
              <w:lastRenderedPageBreak/>
              <w:t xml:space="preserve">No prior therapy with Docetaxel, anti-PD-1, anti-PD-L1, anti-PD-L2, anti-CD137, or anti-CTLA-4 antibody (including </w:t>
            </w:r>
            <w:proofErr w:type="spellStart"/>
            <w:r>
              <w:rPr>
                <w:color w:val="2A2A2A"/>
                <w:sz w:val="20"/>
                <w:szCs w:val="20"/>
              </w:rPr>
              <w:t>ipilimumab</w:t>
            </w:r>
            <w:proofErr w:type="spellEnd"/>
            <w:r>
              <w:rPr>
                <w:color w:val="2A2A2A"/>
                <w:sz w:val="20"/>
                <w:szCs w:val="20"/>
              </w:rPr>
              <w:t>)</w:t>
            </w:r>
          </w:p>
          <w:p w:rsidR="006C7050" w:rsidRDefault="000E4B50">
            <w:pPr>
              <w:widowControl w:val="0"/>
              <w:spacing w:before="80"/>
              <w:rPr>
                <w:color w:val="2A2A2A"/>
                <w:sz w:val="20"/>
                <w:szCs w:val="20"/>
              </w:rPr>
            </w:pPr>
            <w:r>
              <w:rPr>
                <w:color w:val="2A2A2A"/>
                <w:sz w:val="20"/>
                <w:szCs w:val="20"/>
              </w:rPr>
              <w:t>Adequate r</w:t>
            </w:r>
            <w:r>
              <w:rPr>
                <w:color w:val="2A2A2A"/>
                <w:sz w:val="20"/>
                <w:szCs w:val="20"/>
              </w:rPr>
              <w:t xml:space="preserve">enal, and hematologic function* </w:t>
            </w:r>
          </w:p>
          <w:p w:rsidR="006C7050" w:rsidRDefault="000E4B50">
            <w:pPr>
              <w:widowControl w:val="0"/>
              <w:spacing w:before="80"/>
              <w:rPr>
                <w:sz w:val="20"/>
                <w:szCs w:val="20"/>
              </w:rPr>
            </w:pPr>
            <w:r>
              <w:rPr>
                <w:color w:val="2A2A2A"/>
                <w:sz w:val="20"/>
                <w:szCs w:val="20"/>
              </w:rPr>
              <w:t>No history of HIV or Hepatitis B/C based on ICD codes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color w:val="2A2A2A"/>
                <w:sz w:val="20"/>
                <w:szCs w:val="20"/>
              </w:rPr>
            </w:pPr>
            <w:r>
              <w:rPr>
                <w:color w:val="2A2A2A"/>
                <w:sz w:val="20"/>
                <w:szCs w:val="20"/>
              </w:rPr>
              <w:lastRenderedPageBreak/>
              <w:t>Non-squamous cell NSCLC with Stage IIIB/IV disease or with recurrent or progressive disease</w:t>
            </w:r>
          </w:p>
          <w:p w:rsidR="006C7050" w:rsidRDefault="000E4B50">
            <w:pPr>
              <w:widowControl w:val="0"/>
              <w:spacing w:before="80"/>
              <w:rPr>
                <w:color w:val="2A2A2A"/>
                <w:sz w:val="20"/>
                <w:szCs w:val="20"/>
              </w:rPr>
            </w:pPr>
            <w:r>
              <w:rPr>
                <w:color w:val="2A2A2A"/>
                <w:sz w:val="20"/>
                <w:szCs w:val="20"/>
              </w:rPr>
              <w:t>Progressed in one prior platinum doublet-based chemotherapy regimen</w:t>
            </w:r>
          </w:p>
          <w:p w:rsidR="006C7050" w:rsidRDefault="000E4B50">
            <w:pPr>
              <w:widowControl w:val="0"/>
              <w:spacing w:before="80"/>
              <w:rPr>
                <w:color w:val="2A2A2A"/>
                <w:sz w:val="20"/>
                <w:szCs w:val="20"/>
              </w:rPr>
            </w:pPr>
            <w:r>
              <w:rPr>
                <w:color w:val="2A2A2A"/>
                <w:sz w:val="20"/>
                <w:szCs w:val="20"/>
              </w:rPr>
              <w:t>ECOG PS n</w:t>
            </w:r>
            <w:r>
              <w:rPr>
                <w:color w:val="2A2A2A"/>
                <w:sz w:val="20"/>
                <w:szCs w:val="20"/>
              </w:rPr>
              <w:t>ot greater than 2, including missing ECOG</w:t>
            </w:r>
          </w:p>
          <w:p w:rsidR="006C7050" w:rsidRDefault="000E4B50">
            <w:pPr>
              <w:widowControl w:val="0"/>
              <w:spacing w:before="80"/>
              <w:rPr>
                <w:color w:val="2A2A2A"/>
                <w:sz w:val="20"/>
                <w:szCs w:val="20"/>
              </w:rPr>
            </w:pPr>
            <w:r>
              <w:rPr>
                <w:color w:val="2A2A2A"/>
                <w:sz w:val="20"/>
                <w:szCs w:val="20"/>
              </w:rPr>
              <w:lastRenderedPageBreak/>
              <w:t xml:space="preserve">No prior therapy with Docetaxel, anti-PD-1, anti-PD-L1, anti-PD-L2, anti-CD137, or anti-CTLA-4 antibody (including </w:t>
            </w:r>
            <w:proofErr w:type="spellStart"/>
            <w:r>
              <w:rPr>
                <w:color w:val="2A2A2A"/>
                <w:sz w:val="20"/>
                <w:szCs w:val="20"/>
              </w:rPr>
              <w:t>ipilimumab</w:t>
            </w:r>
            <w:proofErr w:type="spellEnd"/>
            <w:r>
              <w:rPr>
                <w:color w:val="2A2A2A"/>
                <w:sz w:val="20"/>
                <w:szCs w:val="20"/>
              </w:rPr>
              <w:t>)</w:t>
            </w:r>
          </w:p>
          <w:p w:rsidR="006C7050" w:rsidRDefault="000E4B50">
            <w:pPr>
              <w:widowControl w:val="0"/>
              <w:spacing w:before="80"/>
              <w:rPr>
                <w:color w:val="2A2A2A"/>
                <w:sz w:val="20"/>
                <w:szCs w:val="20"/>
              </w:rPr>
            </w:pPr>
            <w:r>
              <w:rPr>
                <w:color w:val="2A2A2A"/>
                <w:sz w:val="20"/>
                <w:szCs w:val="20"/>
              </w:rPr>
              <w:t>Adequate renal, and hematologic function*</w:t>
            </w:r>
          </w:p>
          <w:p w:rsidR="006C7050" w:rsidRDefault="000E4B50">
            <w:pPr>
              <w:widowControl w:val="0"/>
              <w:spacing w:before="80"/>
              <w:rPr>
                <w:sz w:val="20"/>
                <w:szCs w:val="20"/>
              </w:rPr>
            </w:pPr>
            <w:r>
              <w:rPr>
                <w:color w:val="2A2A2A"/>
                <w:sz w:val="20"/>
                <w:szCs w:val="20"/>
              </w:rPr>
              <w:t>No history of HIV or Hepatitis B/C based on I</w:t>
            </w:r>
            <w:r>
              <w:rPr>
                <w:color w:val="2A2A2A"/>
                <w:sz w:val="20"/>
                <w:szCs w:val="20"/>
              </w:rPr>
              <w:t>CD codes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color w:val="2A2A2A"/>
                <w:sz w:val="20"/>
                <w:szCs w:val="20"/>
              </w:rPr>
            </w:pPr>
            <w:r>
              <w:rPr>
                <w:color w:val="2A2A2A"/>
                <w:sz w:val="20"/>
                <w:szCs w:val="20"/>
              </w:rPr>
              <w:lastRenderedPageBreak/>
              <w:t>Chemotherapy-naive Non-squamous cell NSCLC with Stage IIIB/IV disease</w:t>
            </w:r>
          </w:p>
          <w:p w:rsidR="006C7050" w:rsidRDefault="000E4B50">
            <w:pPr>
              <w:widowControl w:val="0"/>
              <w:spacing w:before="80"/>
              <w:rPr>
                <w:color w:val="2A2A2A"/>
                <w:sz w:val="20"/>
                <w:szCs w:val="20"/>
              </w:rPr>
            </w:pPr>
            <w:r>
              <w:rPr>
                <w:color w:val="2A2A2A"/>
                <w:sz w:val="20"/>
                <w:szCs w:val="20"/>
              </w:rPr>
              <w:t xml:space="preserve">No targetable </w:t>
            </w:r>
            <w:r>
              <w:rPr>
                <w:i/>
                <w:color w:val="2A2A2A"/>
                <w:sz w:val="20"/>
                <w:szCs w:val="20"/>
              </w:rPr>
              <w:t>EGFR</w:t>
            </w:r>
            <w:r>
              <w:rPr>
                <w:color w:val="2A2A2A"/>
                <w:sz w:val="20"/>
                <w:szCs w:val="20"/>
              </w:rPr>
              <w:t xml:space="preserve"> or </w:t>
            </w:r>
            <w:r>
              <w:rPr>
                <w:i/>
                <w:color w:val="2A2A2A"/>
                <w:sz w:val="20"/>
                <w:szCs w:val="20"/>
              </w:rPr>
              <w:t>ALK</w:t>
            </w:r>
            <w:r>
              <w:rPr>
                <w:color w:val="2A2A2A"/>
                <w:sz w:val="20"/>
                <w:szCs w:val="20"/>
              </w:rPr>
              <w:t xml:space="preserve"> genetic aberrations</w:t>
            </w:r>
          </w:p>
          <w:p w:rsidR="006C7050" w:rsidRDefault="000E4B50">
            <w:pPr>
              <w:widowControl w:val="0"/>
              <w:spacing w:before="80"/>
              <w:rPr>
                <w:color w:val="2A2A2A"/>
                <w:sz w:val="20"/>
                <w:szCs w:val="20"/>
              </w:rPr>
            </w:pPr>
            <w:r>
              <w:rPr>
                <w:color w:val="2A2A2A"/>
                <w:sz w:val="20"/>
                <w:szCs w:val="20"/>
              </w:rPr>
              <w:t>ECOG PS not greater than 1, including missing ECOG</w:t>
            </w:r>
          </w:p>
          <w:p w:rsidR="006C7050" w:rsidRDefault="000E4B50">
            <w:pPr>
              <w:widowControl w:val="0"/>
              <w:spacing w:before="80"/>
              <w:rPr>
                <w:color w:val="2A2A2A"/>
                <w:sz w:val="20"/>
                <w:szCs w:val="20"/>
              </w:rPr>
            </w:pPr>
            <w:r>
              <w:rPr>
                <w:color w:val="2A2A2A"/>
                <w:sz w:val="20"/>
                <w:szCs w:val="20"/>
              </w:rPr>
              <w:t xml:space="preserve">Adequate renal, and </w:t>
            </w:r>
            <w:r>
              <w:rPr>
                <w:color w:val="2A2A2A"/>
                <w:sz w:val="20"/>
                <w:szCs w:val="20"/>
              </w:rPr>
              <w:lastRenderedPageBreak/>
              <w:t xml:space="preserve">hematologic function* </w:t>
            </w:r>
          </w:p>
          <w:p w:rsidR="006C7050" w:rsidRDefault="000E4B50">
            <w:pPr>
              <w:widowControl w:val="0"/>
              <w:spacing w:before="80"/>
              <w:rPr>
                <w:sz w:val="20"/>
                <w:szCs w:val="20"/>
              </w:rPr>
            </w:pPr>
            <w:r>
              <w:rPr>
                <w:color w:val="2A2A2A"/>
                <w:sz w:val="20"/>
                <w:szCs w:val="20"/>
              </w:rPr>
              <w:t>No history of HIV or Hepatitis B/C ba</w:t>
            </w:r>
            <w:r>
              <w:rPr>
                <w:color w:val="2A2A2A"/>
                <w:sz w:val="20"/>
                <w:szCs w:val="20"/>
              </w:rPr>
              <w:t>sed on ICD codes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color w:val="2A2A2A"/>
                <w:sz w:val="20"/>
                <w:szCs w:val="20"/>
              </w:rPr>
            </w:pPr>
            <w:r>
              <w:rPr>
                <w:color w:val="2A2A2A"/>
                <w:sz w:val="20"/>
                <w:szCs w:val="20"/>
              </w:rPr>
              <w:lastRenderedPageBreak/>
              <w:t xml:space="preserve">Previously untreated </w:t>
            </w:r>
            <w:proofErr w:type="spellStart"/>
            <w:r>
              <w:rPr>
                <w:color w:val="2A2A2A"/>
                <w:sz w:val="20"/>
                <w:szCs w:val="20"/>
              </w:rPr>
              <w:t>aNSCLC</w:t>
            </w:r>
            <w:proofErr w:type="spellEnd"/>
            <w:r>
              <w:rPr>
                <w:color w:val="2A2A2A"/>
                <w:sz w:val="20"/>
                <w:szCs w:val="20"/>
              </w:rPr>
              <w:t xml:space="preserve"> patients with PD-L1 expression on at least 50% of tumor cells</w:t>
            </w:r>
          </w:p>
          <w:p w:rsidR="006C7050" w:rsidRDefault="000E4B50">
            <w:pPr>
              <w:widowControl w:val="0"/>
              <w:spacing w:before="80"/>
              <w:rPr>
                <w:color w:val="2A2A2A"/>
                <w:sz w:val="20"/>
                <w:szCs w:val="20"/>
              </w:rPr>
            </w:pPr>
            <w:r>
              <w:rPr>
                <w:color w:val="2A2A2A"/>
                <w:sz w:val="20"/>
                <w:szCs w:val="20"/>
              </w:rPr>
              <w:t xml:space="preserve">No targetable </w:t>
            </w:r>
            <w:r>
              <w:rPr>
                <w:i/>
                <w:color w:val="2A2A2A"/>
                <w:sz w:val="20"/>
                <w:szCs w:val="20"/>
              </w:rPr>
              <w:t>EGFR</w:t>
            </w:r>
            <w:r>
              <w:rPr>
                <w:color w:val="2A2A2A"/>
                <w:sz w:val="20"/>
                <w:szCs w:val="20"/>
              </w:rPr>
              <w:t xml:space="preserve"> or </w:t>
            </w:r>
            <w:r>
              <w:rPr>
                <w:i/>
                <w:color w:val="2A2A2A"/>
                <w:sz w:val="20"/>
                <w:szCs w:val="20"/>
              </w:rPr>
              <w:t>ALK</w:t>
            </w:r>
            <w:r>
              <w:rPr>
                <w:color w:val="2A2A2A"/>
                <w:sz w:val="20"/>
                <w:szCs w:val="20"/>
              </w:rPr>
              <w:t xml:space="preserve"> genetic aberrations</w:t>
            </w:r>
          </w:p>
          <w:p w:rsidR="006C7050" w:rsidRDefault="000E4B50">
            <w:pPr>
              <w:widowControl w:val="0"/>
              <w:spacing w:before="80"/>
              <w:rPr>
                <w:color w:val="2A2A2A"/>
                <w:sz w:val="20"/>
                <w:szCs w:val="20"/>
              </w:rPr>
            </w:pPr>
            <w:r>
              <w:rPr>
                <w:color w:val="2A2A2A"/>
                <w:sz w:val="20"/>
                <w:szCs w:val="20"/>
              </w:rPr>
              <w:t>ECOG PS not greater than 1, including missing ECOG</w:t>
            </w:r>
          </w:p>
          <w:p w:rsidR="006C7050" w:rsidRDefault="000E4B50">
            <w:pPr>
              <w:widowControl w:val="0"/>
              <w:spacing w:before="80"/>
              <w:rPr>
                <w:color w:val="2A2A2A"/>
                <w:sz w:val="20"/>
                <w:szCs w:val="20"/>
              </w:rPr>
            </w:pPr>
            <w:r>
              <w:rPr>
                <w:color w:val="2A2A2A"/>
                <w:sz w:val="20"/>
                <w:szCs w:val="20"/>
              </w:rPr>
              <w:lastRenderedPageBreak/>
              <w:t>Adequate renal, and hematologic function*</w:t>
            </w:r>
          </w:p>
          <w:p w:rsidR="006C7050" w:rsidRDefault="000E4B50">
            <w:pPr>
              <w:widowControl w:val="0"/>
              <w:spacing w:before="80"/>
              <w:rPr>
                <w:sz w:val="20"/>
                <w:szCs w:val="20"/>
              </w:rPr>
            </w:pPr>
            <w:r>
              <w:rPr>
                <w:color w:val="2A2A2A"/>
                <w:sz w:val="20"/>
                <w:szCs w:val="20"/>
              </w:rPr>
              <w:t>No history</w:t>
            </w:r>
            <w:r>
              <w:rPr>
                <w:color w:val="2A2A2A"/>
                <w:sz w:val="20"/>
                <w:szCs w:val="20"/>
              </w:rPr>
              <w:t xml:space="preserve"> of HIV or Hepatitis B/C based on ICD codes</w:t>
            </w:r>
          </w:p>
        </w:tc>
        <w:tc>
          <w:tcPr>
            <w:tcW w:w="188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6C7050" w:rsidRDefault="000E4B50">
            <w:pPr>
              <w:widowControl w:val="0"/>
              <w:spacing w:before="80"/>
              <w:rPr>
                <w:color w:val="2A2A2A"/>
                <w:sz w:val="20"/>
                <w:szCs w:val="20"/>
              </w:rPr>
            </w:pPr>
            <w:r>
              <w:rPr>
                <w:color w:val="2A2A2A"/>
                <w:sz w:val="20"/>
                <w:szCs w:val="20"/>
              </w:rPr>
              <w:lastRenderedPageBreak/>
              <w:t>Stage IIIB, Stage IV, or recurrent NSCLC</w:t>
            </w:r>
          </w:p>
          <w:p w:rsidR="006C7050" w:rsidRDefault="000E4B50">
            <w:pPr>
              <w:widowControl w:val="0"/>
              <w:spacing w:before="80"/>
              <w:rPr>
                <w:color w:val="2A2A2A"/>
                <w:sz w:val="20"/>
                <w:szCs w:val="20"/>
              </w:rPr>
            </w:pPr>
            <w:r>
              <w:rPr>
                <w:color w:val="2A2A2A"/>
                <w:sz w:val="20"/>
                <w:szCs w:val="20"/>
              </w:rPr>
              <w:t>Had one to two previous cytotoxic chemotherapy regimens (one or more platinum based combination therapies) for stage IIIB or IV disease</w:t>
            </w:r>
          </w:p>
          <w:p w:rsidR="006C7050" w:rsidRDefault="000E4B50">
            <w:pPr>
              <w:widowControl w:val="0"/>
              <w:spacing w:before="80"/>
              <w:rPr>
                <w:color w:val="2A2A2A"/>
                <w:sz w:val="20"/>
                <w:szCs w:val="20"/>
              </w:rPr>
            </w:pPr>
            <w:r>
              <w:rPr>
                <w:color w:val="2A2A2A"/>
                <w:sz w:val="20"/>
                <w:szCs w:val="20"/>
              </w:rPr>
              <w:t>ECOG PS not greater than 1, includi</w:t>
            </w:r>
            <w:r>
              <w:rPr>
                <w:color w:val="2A2A2A"/>
                <w:sz w:val="20"/>
                <w:szCs w:val="20"/>
              </w:rPr>
              <w:t xml:space="preserve">ng missing </w:t>
            </w:r>
            <w:r>
              <w:rPr>
                <w:color w:val="2A2A2A"/>
                <w:sz w:val="20"/>
                <w:szCs w:val="20"/>
              </w:rPr>
              <w:lastRenderedPageBreak/>
              <w:t>ECOG</w:t>
            </w:r>
          </w:p>
          <w:p w:rsidR="006C7050" w:rsidRDefault="000E4B50">
            <w:pPr>
              <w:widowControl w:val="0"/>
              <w:spacing w:before="80"/>
              <w:rPr>
                <w:color w:val="2A2A2A"/>
                <w:sz w:val="20"/>
                <w:szCs w:val="20"/>
              </w:rPr>
            </w:pPr>
            <w:r>
              <w:rPr>
                <w:color w:val="2A2A2A"/>
                <w:sz w:val="20"/>
                <w:szCs w:val="20"/>
              </w:rPr>
              <w:t>No prior treatment with Docetaxel, CD137 agonists, anti-CTLA4, anti-PD-1, or anti-PD-L1 therapeutic antibody or pathway-targeting agents</w:t>
            </w:r>
          </w:p>
          <w:p w:rsidR="006C7050" w:rsidRDefault="000E4B50">
            <w:pPr>
              <w:widowControl w:val="0"/>
              <w:spacing w:before="80"/>
              <w:rPr>
                <w:color w:val="2A2A2A"/>
                <w:sz w:val="20"/>
                <w:szCs w:val="20"/>
              </w:rPr>
            </w:pPr>
            <w:r>
              <w:rPr>
                <w:color w:val="2A2A2A"/>
                <w:sz w:val="20"/>
                <w:szCs w:val="20"/>
              </w:rPr>
              <w:t xml:space="preserve">Adequate renal, and hematologic function* </w:t>
            </w:r>
          </w:p>
          <w:p w:rsidR="006C7050" w:rsidRDefault="000E4B50">
            <w:pPr>
              <w:widowControl w:val="0"/>
              <w:spacing w:before="80"/>
              <w:rPr>
                <w:sz w:val="20"/>
                <w:szCs w:val="20"/>
              </w:rPr>
            </w:pPr>
            <w:r>
              <w:rPr>
                <w:color w:val="2A2A2A"/>
                <w:sz w:val="20"/>
                <w:szCs w:val="20"/>
              </w:rPr>
              <w:t>No history of HIV or Hepatitis B/C based on ICD codes</w:t>
            </w:r>
          </w:p>
        </w:tc>
      </w:tr>
    </w:tbl>
    <w:p w:rsidR="006C7050" w:rsidRDefault="000E4B50">
      <w:pPr>
        <w:widowControl w:val="0"/>
        <w:spacing w:before="80"/>
      </w:pPr>
      <w:r>
        <w:rPr>
          <w:color w:val="2A2A2A"/>
          <w:sz w:val="20"/>
          <w:szCs w:val="20"/>
        </w:rPr>
        <w:lastRenderedPageBreak/>
        <w:t>CTLA-4=cytotoxic-T-lymphocyte-associated antigen 4; ECOG PS=Eastern Cooperative Oncology Group performance status; HIV=human immunodeficiency virus; PD-1=programmed cell death-1; PD-L1(</w:t>
      </w:r>
      <w:proofErr w:type="gramStart"/>
      <w:r>
        <w:rPr>
          <w:color w:val="2A2A2A"/>
          <w:sz w:val="20"/>
          <w:szCs w:val="20"/>
        </w:rPr>
        <w:t>2)=</w:t>
      </w:r>
      <w:proofErr w:type="gramEnd"/>
      <w:r>
        <w:rPr>
          <w:color w:val="2A2A2A"/>
          <w:sz w:val="20"/>
          <w:szCs w:val="20"/>
        </w:rPr>
        <w:t>programmed cell death-ligand 1(2)</w:t>
      </w:r>
    </w:p>
    <w:p w:rsidR="006C7050" w:rsidRDefault="000E4B50">
      <w:pPr>
        <w:rPr>
          <w:color w:val="2A2A2A"/>
          <w:sz w:val="20"/>
          <w:szCs w:val="20"/>
        </w:rPr>
      </w:pPr>
      <w:r>
        <w:t>*</w:t>
      </w:r>
      <w:r>
        <w:rPr>
          <w:color w:val="2A2A2A"/>
          <w:sz w:val="20"/>
          <w:szCs w:val="20"/>
        </w:rPr>
        <w:t>As determined by lab testing valu</w:t>
      </w:r>
      <w:r>
        <w:rPr>
          <w:color w:val="2A2A2A"/>
          <w:sz w:val="20"/>
          <w:szCs w:val="20"/>
        </w:rPr>
        <w:t>es in the corresponding study protocol</w:t>
      </w:r>
    </w:p>
    <w:p w:rsidR="006C7050" w:rsidRDefault="006C7050">
      <w:pPr>
        <w:rPr>
          <w:color w:val="2A2A2A"/>
          <w:sz w:val="20"/>
          <w:szCs w:val="20"/>
        </w:rPr>
      </w:pPr>
    </w:p>
    <w:p w:rsidR="006C7050" w:rsidRDefault="006C7050">
      <w:pPr>
        <w:rPr>
          <w:color w:val="2A2A2A"/>
          <w:sz w:val="20"/>
          <w:szCs w:val="20"/>
        </w:rPr>
      </w:pPr>
    </w:p>
    <w:p w:rsidR="006C7050" w:rsidRDefault="000E4B50">
      <w:pPr>
        <w:rPr>
          <w:color w:val="2A2A2A"/>
          <w:sz w:val="20"/>
          <w:szCs w:val="20"/>
        </w:rPr>
      </w:pPr>
      <w:r>
        <w:br w:type="page"/>
      </w:r>
    </w:p>
    <w:p w:rsidR="006C7050" w:rsidRDefault="00A77320">
      <w:pPr>
        <w:pStyle w:val="Heading3"/>
        <w:rPr>
          <w:b/>
        </w:rPr>
      </w:pPr>
      <w:bookmarkStart w:id="12" w:name="_1t3h5sf" w:colFirst="0" w:colLast="0"/>
      <w:bookmarkEnd w:id="12"/>
      <w:r>
        <w:rPr>
          <w:b/>
        </w:rPr>
        <w:lastRenderedPageBreak/>
        <w:t xml:space="preserve">Supplementary </w:t>
      </w:r>
      <w:r w:rsidR="000E4B50">
        <w:rPr>
          <w:b/>
        </w:rPr>
        <w:t>Table 2. Inter-abstractor agreement in the assignment of response categories</w:t>
      </w:r>
    </w:p>
    <w:p w:rsidR="006C7050" w:rsidRDefault="000E4B50">
      <w:pPr>
        <w:numPr>
          <w:ilvl w:val="0"/>
          <w:numId w:val="1"/>
        </w:numPr>
        <w:spacing w:line="480" w:lineRule="auto"/>
        <w:rPr>
          <w:color w:val="000000"/>
          <w:sz w:val="20"/>
          <w:szCs w:val="20"/>
        </w:rPr>
      </w:pPr>
      <w:r>
        <w:rPr>
          <w:color w:val="000000"/>
          <w:sz w:val="20"/>
          <w:szCs w:val="20"/>
        </w:rPr>
        <w:t>Best response assignment agreement, without required confirmation</w:t>
      </w:r>
    </w:p>
    <w:tbl>
      <w:tblPr>
        <w:tblStyle w:val="a0"/>
        <w:tblW w:w="12985" w:type="dxa"/>
        <w:tblBorders>
          <w:top w:val="nil"/>
          <w:left w:val="nil"/>
          <w:bottom w:val="nil"/>
          <w:right w:val="nil"/>
          <w:insideH w:val="nil"/>
          <w:insideV w:val="nil"/>
        </w:tblBorders>
        <w:tblLayout w:type="fixed"/>
        <w:tblLook w:val="0600" w:firstRow="0" w:lastRow="0" w:firstColumn="0" w:lastColumn="0" w:noHBand="1" w:noVBand="1"/>
      </w:tblPr>
      <w:tblGrid>
        <w:gridCol w:w="1231"/>
        <w:gridCol w:w="1890"/>
        <w:gridCol w:w="1253"/>
        <w:gridCol w:w="1253"/>
        <w:gridCol w:w="1253"/>
        <w:gridCol w:w="1260"/>
        <w:gridCol w:w="1875"/>
        <w:gridCol w:w="1410"/>
        <w:gridCol w:w="1560"/>
      </w:tblGrid>
      <w:tr w:rsidR="006C7050">
        <w:trPr>
          <w:trHeight w:val="315"/>
        </w:trPr>
        <w:tc>
          <w:tcPr>
            <w:tcW w:w="3121" w:type="dxa"/>
            <w:gridSpan w:val="2"/>
            <w:vMerge w:val="restart"/>
            <w:tcBorders>
              <w:top w:val="single" w:sz="8" w:space="0" w:color="000000"/>
              <w:left w:val="single" w:sz="4" w:space="0" w:color="000000"/>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6C7050">
            <w:pPr>
              <w:widowControl w:val="0"/>
              <w:rPr>
                <w:color w:val="000000"/>
                <w:sz w:val="20"/>
                <w:szCs w:val="20"/>
              </w:rPr>
            </w:pPr>
          </w:p>
        </w:tc>
        <w:tc>
          <w:tcPr>
            <w:tcW w:w="9864" w:type="dxa"/>
            <w:gridSpan w:val="7"/>
            <w:tcBorders>
              <w:top w:val="single" w:sz="8" w:space="0" w:color="000000"/>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jc w:val="center"/>
              <w:rPr>
                <w:color w:val="000000"/>
                <w:sz w:val="20"/>
                <w:szCs w:val="20"/>
              </w:rPr>
            </w:pPr>
            <w:r>
              <w:rPr>
                <w:b/>
                <w:color w:val="000000"/>
                <w:sz w:val="20"/>
                <w:szCs w:val="20"/>
              </w:rPr>
              <w:t>Abstractor 2</w:t>
            </w:r>
          </w:p>
        </w:tc>
      </w:tr>
      <w:tr w:rsidR="006C7050">
        <w:trPr>
          <w:trHeight w:val="315"/>
        </w:trPr>
        <w:tc>
          <w:tcPr>
            <w:tcW w:w="3121" w:type="dxa"/>
            <w:gridSpan w:val="2"/>
            <w:vMerge/>
            <w:tcBorders>
              <w:top w:val="single" w:sz="8" w:space="0" w:color="000000"/>
              <w:left w:val="single" w:sz="4" w:space="0" w:color="000000"/>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6C7050">
            <w:pPr>
              <w:widowControl w:val="0"/>
              <w:pBdr>
                <w:top w:val="nil"/>
                <w:left w:val="nil"/>
                <w:bottom w:val="nil"/>
                <w:right w:val="nil"/>
                <w:between w:val="nil"/>
              </w:pBdr>
              <w:rPr>
                <w:color w:val="000000"/>
                <w:sz w:val="20"/>
                <w:szCs w:val="20"/>
              </w:rPr>
            </w:pP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CR</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PR</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SD</w:t>
            </w:r>
          </w:p>
        </w:tc>
        <w:tc>
          <w:tcPr>
            <w:tcW w:w="12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PD</w:t>
            </w:r>
          </w:p>
        </w:tc>
        <w:tc>
          <w:tcPr>
            <w:tcW w:w="187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proofErr w:type="spellStart"/>
            <w:r>
              <w:rPr>
                <w:color w:val="000000"/>
                <w:sz w:val="20"/>
                <w:szCs w:val="20"/>
              </w:rPr>
              <w:t>Pseudoprogression</w:t>
            </w:r>
            <w:proofErr w:type="spellEnd"/>
          </w:p>
        </w:tc>
        <w:tc>
          <w:tcPr>
            <w:tcW w:w="141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Indeterminate</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Not documented</w:t>
            </w:r>
          </w:p>
        </w:tc>
      </w:tr>
      <w:tr w:rsidR="006C7050">
        <w:trPr>
          <w:trHeight w:val="315"/>
        </w:trPr>
        <w:tc>
          <w:tcPr>
            <w:tcW w:w="1231" w:type="dxa"/>
            <w:vMerge w:val="restart"/>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b/>
                <w:color w:val="000000"/>
                <w:sz w:val="20"/>
                <w:szCs w:val="20"/>
              </w:rPr>
            </w:pPr>
            <w:r>
              <w:rPr>
                <w:b/>
                <w:color w:val="000000"/>
                <w:sz w:val="20"/>
                <w:szCs w:val="20"/>
              </w:rPr>
              <w:t>Abstractor 1</w:t>
            </w: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CR</w:t>
            </w:r>
          </w:p>
        </w:tc>
        <w:tc>
          <w:tcPr>
            <w:tcW w:w="1253"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17 (4.4%)</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4 (1.0%)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5 (1.3%)</w:t>
            </w:r>
          </w:p>
        </w:tc>
        <w:tc>
          <w:tcPr>
            <w:tcW w:w="12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87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41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PR</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6 (1.6%)</w:t>
            </w:r>
          </w:p>
        </w:tc>
        <w:tc>
          <w:tcPr>
            <w:tcW w:w="1253"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138 (35.9%)</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22 (5.7%)</w:t>
            </w:r>
          </w:p>
        </w:tc>
        <w:tc>
          <w:tcPr>
            <w:tcW w:w="12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3 (0.8%)</w:t>
            </w:r>
          </w:p>
        </w:tc>
        <w:tc>
          <w:tcPr>
            <w:tcW w:w="187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41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sz w:val="20"/>
                <w:szCs w:val="20"/>
              </w:rPr>
              <w:t>1</w:t>
            </w:r>
            <w:r>
              <w:rPr>
                <w:color w:val="000000"/>
                <w:sz w:val="20"/>
                <w:szCs w:val="20"/>
              </w:rPr>
              <w:t xml:space="preserve"> (0.</w:t>
            </w:r>
            <w:r>
              <w:rPr>
                <w:sz w:val="20"/>
                <w:szCs w:val="20"/>
              </w:rPr>
              <w:t>3</w:t>
            </w:r>
            <w:r>
              <w:rPr>
                <w:color w:val="000000"/>
                <w:sz w:val="20"/>
                <w:szCs w:val="20"/>
              </w:rPr>
              <w:t>%)</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SD</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3 (0.8%)</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13 (3.4%)</w:t>
            </w:r>
          </w:p>
        </w:tc>
        <w:tc>
          <w:tcPr>
            <w:tcW w:w="1253"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64 (16.7%)</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3 (0.8%)</w:t>
            </w:r>
          </w:p>
        </w:tc>
        <w:tc>
          <w:tcPr>
            <w:tcW w:w="187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41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sz w:val="20"/>
                <w:szCs w:val="20"/>
              </w:rPr>
              <w:t>1</w:t>
            </w:r>
            <w:r>
              <w:rPr>
                <w:color w:val="000000"/>
                <w:sz w:val="20"/>
                <w:szCs w:val="20"/>
              </w:rPr>
              <w:t xml:space="preserve"> (0.</w:t>
            </w:r>
            <w:r>
              <w:rPr>
                <w:sz w:val="20"/>
                <w:szCs w:val="20"/>
              </w:rPr>
              <w:t>3</w:t>
            </w:r>
            <w:r>
              <w:rPr>
                <w:color w:val="000000"/>
                <w:sz w:val="20"/>
                <w:szCs w:val="20"/>
              </w:rPr>
              <w:t>%)</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PD</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3 (0.8%)</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5 (1.3%)</w:t>
            </w:r>
          </w:p>
        </w:tc>
        <w:tc>
          <w:tcPr>
            <w:tcW w:w="1260"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86 (22.4%)</w:t>
            </w:r>
          </w:p>
        </w:tc>
        <w:tc>
          <w:tcPr>
            <w:tcW w:w="18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41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proofErr w:type="spellStart"/>
            <w:r>
              <w:rPr>
                <w:color w:val="000000"/>
                <w:sz w:val="20"/>
                <w:szCs w:val="20"/>
              </w:rPr>
              <w:t>Pseudoprogression</w:t>
            </w:r>
            <w:proofErr w:type="spellEnd"/>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875"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41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Indeterminate</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sz w:val="20"/>
                <w:szCs w:val="20"/>
              </w:rPr>
              <w:t>1</w:t>
            </w:r>
            <w:r>
              <w:rPr>
                <w:color w:val="000000"/>
                <w:sz w:val="20"/>
                <w:szCs w:val="20"/>
              </w:rPr>
              <w:t xml:space="preserve"> (0.</w:t>
            </w:r>
            <w:r>
              <w:rPr>
                <w:sz w:val="20"/>
                <w:szCs w:val="20"/>
              </w:rPr>
              <w:t>3</w:t>
            </w:r>
            <w:r>
              <w:rPr>
                <w:color w:val="000000"/>
                <w:sz w:val="20"/>
                <w:szCs w:val="20"/>
              </w:rPr>
              <w:t>%)</w:t>
            </w:r>
          </w:p>
        </w:tc>
        <w:tc>
          <w:tcPr>
            <w:tcW w:w="187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410"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5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Not documented</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2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87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41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560"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4 (1.0%)</w:t>
            </w:r>
          </w:p>
        </w:tc>
      </w:tr>
    </w:tbl>
    <w:p w:rsidR="006C7050" w:rsidRDefault="000E4B50">
      <w:pPr>
        <w:spacing w:line="480" w:lineRule="auto"/>
        <w:rPr>
          <w:color w:val="000000"/>
          <w:sz w:val="20"/>
          <w:szCs w:val="20"/>
        </w:rPr>
      </w:pPr>
      <w:r>
        <w:rPr>
          <w:color w:val="000000"/>
          <w:sz w:val="20"/>
          <w:szCs w:val="20"/>
        </w:rPr>
        <w:t xml:space="preserve"> </w:t>
      </w:r>
    </w:p>
    <w:p w:rsidR="006C7050" w:rsidRDefault="000E4B50">
      <w:pPr>
        <w:numPr>
          <w:ilvl w:val="0"/>
          <w:numId w:val="1"/>
        </w:numPr>
        <w:spacing w:line="480" w:lineRule="auto"/>
        <w:rPr>
          <w:color w:val="000000"/>
          <w:sz w:val="20"/>
          <w:szCs w:val="20"/>
        </w:rPr>
      </w:pPr>
      <w:r>
        <w:rPr>
          <w:color w:val="000000"/>
          <w:sz w:val="20"/>
          <w:szCs w:val="20"/>
        </w:rPr>
        <w:t xml:space="preserve">Best response assignment agreement, with required confirmation </w:t>
      </w:r>
    </w:p>
    <w:tbl>
      <w:tblPr>
        <w:tblStyle w:val="a1"/>
        <w:tblW w:w="12985" w:type="dxa"/>
        <w:tblBorders>
          <w:top w:val="nil"/>
          <w:left w:val="nil"/>
          <w:bottom w:val="nil"/>
          <w:right w:val="nil"/>
          <w:insideH w:val="nil"/>
          <w:insideV w:val="nil"/>
        </w:tblBorders>
        <w:tblLayout w:type="fixed"/>
        <w:tblLook w:val="0600" w:firstRow="0" w:lastRow="0" w:firstColumn="0" w:lastColumn="0" w:noHBand="1" w:noVBand="1"/>
      </w:tblPr>
      <w:tblGrid>
        <w:gridCol w:w="1231"/>
        <w:gridCol w:w="1890"/>
        <w:gridCol w:w="1253"/>
        <w:gridCol w:w="1253"/>
        <w:gridCol w:w="1253"/>
        <w:gridCol w:w="1245"/>
        <w:gridCol w:w="1860"/>
        <w:gridCol w:w="1350"/>
        <w:gridCol w:w="1650"/>
      </w:tblGrid>
      <w:tr w:rsidR="006C7050">
        <w:trPr>
          <w:trHeight w:val="315"/>
        </w:trPr>
        <w:tc>
          <w:tcPr>
            <w:tcW w:w="3121" w:type="dxa"/>
            <w:gridSpan w:val="2"/>
            <w:vMerge w:val="restart"/>
            <w:tcBorders>
              <w:top w:val="single" w:sz="8" w:space="0" w:color="000000"/>
              <w:left w:val="single" w:sz="4" w:space="0" w:color="000000"/>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6C7050">
            <w:pPr>
              <w:widowControl w:val="0"/>
              <w:rPr>
                <w:color w:val="000000"/>
                <w:sz w:val="20"/>
                <w:szCs w:val="20"/>
              </w:rPr>
            </w:pPr>
          </w:p>
        </w:tc>
        <w:tc>
          <w:tcPr>
            <w:tcW w:w="9864" w:type="dxa"/>
            <w:gridSpan w:val="7"/>
            <w:tcBorders>
              <w:top w:val="single" w:sz="8" w:space="0" w:color="000000"/>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jc w:val="center"/>
              <w:rPr>
                <w:color w:val="000000"/>
                <w:sz w:val="20"/>
                <w:szCs w:val="20"/>
              </w:rPr>
            </w:pPr>
            <w:r>
              <w:rPr>
                <w:b/>
                <w:color w:val="000000"/>
                <w:sz w:val="20"/>
                <w:szCs w:val="20"/>
              </w:rPr>
              <w:t>Abstractor 2</w:t>
            </w:r>
          </w:p>
        </w:tc>
      </w:tr>
      <w:tr w:rsidR="006C7050">
        <w:trPr>
          <w:trHeight w:val="315"/>
        </w:trPr>
        <w:tc>
          <w:tcPr>
            <w:tcW w:w="3121" w:type="dxa"/>
            <w:gridSpan w:val="2"/>
            <w:vMerge/>
            <w:tcBorders>
              <w:top w:val="single" w:sz="8" w:space="0" w:color="000000"/>
              <w:left w:val="single" w:sz="4" w:space="0" w:color="000000"/>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6C7050">
            <w:pPr>
              <w:widowControl w:val="0"/>
              <w:pBdr>
                <w:top w:val="nil"/>
                <w:left w:val="nil"/>
                <w:bottom w:val="nil"/>
                <w:right w:val="nil"/>
                <w:between w:val="nil"/>
              </w:pBdr>
              <w:rPr>
                <w:color w:val="000000"/>
                <w:sz w:val="20"/>
                <w:szCs w:val="20"/>
              </w:rPr>
            </w:pP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CR</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PR</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SD</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PD</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proofErr w:type="spellStart"/>
            <w:r>
              <w:rPr>
                <w:color w:val="000000"/>
                <w:sz w:val="20"/>
                <w:szCs w:val="20"/>
              </w:rPr>
              <w:t>Pseudoprogression</w:t>
            </w:r>
            <w:proofErr w:type="spellEnd"/>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Indeterminate</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vAlign w:val="bottom"/>
          </w:tcPr>
          <w:p w:rsidR="006C7050" w:rsidRDefault="000E4B50">
            <w:pPr>
              <w:widowControl w:val="0"/>
              <w:rPr>
                <w:color w:val="000000"/>
                <w:sz w:val="20"/>
                <w:szCs w:val="20"/>
              </w:rPr>
            </w:pPr>
            <w:r>
              <w:rPr>
                <w:color w:val="000000"/>
                <w:sz w:val="20"/>
                <w:szCs w:val="20"/>
              </w:rPr>
              <w:t>Not documented</w:t>
            </w:r>
          </w:p>
        </w:tc>
      </w:tr>
      <w:tr w:rsidR="006C7050">
        <w:trPr>
          <w:trHeight w:val="315"/>
        </w:trPr>
        <w:tc>
          <w:tcPr>
            <w:tcW w:w="1231" w:type="dxa"/>
            <w:vMerge w:val="restart"/>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b/>
                <w:color w:val="000000"/>
                <w:sz w:val="20"/>
                <w:szCs w:val="20"/>
              </w:rPr>
            </w:pPr>
            <w:r>
              <w:rPr>
                <w:b/>
                <w:color w:val="000000"/>
                <w:sz w:val="20"/>
                <w:szCs w:val="20"/>
              </w:rPr>
              <w:t>Abstractor 1</w:t>
            </w: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CR</w:t>
            </w:r>
          </w:p>
        </w:tc>
        <w:tc>
          <w:tcPr>
            <w:tcW w:w="1253"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6 (1.6%)</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2 (0.5%)</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5 (1.3%)</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PR</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5 (1.3%)</w:t>
            </w:r>
          </w:p>
        </w:tc>
        <w:tc>
          <w:tcPr>
            <w:tcW w:w="1253"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71 (18.5%)</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12 (3.1%)</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SD</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2 (0.5%)</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10 (2.6%)</w:t>
            </w:r>
          </w:p>
        </w:tc>
        <w:tc>
          <w:tcPr>
            <w:tcW w:w="1253"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144 (37.5%)</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13 (3.4%)</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sz w:val="20"/>
                <w:szCs w:val="20"/>
              </w:rPr>
              <w:t>2</w:t>
            </w:r>
            <w:r>
              <w:rPr>
                <w:color w:val="000000"/>
                <w:sz w:val="20"/>
                <w:szCs w:val="20"/>
              </w:rPr>
              <w:t xml:space="preserve"> (0.</w:t>
            </w:r>
            <w:r>
              <w:rPr>
                <w:sz w:val="20"/>
                <w:szCs w:val="20"/>
              </w:rPr>
              <w:t>5</w:t>
            </w:r>
            <w:r>
              <w:rPr>
                <w:color w:val="000000"/>
                <w:sz w:val="20"/>
                <w:szCs w:val="20"/>
              </w:rPr>
              <w:t>%)</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PD</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2 (0.5%)</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10 (2.6%)</w:t>
            </w:r>
          </w:p>
        </w:tc>
        <w:tc>
          <w:tcPr>
            <w:tcW w:w="1245"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91 (23.7%)</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proofErr w:type="spellStart"/>
            <w:r>
              <w:rPr>
                <w:color w:val="000000"/>
                <w:sz w:val="20"/>
                <w:szCs w:val="20"/>
              </w:rPr>
              <w:t>Pseudoprogression</w:t>
            </w:r>
            <w:proofErr w:type="spellEnd"/>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860"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Indeterminate</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sz w:val="20"/>
                <w:szCs w:val="20"/>
              </w:rPr>
              <w:t>1</w:t>
            </w:r>
            <w:r>
              <w:rPr>
                <w:color w:val="000000"/>
                <w:sz w:val="20"/>
                <w:szCs w:val="20"/>
              </w:rPr>
              <w:t xml:space="preserve"> (0.</w:t>
            </w:r>
            <w:r>
              <w:rPr>
                <w:sz w:val="20"/>
                <w:szCs w:val="20"/>
              </w:rPr>
              <w:t>3</w:t>
            </w:r>
            <w:r>
              <w:rPr>
                <w:color w:val="000000"/>
                <w:sz w:val="20"/>
                <w:szCs w:val="20"/>
              </w:rPr>
              <w:t>%)</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6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r>
      <w:tr w:rsidR="006C7050">
        <w:trPr>
          <w:trHeight w:val="315"/>
        </w:trPr>
        <w:tc>
          <w:tcPr>
            <w:tcW w:w="1231" w:type="dxa"/>
            <w:vMerge/>
            <w:tcBorders>
              <w:top w:val="single" w:sz="8" w:space="0" w:color="CCCCCC"/>
              <w:left w:val="single" w:sz="4" w:space="0" w:color="000000"/>
              <w:bottom w:val="single" w:sz="8" w:space="0" w:color="000000"/>
              <w:right w:val="single" w:sz="8" w:space="0" w:color="000000"/>
            </w:tcBorders>
            <w:shd w:val="clear" w:color="auto" w:fill="FCFCFC"/>
            <w:tcMar>
              <w:top w:w="40" w:type="dxa"/>
              <w:left w:w="40" w:type="dxa"/>
              <w:bottom w:w="40" w:type="dxa"/>
              <w:right w:w="40" w:type="dxa"/>
            </w:tcMar>
          </w:tcPr>
          <w:p w:rsidR="006C7050" w:rsidRDefault="006C7050">
            <w:pPr>
              <w:widowControl w:val="0"/>
              <w:pBdr>
                <w:top w:val="nil"/>
                <w:left w:val="nil"/>
                <w:bottom w:val="nil"/>
                <w:right w:val="nil"/>
                <w:between w:val="nil"/>
              </w:pBdr>
              <w:rPr>
                <w:color w:val="000000"/>
                <w:sz w:val="20"/>
                <w:szCs w:val="20"/>
              </w:rPr>
            </w:pPr>
          </w:p>
        </w:tc>
        <w:tc>
          <w:tcPr>
            <w:tcW w:w="189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Not documented</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253"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245"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1 (0.3%)</w:t>
            </w:r>
          </w:p>
        </w:tc>
        <w:tc>
          <w:tcPr>
            <w:tcW w:w="186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350" w:type="dxa"/>
            <w:tcBorders>
              <w:top w:val="single" w:sz="8" w:space="0" w:color="CCCCCC"/>
              <w:left w:val="single" w:sz="8" w:space="0" w:color="CCCCCC"/>
              <w:bottom w:val="single" w:sz="8" w:space="0" w:color="000000"/>
              <w:right w:val="single" w:sz="8" w:space="0" w:color="000000"/>
            </w:tcBorders>
            <w:shd w:val="clear" w:color="auto" w:fill="FCFCF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0 (0.0%)</w:t>
            </w:r>
          </w:p>
        </w:tc>
        <w:tc>
          <w:tcPr>
            <w:tcW w:w="1650" w:type="dxa"/>
            <w:tcBorders>
              <w:top w:val="single" w:sz="8" w:space="0" w:color="CCCCCC"/>
              <w:left w:val="single" w:sz="8" w:space="0" w:color="CCCCCC"/>
              <w:bottom w:val="single" w:sz="8" w:space="0" w:color="000000"/>
              <w:right w:val="single" w:sz="8" w:space="0" w:color="000000"/>
            </w:tcBorders>
            <w:shd w:val="clear" w:color="auto" w:fill="FFF2CC"/>
            <w:tcMar>
              <w:top w:w="40" w:type="dxa"/>
              <w:left w:w="40" w:type="dxa"/>
              <w:bottom w:w="40" w:type="dxa"/>
              <w:right w:w="40" w:type="dxa"/>
            </w:tcMar>
          </w:tcPr>
          <w:p w:rsidR="006C7050" w:rsidRDefault="000E4B50">
            <w:pPr>
              <w:widowControl w:val="0"/>
              <w:rPr>
                <w:color w:val="000000"/>
                <w:sz w:val="20"/>
                <w:szCs w:val="20"/>
              </w:rPr>
            </w:pPr>
            <w:r>
              <w:rPr>
                <w:color w:val="000000"/>
                <w:sz w:val="20"/>
                <w:szCs w:val="20"/>
              </w:rPr>
              <w:t>4 (1.0%)</w:t>
            </w:r>
          </w:p>
        </w:tc>
      </w:tr>
    </w:tbl>
    <w:p w:rsidR="006C7050" w:rsidRDefault="006C7050">
      <w:pPr>
        <w:spacing w:line="480" w:lineRule="auto"/>
        <w:rPr>
          <w:color w:val="2A2A2A"/>
          <w:sz w:val="20"/>
          <w:szCs w:val="20"/>
        </w:rPr>
      </w:pPr>
    </w:p>
    <w:p w:rsidR="006C7050" w:rsidRDefault="000E4B50">
      <w:pPr>
        <w:spacing w:line="480" w:lineRule="auto"/>
        <w:rPr>
          <w:color w:val="2A2A2A"/>
          <w:sz w:val="20"/>
          <w:szCs w:val="20"/>
        </w:rPr>
      </w:pPr>
      <w:bookmarkStart w:id="13" w:name="_4d34og8" w:colFirst="0" w:colLast="0"/>
      <w:bookmarkEnd w:id="13"/>
      <w:r>
        <w:br w:type="page"/>
      </w:r>
    </w:p>
    <w:p w:rsidR="006C7050" w:rsidRDefault="00A77320">
      <w:pPr>
        <w:pStyle w:val="Heading3"/>
        <w:rPr>
          <w:b/>
        </w:rPr>
      </w:pPr>
      <w:bookmarkStart w:id="14" w:name="_s1rro0no9hk3" w:colFirst="0" w:colLast="0"/>
      <w:bookmarkEnd w:id="14"/>
      <w:r>
        <w:rPr>
          <w:b/>
        </w:rPr>
        <w:lastRenderedPageBreak/>
        <w:t>Supplementary</w:t>
      </w:r>
      <w:bookmarkStart w:id="15" w:name="_GoBack"/>
      <w:bookmarkEnd w:id="15"/>
      <w:r w:rsidR="000E4B50">
        <w:rPr>
          <w:b/>
        </w:rPr>
        <w:t xml:space="preserve"> Table 3. Part 2 </w:t>
      </w:r>
      <w:proofErr w:type="spellStart"/>
      <w:r w:rsidR="000E4B50">
        <w:rPr>
          <w:b/>
        </w:rPr>
        <w:t>rwRR</w:t>
      </w:r>
      <w:proofErr w:type="spellEnd"/>
      <w:r w:rsidR="000E4B50">
        <w:rPr>
          <w:b/>
        </w:rPr>
        <w:t xml:space="preserve"> analysis results in specific clinical settings corresponding with </w:t>
      </w:r>
      <w:proofErr w:type="spellStart"/>
      <w:r w:rsidR="000E4B50">
        <w:rPr>
          <w:b/>
        </w:rPr>
        <w:t>registrational</w:t>
      </w:r>
      <w:proofErr w:type="spellEnd"/>
      <w:r w:rsidR="000E4B50">
        <w:rPr>
          <w:b/>
        </w:rPr>
        <w:t xml:space="preserve"> trials, in the context of the published results</w:t>
      </w:r>
    </w:p>
    <w:p w:rsidR="006C7050" w:rsidRDefault="006C7050">
      <w:pPr>
        <w:widowControl w:val="0"/>
      </w:pPr>
    </w:p>
    <w:tbl>
      <w:tblPr>
        <w:tblStyle w:val="a2"/>
        <w:tblW w:w="13110" w:type="dxa"/>
        <w:tblInd w:w="-110" w:type="dxa"/>
        <w:tblBorders>
          <w:top w:val="single" w:sz="6" w:space="0" w:color="000000"/>
          <w:bottom w:val="single" w:sz="6" w:space="0" w:color="000000"/>
          <w:insideH w:val="single" w:sz="6" w:space="0" w:color="000000"/>
        </w:tblBorders>
        <w:tblLayout w:type="fixed"/>
        <w:tblLook w:val="0600" w:firstRow="0" w:lastRow="0" w:firstColumn="0" w:lastColumn="0" w:noHBand="1" w:noVBand="1"/>
      </w:tblPr>
      <w:tblGrid>
        <w:gridCol w:w="1575"/>
        <w:gridCol w:w="4590"/>
        <w:gridCol w:w="1335"/>
        <w:gridCol w:w="2775"/>
        <w:gridCol w:w="435"/>
        <w:gridCol w:w="2400"/>
      </w:tblGrid>
      <w:tr w:rsidR="006C7050">
        <w:trPr>
          <w:trHeight w:val="280"/>
        </w:trPr>
        <w:tc>
          <w:tcPr>
            <w:tcW w:w="1575" w:type="dxa"/>
            <w:vMerge w:val="restart"/>
            <w:tcMar>
              <w:top w:w="40" w:type="dxa"/>
              <w:left w:w="40" w:type="dxa"/>
              <w:bottom w:w="40" w:type="dxa"/>
              <w:right w:w="40" w:type="dxa"/>
            </w:tcMar>
            <w:vAlign w:val="bottom"/>
          </w:tcPr>
          <w:p w:rsidR="006C7050" w:rsidRDefault="006C7050">
            <w:pPr>
              <w:widowControl w:val="0"/>
              <w:rPr>
                <w:sz w:val="20"/>
                <w:szCs w:val="20"/>
              </w:rPr>
            </w:pPr>
          </w:p>
          <w:p w:rsidR="006C7050" w:rsidRDefault="000E4B50">
            <w:pPr>
              <w:widowControl w:val="0"/>
              <w:rPr>
                <w:sz w:val="20"/>
                <w:szCs w:val="20"/>
              </w:rPr>
            </w:pPr>
            <w:r>
              <w:rPr>
                <w:sz w:val="20"/>
                <w:szCs w:val="20"/>
              </w:rPr>
              <w:t>Benchmark trial</w:t>
            </w:r>
          </w:p>
        </w:tc>
        <w:tc>
          <w:tcPr>
            <w:tcW w:w="4590" w:type="dxa"/>
            <w:vMerge w:val="restart"/>
            <w:tcMar>
              <w:top w:w="40" w:type="dxa"/>
              <w:left w:w="40" w:type="dxa"/>
              <w:bottom w:w="40" w:type="dxa"/>
              <w:right w:w="40" w:type="dxa"/>
            </w:tcMar>
            <w:vAlign w:val="bottom"/>
          </w:tcPr>
          <w:p w:rsidR="006C7050" w:rsidRDefault="006C7050">
            <w:pPr>
              <w:widowControl w:val="0"/>
              <w:rPr>
                <w:sz w:val="20"/>
                <w:szCs w:val="20"/>
              </w:rPr>
            </w:pPr>
          </w:p>
          <w:p w:rsidR="006C7050" w:rsidRDefault="000E4B50">
            <w:pPr>
              <w:widowControl w:val="0"/>
              <w:jc w:val="center"/>
              <w:rPr>
                <w:sz w:val="20"/>
                <w:szCs w:val="20"/>
              </w:rPr>
            </w:pPr>
            <w:r>
              <w:rPr>
                <w:sz w:val="20"/>
                <w:szCs w:val="20"/>
              </w:rPr>
              <w:t>Clinical setting/treatment</w:t>
            </w:r>
          </w:p>
        </w:tc>
        <w:tc>
          <w:tcPr>
            <w:tcW w:w="4110" w:type="dxa"/>
            <w:gridSpan w:val="2"/>
            <w:shd w:val="clear" w:color="auto" w:fill="auto"/>
            <w:tcMar>
              <w:top w:w="40" w:type="dxa"/>
              <w:left w:w="40" w:type="dxa"/>
              <w:bottom w:w="40" w:type="dxa"/>
              <w:right w:w="40" w:type="dxa"/>
            </w:tcMar>
            <w:vAlign w:val="bottom"/>
          </w:tcPr>
          <w:p w:rsidR="006C7050" w:rsidRDefault="000E4B50">
            <w:pPr>
              <w:widowControl w:val="0"/>
              <w:jc w:val="center"/>
              <w:rPr>
                <w:sz w:val="20"/>
                <w:szCs w:val="20"/>
              </w:rPr>
            </w:pPr>
            <w:r>
              <w:rPr>
                <w:sz w:val="20"/>
                <w:szCs w:val="20"/>
              </w:rPr>
              <w:t>Real-world cohorts</w:t>
            </w:r>
          </w:p>
        </w:tc>
        <w:tc>
          <w:tcPr>
            <w:tcW w:w="2835" w:type="dxa"/>
            <w:gridSpan w:val="2"/>
            <w:shd w:val="clear" w:color="auto" w:fill="auto"/>
            <w:tcMar>
              <w:top w:w="40" w:type="dxa"/>
              <w:left w:w="40" w:type="dxa"/>
              <w:bottom w:w="40" w:type="dxa"/>
              <w:right w:w="40" w:type="dxa"/>
            </w:tcMar>
            <w:vAlign w:val="bottom"/>
          </w:tcPr>
          <w:p w:rsidR="006C7050" w:rsidRDefault="000E4B50">
            <w:pPr>
              <w:widowControl w:val="0"/>
              <w:jc w:val="center"/>
              <w:rPr>
                <w:sz w:val="20"/>
                <w:szCs w:val="20"/>
              </w:rPr>
            </w:pPr>
            <w:r>
              <w:rPr>
                <w:sz w:val="20"/>
                <w:szCs w:val="20"/>
              </w:rPr>
              <w:t>Published clinical trial cohorts</w:t>
            </w:r>
          </w:p>
        </w:tc>
      </w:tr>
      <w:tr w:rsidR="006C7050">
        <w:trPr>
          <w:trHeight w:val="285"/>
        </w:trPr>
        <w:tc>
          <w:tcPr>
            <w:tcW w:w="1575" w:type="dxa"/>
            <w:vMerge/>
            <w:tcMar>
              <w:top w:w="40" w:type="dxa"/>
              <w:left w:w="40" w:type="dxa"/>
              <w:bottom w:w="40" w:type="dxa"/>
              <w:right w:w="40" w:type="dxa"/>
            </w:tcMar>
            <w:vAlign w:val="bottom"/>
          </w:tcPr>
          <w:p w:rsidR="006C7050" w:rsidRDefault="006C7050">
            <w:pPr>
              <w:widowControl w:val="0"/>
              <w:rPr>
                <w:sz w:val="20"/>
                <w:szCs w:val="20"/>
              </w:rPr>
            </w:pPr>
          </w:p>
        </w:tc>
        <w:tc>
          <w:tcPr>
            <w:tcW w:w="4590" w:type="dxa"/>
            <w:vMerge/>
            <w:tcMar>
              <w:top w:w="40" w:type="dxa"/>
              <w:left w:w="40" w:type="dxa"/>
              <w:bottom w:w="40" w:type="dxa"/>
              <w:right w:w="40" w:type="dxa"/>
            </w:tcMar>
            <w:vAlign w:val="bottom"/>
          </w:tcPr>
          <w:p w:rsidR="006C7050" w:rsidRDefault="006C7050">
            <w:pPr>
              <w:widowControl w:val="0"/>
              <w:rPr>
                <w:sz w:val="20"/>
                <w:szCs w:val="20"/>
              </w:rPr>
            </w:pPr>
          </w:p>
        </w:tc>
        <w:tc>
          <w:tcPr>
            <w:tcW w:w="1335" w:type="dxa"/>
            <w:shd w:val="clear" w:color="auto" w:fill="auto"/>
            <w:tcMar>
              <w:top w:w="40" w:type="dxa"/>
              <w:left w:w="40" w:type="dxa"/>
              <w:bottom w:w="40" w:type="dxa"/>
              <w:right w:w="40" w:type="dxa"/>
            </w:tcMar>
            <w:vAlign w:val="bottom"/>
          </w:tcPr>
          <w:p w:rsidR="006C7050" w:rsidRDefault="000E4B50">
            <w:pPr>
              <w:widowControl w:val="0"/>
              <w:spacing w:line="240" w:lineRule="auto"/>
              <w:jc w:val="center"/>
              <w:rPr>
                <w:sz w:val="20"/>
                <w:szCs w:val="20"/>
              </w:rPr>
            </w:pPr>
            <w:r>
              <w:rPr>
                <w:sz w:val="20"/>
                <w:szCs w:val="20"/>
              </w:rPr>
              <w:t>N</w:t>
            </w:r>
          </w:p>
        </w:tc>
        <w:tc>
          <w:tcPr>
            <w:tcW w:w="2775" w:type="dxa"/>
            <w:shd w:val="clear" w:color="auto" w:fill="auto"/>
            <w:tcMar>
              <w:top w:w="40" w:type="dxa"/>
              <w:left w:w="40" w:type="dxa"/>
              <w:bottom w:w="40" w:type="dxa"/>
              <w:right w:w="40" w:type="dxa"/>
            </w:tcMar>
            <w:vAlign w:val="bottom"/>
          </w:tcPr>
          <w:p w:rsidR="006C7050" w:rsidRDefault="000E4B50">
            <w:pPr>
              <w:widowControl w:val="0"/>
              <w:jc w:val="center"/>
              <w:rPr>
                <w:sz w:val="20"/>
                <w:szCs w:val="20"/>
                <w:vertAlign w:val="superscript"/>
              </w:rPr>
            </w:pPr>
            <w:r>
              <w:rPr>
                <w:sz w:val="20"/>
                <w:szCs w:val="20"/>
              </w:rPr>
              <w:t xml:space="preserve"> </w:t>
            </w:r>
            <w:proofErr w:type="spellStart"/>
            <w:r>
              <w:rPr>
                <w:sz w:val="20"/>
                <w:szCs w:val="20"/>
              </w:rPr>
              <w:t>rwRR</w:t>
            </w:r>
            <w:proofErr w:type="spellEnd"/>
            <w:r>
              <w:rPr>
                <w:sz w:val="20"/>
                <w:szCs w:val="20"/>
              </w:rPr>
              <w:t xml:space="preserve"> % (95% CI)</w:t>
            </w:r>
            <w:r>
              <w:rPr>
                <w:sz w:val="20"/>
                <w:szCs w:val="20"/>
                <w:vertAlign w:val="superscript"/>
              </w:rPr>
              <w:t>a</w:t>
            </w:r>
          </w:p>
        </w:tc>
        <w:tc>
          <w:tcPr>
            <w:tcW w:w="435" w:type="dxa"/>
            <w:shd w:val="clear" w:color="auto" w:fill="auto"/>
            <w:tcMar>
              <w:top w:w="40" w:type="dxa"/>
              <w:left w:w="40" w:type="dxa"/>
              <w:bottom w:w="40" w:type="dxa"/>
              <w:right w:w="40" w:type="dxa"/>
            </w:tcMar>
            <w:vAlign w:val="bottom"/>
          </w:tcPr>
          <w:p w:rsidR="006C7050" w:rsidRDefault="000E4B50">
            <w:pPr>
              <w:widowControl w:val="0"/>
              <w:jc w:val="center"/>
              <w:rPr>
                <w:sz w:val="20"/>
                <w:szCs w:val="20"/>
              </w:rPr>
            </w:pPr>
            <w:r>
              <w:rPr>
                <w:sz w:val="20"/>
                <w:szCs w:val="20"/>
              </w:rPr>
              <w:t>N</w:t>
            </w:r>
          </w:p>
        </w:tc>
        <w:tc>
          <w:tcPr>
            <w:tcW w:w="2400" w:type="dxa"/>
            <w:shd w:val="clear" w:color="auto" w:fill="auto"/>
            <w:tcMar>
              <w:top w:w="40" w:type="dxa"/>
              <w:left w:w="40" w:type="dxa"/>
              <w:bottom w:w="40" w:type="dxa"/>
              <w:right w:w="40" w:type="dxa"/>
            </w:tcMar>
            <w:vAlign w:val="bottom"/>
          </w:tcPr>
          <w:p w:rsidR="006C7050" w:rsidRDefault="000E4B50">
            <w:pPr>
              <w:widowControl w:val="0"/>
              <w:jc w:val="center"/>
              <w:rPr>
                <w:sz w:val="20"/>
                <w:szCs w:val="20"/>
              </w:rPr>
            </w:pPr>
            <w:r>
              <w:rPr>
                <w:sz w:val="20"/>
                <w:szCs w:val="20"/>
              </w:rPr>
              <w:t>ORR % (95% CI)</w:t>
            </w:r>
          </w:p>
        </w:tc>
      </w:tr>
      <w:tr w:rsidR="006C7050">
        <w:trPr>
          <w:trHeight w:val="270"/>
        </w:trPr>
        <w:tc>
          <w:tcPr>
            <w:tcW w:w="1575" w:type="dxa"/>
            <w:tcMar>
              <w:top w:w="40" w:type="dxa"/>
              <w:left w:w="40" w:type="dxa"/>
              <w:bottom w:w="40" w:type="dxa"/>
              <w:right w:w="40" w:type="dxa"/>
            </w:tcMar>
          </w:tcPr>
          <w:p w:rsidR="006C7050" w:rsidRDefault="000E4B50">
            <w:pPr>
              <w:widowControl w:val="0"/>
              <w:rPr>
                <w:sz w:val="20"/>
                <w:szCs w:val="20"/>
              </w:rPr>
            </w:pPr>
            <w:r>
              <w:rPr>
                <w:sz w:val="20"/>
                <w:szCs w:val="20"/>
              </w:rPr>
              <w:t>KEYNOTE-024</w:t>
            </w: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1L IO, PD-L1+/ </w:t>
            </w:r>
            <w:proofErr w:type="spellStart"/>
            <w:r>
              <w:rPr>
                <w:sz w:val="20"/>
                <w:szCs w:val="20"/>
              </w:rPr>
              <w:t>Pembrolizumab</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72</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42.5 (31.1, 54.8)</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69</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44.8 (36.8, 53.0)</w:t>
            </w:r>
          </w:p>
        </w:tc>
      </w:tr>
      <w:tr w:rsidR="006C7050">
        <w:trPr>
          <w:trHeight w:val="240"/>
        </w:trPr>
        <w:tc>
          <w:tcPr>
            <w:tcW w:w="1575" w:type="dxa"/>
            <w:vMerge w:val="restart"/>
            <w:tcMar>
              <w:top w:w="40" w:type="dxa"/>
              <w:left w:w="40" w:type="dxa"/>
              <w:bottom w:w="40" w:type="dxa"/>
              <w:right w:w="40" w:type="dxa"/>
            </w:tcMar>
          </w:tcPr>
          <w:p w:rsidR="006C7050" w:rsidRDefault="000E4B50">
            <w:pPr>
              <w:widowControl w:val="0"/>
              <w:rPr>
                <w:sz w:val="20"/>
                <w:szCs w:val="20"/>
              </w:rPr>
            </w:pPr>
            <w:r>
              <w:rPr>
                <w:color w:val="222222"/>
                <w:sz w:val="20"/>
                <w:szCs w:val="20"/>
              </w:rPr>
              <w:t xml:space="preserve">ALEX </w:t>
            </w: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1L, </w:t>
            </w:r>
            <w:r>
              <w:rPr>
                <w:i/>
                <w:sz w:val="20"/>
                <w:szCs w:val="20"/>
              </w:rPr>
              <w:t xml:space="preserve">ALK </w:t>
            </w:r>
            <w:proofErr w:type="spellStart"/>
            <w:r>
              <w:rPr>
                <w:i/>
                <w:sz w:val="20"/>
                <w:szCs w:val="20"/>
              </w:rPr>
              <w:t>rearrang</w:t>
            </w:r>
            <w:proofErr w:type="spellEnd"/>
            <w:r>
              <w:rPr>
                <w:i/>
                <w:sz w:val="20"/>
                <w:szCs w:val="20"/>
              </w:rPr>
              <w:t xml:space="preserve">/ </w:t>
            </w:r>
            <w:proofErr w:type="spellStart"/>
            <w:r>
              <w:rPr>
                <w:sz w:val="20"/>
                <w:szCs w:val="20"/>
              </w:rPr>
              <w:t>Alectinib</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60</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81.2 (69.1, 89.3)</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152</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82.9 (76.0, 88.5)</w:t>
            </w:r>
          </w:p>
        </w:tc>
      </w:tr>
      <w:tr w:rsidR="006C7050">
        <w:trPr>
          <w:trHeight w:val="45"/>
        </w:trPr>
        <w:tc>
          <w:tcPr>
            <w:tcW w:w="1575" w:type="dxa"/>
            <w:vMerge/>
            <w:tcMar>
              <w:top w:w="40" w:type="dxa"/>
              <w:left w:w="40" w:type="dxa"/>
              <w:bottom w:w="40" w:type="dxa"/>
              <w:right w:w="40" w:type="dxa"/>
            </w:tcMar>
          </w:tcPr>
          <w:p w:rsidR="006C7050" w:rsidRDefault="006C7050">
            <w:pPr>
              <w:widowControl w:val="0"/>
              <w:rPr>
                <w:sz w:val="20"/>
                <w:szCs w:val="20"/>
              </w:rPr>
            </w:pP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1L, </w:t>
            </w:r>
            <w:r>
              <w:rPr>
                <w:i/>
                <w:sz w:val="20"/>
                <w:szCs w:val="20"/>
              </w:rPr>
              <w:t xml:space="preserve">ALK </w:t>
            </w:r>
            <w:proofErr w:type="spellStart"/>
            <w:r>
              <w:rPr>
                <w:i/>
                <w:sz w:val="20"/>
                <w:szCs w:val="20"/>
              </w:rPr>
              <w:t>rearrang</w:t>
            </w:r>
            <w:proofErr w:type="spellEnd"/>
            <w:r>
              <w:rPr>
                <w:i/>
                <w:sz w:val="20"/>
                <w:szCs w:val="20"/>
              </w:rPr>
              <w:t xml:space="preserve">/ </w:t>
            </w:r>
            <w:proofErr w:type="spellStart"/>
            <w:r>
              <w:rPr>
                <w:sz w:val="20"/>
                <w:szCs w:val="20"/>
              </w:rPr>
              <w:t>Crizotinib</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145</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65.8 (51.5, 77.7)</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151</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75.5 (67.8, 82.1)</w:t>
            </w:r>
          </w:p>
        </w:tc>
      </w:tr>
      <w:tr w:rsidR="006C7050">
        <w:trPr>
          <w:trHeight w:val="120"/>
        </w:trPr>
        <w:tc>
          <w:tcPr>
            <w:tcW w:w="1575" w:type="dxa"/>
            <w:vMerge w:val="restart"/>
            <w:tcMar>
              <w:top w:w="40" w:type="dxa"/>
              <w:left w:w="40" w:type="dxa"/>
              <w:bottom w:w="40" w:type="dxa"/>
              <w:right w:w="40" w:type="dxa"/>
            </w:tcMar>
          </w:tcPr>
          <w:p w:rsidR="006C7050" w:rsidRDefault="000E4B50">
            <w:pPr>
              <w:widowControl w:val="0"/>
              <w:rPr>
                <w:sz w:val="20"/>
                <w:szCs w:val="20"/>
              </w:rPr>
            </w:pPr>
            <w:r>
              <w:rPr>
                <w:sz w:val="20"/>
                <w:szCs w:val="20"/>
              </w:rPr>
              <w:t>KEYNOTE-021</w:t>
            </w: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1L / </w:t>
            </w:r>
            <w:proofErr w:type="spellStart"/>
            <w:r>
              <w:rPr>
                <w:sz w:val="20"/>
                <w:szCs w:val="20"/>
              </w:rPr>
              <w:t>Pembrolizumab</w:t>
            </w:r>
            <w:proofErr w:type="spellEnd"/>
            <w:r>
              <w:rPr>
                <w:sz w:val="20"/>
                <w:szCs w:val="20"/>
              </w:rPr>
              <w:t xml:space="preserve"> + Carboplatin + </w:t>
            </w:r>
            <w:proofErr w:type="spellStart"/>
            <w:r>
              <w:rPr>
                <w:sz w:val="20"/>
                <w:szCs w:val="20"/>
              </w:rPr>
              <w:t>Pemetrexed</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121</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43.7 (34.3, 53.5)</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60</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55 (42, 68)</w:t>
            </w:r>
          </w:p>
        </w:tc>
      </w:tr>
      <w:tr w:rsidR="006C7050">
        <w:trPr>
          <w:trHeight w:val="75"/>
        </w:trPr>
        <w:tc>
          <w:tcPr>
            <w:tcW w:w="1575" w:type="dxa"/>
            <w:vMerge/>
            <w:tcMar>
              <w:top w:w="40" w:type="dxa"/>
              <w:left w:w="40" w:type="dxa"/>
              <w:bottom w:w="40" w:type="dxa"/>
              <w:right w:w="40" w:type="dxa"/>
            </w:tcMar>
          </w:tcPr>
          <w:p w:rsidR="006C7050" w:rsidRDefault="006C7050">
            <w:pPr>
              <w:widowControl w:val="0"/>
              <w:rPr>
                <w:sz w:val="20"/>
                <w:szCs w:val="20"/>
              </w:rPr>
            </w:pP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1L/ Carboplatin + </w:t>
            </w:r>
            <w:proofErr w:type="spellStart"/>
            <w:r>
              <w:rPr>
                <w:sz w:val="20"/>
                <w:szCs w:val="20"/>
              </w:rPr>
              <w:t>Pemetrexed</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83</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37.6 (27.3, 49.2)</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63</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29 (18, 41)</w:t>
            </w:r>
          </w:p>
        </w:tc>
      </w:tr>
      <w:tr w:rsidR="006C7050">
        <w:trPr>
          <w:trHeight w:val="120"/>
        </w:trPr>
        <w:tc>
          <w:tcPr>
            <w:tcW w:w="1575" w:type="dxa"/>
            <w:vMerge w:val="restart"/>
            <w:tcMar>
              <w:top w:w="40" w:type="dxa"/>
              <w:left w:w="40" w:type="dxa"/>
              <w:bottom w:w="40" w:type="dxa"/>
              <w:right w:w="40" w:type="dxa"/>
            </w:tcMar>
          </w:tcPr>
          <w:p w:rsidR="006C7050" w:rsidRDefault="000E4B50">
            <w:pPr>
              <w:widowControl w:val="0"/>
              <w:rPr>
                <w:sz w:val="20"/>
                <w:szCs w:val="20"/>
              </w:rPr>
            </w:pPr>
            <w:r>
              <w:rPr>
                <w:sz w:val="20"/>
                <w:szCs w:val="20"/>
              </w:rPr>
              <w:t>CheckMate-057</w:t>
            </w: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2L+ IO, non-</w:t>
            </w:r>
            <w:proofErr w:type="spellStart"/>
            <w:r>
              <w:rPr>
                <w:sz w:val="20"/>
                <w:szCs w:val="20"/>
              </w:rPr>
              <w:t>squam</w:t>
            </w:r>
            <w:proofErr w:type="spellEnd"/>
            <w:r>
              <w:rPr>
                <w:sz w:val="20"/>
                <w:szCs w:val="20"/>
              </w:rPr>
              <w:t xml:space="preserve">/ </w:t>
            </w:r>
            <w:proofErr w:type="spellStart"/>
            <w:r>
              <w:rPr>
                <w:sz w:val="20"/>
                <w:szCs w:val="20"/>
              </w:rPr>
              <w:t>Nivolumab</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83</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17.6 (10.4, 28.4)</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292</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19 (15, 24)</w:t>
            </w:r>
          </w:p>
        </w:tc>
      </w:tr>
      <w:tr w:rsidR="006C7050">
        <w:trPr>
          <w:trHeight w:val="165"/>
        </w:trPr>
        <w:tc>
          <w:tcPr>
            <w:tcW w:w="1575" w:type="dxa"/>
            <w:vMerge/>
            <w:tcMar>
              <w:top w:w="40" w:type="dxa"/>
              <w:left w:w="40" w:type="dxa"/>
              <w:bottom w:w="40" w:type="dxa"/>
              <w:right w:w="40" w:type="dxa"/>
            </w:tcMar>
          </w:tcPr>
          <w:p w:rsidR="006C7050" w:rsidRDefault="006C7050">
            <w:pPr>
              <w:widowControl w:val="0"/>
              <w:rPr>
                <w:sz w:val="20"/>
                <w:szCs w:val="20"/>
              </w:rPr>
            </w:pP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2L+ Chemo, non-</w:t>
            </w:r>
            <w:proofErr w:type="spellStart"/>
            <w:r>
              <w:rPr>
                <w:sz w:val="20"/>
                <w:szCs w:val="20"/>
              </w:rPr>
              <w:t>squam</w:t>
            </w:r>
            <w:proofErr w:type="spellEnd"/>
            <w:r>
              <w:rPr>
                <w:sz w:val="20"/>
                <w:szCs w:val="20"/>
              </w:rPr>
              <w:t>/ Docetaxel</w:t>
            </w:r>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97</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10.9 (5.7, 19.8)</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290</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12 (9, 17)</w:t>
            </w:r>
          </w:p>
        </w:tc>
      </w:tr>
      <w:tr w:rsidR="006C7050">
        <w:trPr>
          <w:trHeight w:val="285"/>
        </w:trPr>
        <w:tc>
          <w:tcPr>
            <w:tcW w:w="1575" w:type="dxa"/>
            <w:vMerge w:val="restart"/>
            <w:tcMar>
              <w:top w:w="40" w:type="dxa"/>
              <w:left w:w="40" w:type="dxa"/>
              <w:bottom w:w="40" w:type="dxa"/>
              <w:right w:w="40" w:type="dxa"/>
            </w:tcMar>
          </w:tcPr>
          <w:p w:rsidR="006C7050" w:rsidRDefault="000E4B50">
            <w:pPr>
              <w:widowControl w:val="0"/>
              <w:rPr>
                <w:sz w:val="20"/>
                <w:szCs w:val="20"/>
              </w:rPr>
            </w:pPr>
            <w:r>
              <w:rPr>
                <w:sz w:val="20"/>
                <w:szCs w:val="20"/>
              </w:rPr>
              <w:t xml:space="preserve">CheckMate-017 </w:t>
            </w: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2L+ IO, </w:t>
            </w:r>
            <w:proofErr w:type="spellStart"/>
            <w:r>
              <w:rPr>
                <w:sz w:val="20"/>
                <w:szCs w:val="20"/>
              </w:rPr>
              <w:t>squam</w:t>
            </w:r>
            <w:proofErr w:type="spellEnd"/>
            <w:r>
              <w:rPr>
                <w:sz w:val="20"/>
                <w:szCs w:val="20"/>
              </w:rPr>
              <w:t xml:space="preserve">/ </w:t>
            </w:r>
            <w:proofErr w:type="spellStart"/>
            <w:r>
              <w:rPr>
                <w:sz w:val="20"/>
                <w:szCs w:val="20"/>
              </w:rPr>
              <w:t>Nivolumab</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86</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29.5 (20.6, 40.4)</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135</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20 (14, 28)</w:t>
            </w:r>
          </w:p>
        </w:tc>
      </w:tr>
      <w:tr w:rsidR="006C7050">
        <w:tc>
          <w:tcPr>
            <w:tcW w:w="1575" w:type="dxa"/>
            <w:vMerge/>
            <w:tcMar>
              <w:top w:w="40" w:type="dxa"/>
              <w:left w:w="40" w:type="dxa"/>
              <w:bottom w:w="40" w:type="dxa"/>
              <w:right w:w="40" w:type="dxa"/>
            </w:tcMar>
          </w:tcPr>
          <w:p w:rsidR="006C7050" w:rsidRDefault="006C7050">
            <w:pPr>
              <w:widowControl w:val="0"/>
              <w:rPr>
                <w:sz w:val="20"/>
                <w:szCs w:val="20"/>
              </w:rPr>
            </w:pP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2L+ Chemo, </w:t>
            </w:r>
            <w:proofErr w:type="spellStart"/>
            <w:r>
              <w:rPr>
                <w:sz w:val="20"/>
                <w:szCs w:val="20"/>
              </w:rPr>
              <w:t>squam</w:t>
            </w:r>
            <w:proofErr w:type="spellEnd"/>
            <w:r>
              <w:rPr>
                <w:sz w:val="20"/>
                <w:szCs w:val="20"/>
              </w:rPr>
              <w:t>/ Docetaxel</w:t>
            </w:r>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53</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9.8 (4.1, 21.6)</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137</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9 (5, 15)</w:t>
            </w:r>
          </w:p>
        </w:tc>
      </w:tr>
      <w:tr w:rsidR="006C7050">
        <w:trPr>
          <w:trHeight w:val="105"/>
        </w:trPr>
        <w:tc>
          <w:tcPr>
            <w:tcW w:w="1575" w:type="dxa"/>
            <w:vMerge w:val="restart"/>
            <w:tcMar>
              <w:top w:w="40" w:type="dxa"/>
              <w:left w:w="40" w:type="dxa"/>
              <w:bottom w:w="40" w:type="dxa"/>
              <w:right w:w="40" w:type="dxa"/>
            </w:tcMar>
          </w:tcPr>
          <w:p w:rsidR="006C7050" w:rsidRDefault="000E4B50">
            <w:pPr>
              <w:widowControl w:val="0"/>
              <w:rPr>
                <w:sz w:val="20"/>
                <w:szCs w:val="20"/>
              </w:rPr>
            </w:pPr>
            <w:r>
              <w:rPr>
                <w:sz w:val="20"/>
                <w:szCs w:val="20"/>
              </w:rPr>
              <w:t>OAK</w:t>
            </w: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2L+ IO/ </w:t>
            </w:r>
            <w:proofErr w:type="spellStart"/>
            <w:r>
              <w:rPr>
                <w:sz w:val="20"/>
                <w:szCs w:val="20"/>
              </w:rPr>
              <w:t>Atezolizumab</w:t>
            </w:r>
            <w:proofErr w:type="spellEnd"/>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58</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11.1 (4.9, 23.0)</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425</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14 (NR)</w:t>
            </w:r>
          </w:p>
        </w:tc>
      </w:tr>
      <w:tr w:rsidR="006C7050">
        <w:trPr>
          <w:trHeight w:val="339"/>
        </w:trPr>
        <w:tc>
          <w:tcPr>
            <w:tcW w:w="1575" w:type="dxa"/>
            <w:vMerge/>
            <w:tcMar>
              <w:top w:w="40" w:type="dxa"/>
              <w:left w:w="40" w:type="dxa"/>
              <w:bottom w:w="40" w:type="dxa"/>
              <w:right w:w="40" w:type="dxa"/>
            </w:tcMar>
          </w:tcPr>
          <w:p w:rsidR="006C7050" w:rsidRDefault="006C7050">
            <w:pPr>
              <w:widowControl w:val="0"/>
              <w:rPr>
                <w:sz w:val="20"/>
                <w:szCs w:val="20"/>
              </w:rPr>
            </w:pPr>
          </w:p>
        </w:tc>
        <w:tc>
          <w:tcPr>
            <w:tcW w:w="4590" w:type="dxa"/>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2L+ Chemo/ Docetaxel</w:t>
            </w:r>
          </w:p>
        </w:tc>
        <w:tc>
          <w:tcPr>
            <w:tcW w:w="13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117</w:t>
            </w:r>
          </w:p>
        </w:tc>
        <w:tc>
          <w:tcPr>
            <w:tcW w:w="277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12.3 (7.4, 19.8)</w:t>
            </w:r>
          </w:p>
        </w:tc>
        <w:tc>
          <w:tcPr>
            <w:tcW w:w="435"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425</w:t>
            </w:r>
          </w:p>
        </w:tc>
        <w:tc>
          <w:tcPr>
            <w:tcW w:w="2400" w:type="dxa"/>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13 (NR)</w:t>
            </w:r>
          </w:p>
        </w:tc>
      </w:tr>
      <w:tr w:rsidR="006C7050">
        <w:trPr>
          <w:trHeight w:val="315"/>
        </w:trPr>
        <w:tc>
          <w:tcPr>
            <w:tcW w:w="1575" w:type="dxa"/>
            <w:tcBorders>
              <w:bottom w:val="single" w:sz="6" w:space="0" w:color="000000"/>
            </w:tcBorders>
            <w:tcMar>
              <w:top w:w="40" w:type="dxa"/>
              <w:left w:w="40" w:type="dxa"/>
              <w:bottom w:w="40" w:type="dxa"/>
              <w:right w:w="40" w:type="dxa"/>
            </w:tcMar>
          </w:tcPr>
          <w:p w:rsidR="006C7050" w:rsidRDefault="000E4B50">
            <w:pPr>
              <w:widowControl w:val="0"/>
              <w:rPr>
                <w:sz w:val="20"/>
                <w:szCs w:val="20"/>
              </w:rPr>
            </w:pPr>
            <w:r>
              <w:rPr>
                <w:sz w:val="20"/>
                <w:szCs w:val="20"/>
              </w:rPr>
              <w:t>AURA-3</w:t>
            </w:r>
          </w:p>
        </w:tc>
        <w:tc>
          <w:tcPr>
            <w:tcW w:w="4590" w:type="dxa"/>
            <w:tcBorders>
              <w:bottom w:val="single" w:sz="6" w:space="0" w:color="000000"/>
            </w:tcBorders>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 xml:space="preserve">2L+ , </w:t>
            </w:r>
            <w:proofErr w:type="spellStart"/>
            <w:r>
              <w:rPr>
                <w:i/>
                <w:sz w:val="20"/>
                <w:szCs w:val="20"/>
              </w:rPr>
              <w:t>EGFRmt</w:t>
            </w:r>
            <w:proofErr w:type="spellEnd"/>
            <w:r>
              <w:rPr>
                <w:i/>
                <w:sz w:val="20"/>
                <w:szCs w:val="20"/>
              </w:rPr>
              <w:t xml:space="preserve">/ </w:t>
            </w:r>
            <w:proofErr w:type="spellStart"/>
            <w:r>
              <w:rPr>
                <w:sz w:val="20"/>
                <w:szCs w:val="20"/>
              </w:rPr>
              <w:t>Osimertinib</w:t>
            </w:r>
            <w:proofErr w:type="spellEnd"/>
          </w:p>
        </w:tc>
        <w:tc>
          <w:tcPr>
            <w:tcW w:w="1335" w:type="dxa"/>
            <w:tcBorders>
              <w:bottom w:val="single" w:sz="6" w:space="0" w:color="000000"/>
            </w:tcBorders>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97</w:t>
            </w:r>
          </w:p>
        </w:tc>
        <w:tc>
          <w:tcPr>
            <w:tcW w:w="2775" w:type="dxa"/>
            <w:tcBorders>
              <w:bottom w:val="single" w:sz="6" w:space="0" w:color="000000"/>
            </w:tcBorders>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62.2 (47.7, 74.8)</w:t>
            </w:r>
          </w:p>
        </w:tc>
        <w:tc>
          <w:tcPr>
            <w:tcW w:w="435" w:type="dxa"/>
            <w:tcBorders>
              <w:bottom w:val="single" w:sz="6" w:space="0" w:color="000000"/>
            </w:tcBorders>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279</w:t>
            </w:r>
          </w:p>
        </w:tc>
        <w:tc>
          <w:tcPr>
            <w:tcW w:w="2400" w:type="dxa"/>
            <w:tcBorders>
              <w:bottom w:val="single" w:sz="6" w:space="0" w:color="000000"/>
            </w:tcBorders>
            <w:shd w:val="clear" w:color="auto" w:fill="auto"/>
            <w:tcMar>
              <w:top w:w="40" w:type="dxa"/>
              <w:left w:w="40" w:type="dxa"/>
              <w:bottom w:w="40" w:type="dxa"/>
              <w:right w:w="40" w:type="dxa"/>
            </w:tcMar>
            <w:vAlign w:val="center"/>
          </w:tcPr>
          <w:p w:rsidR="006C7050" w:rsidRDefault="000E4B50">
            <w:pPr>
              <w:widowControl w:val="0"/>
              <w:jc w:val="center"/>
              <w:rPr>
                <w:sz w:val="20"/>
                <w:szCs w:val="20"/>
              </w:rPr>
            </w:pPr>
            <w:r>
              <w:rPr>
                <w:sz w:val="20"/>
                <w:szCs w:val="20"/>
              </w:rPr>
              <w:t>71 (65, 76)</w:t>
            </w:r>
          </w:p>
        </w:tc>
      </w:tr>
      <w:tr w:rsidR="006C7050">
        <w:trPr>
          <w:trHeight w:val="525"/>
        </w:trPr>
        <w:tc>
          <w:tcPr>
            <w:tcW w:w="13110" w:type="dxa"/>
            <w:gridSpan w:val="6"/>
            <w:tcBorders>
              <w:bottom w:val="nil"/>
            </w:tcBorders>
            <w:tcMar>
              <w:top w:w="40" w:type="dxa"/>
              <w:left w:w="40" w:type="dxa"/>
              <w:bottom w:w="40" w:type="dxa"/>
              <w:right w:w="40" w:type="dxa"/>
            </w:tcMar>
          </w:tcPr>
          <w:p w:rsidR="006C7050" w:rsidRDefault="000E4B50">
            <w:pPr>
              <w:widowControl w:val="0"/>
              <w:rPr>
                <w:sz w:val="16"/>
                <w:szCs w:val="16"/>
              </w:rPr>
            </w:pPr>
            <w:r>
              <w:rPr>
                <w:sz w:val="16"/>
                <w:szCs w:val="16"/>
              </w:rPr>
              <w:t xml:space="preserve">1L=first line; 2L=second line; ALK=anaplastic lymphoma kinase; CI=confidence interval; EGFR=epidermal growth factor receptor; IO=immuno-oncology; NR=not reported; PD-L1=programmed cell death-ligand 1; </w:t>
            </w:r>
            <w:proofErr w:type="spellStart"/>
            <w:r>
              <w:rPr>
                <w:sz w:val="16"/>
                <w:szCs w:val="16"/>
              </w:rPr>
              <w:t>rwRR</w:t>
            </w:r>
            <w:proofErr w:type="spellEnd"/>
            <w:r>
              <w:rPr>
                <w:sz w:val="16"/>
                <w:szCs w:val="16"/>
              </w:rPr>
              <w:t>-real-world response rate</w:t>
            </w:r>
            <w:r>
              <w:rPr>
                <w:sz w:val="16"/>
                <w:szCs w:val="16"/>
              </w:rPr>
              <w:br/>
            </w:r>
            <w:proofErr w:type="spellStart"/>
            <w:r>
              <w:rPr>
                <w:sz w:val="16"/>
                <w:szCs w:val="16"/>
                <w:vertAlign w:val="superscript"/>
              </w:rPr>
              <w:t>a</w:t>
            </w:r>
            <w:r>
              <w:rPr>
                <w:sz w:val="16"/>
                <w:szCs w:val="16"/>
              </w:rPr>
              <w:t>Weighted</w:t>
            </w:r>
            <w:proofErr w:type="spellEnd"/>
            <w:r>
              <w:rPr>
                <w:sz w:val="16"/>
                <w:szCs w:val="16"/>
              </w:rPr>
              <w:t xml:space="preserve">, confirmed </w:t>
            </w:r>
            <w:proofErr w:type="spellStart"/>
            <w:r>
              <w:rPr>
                <w:sz w:val="16"/>
                <w:szCs w:val="16"/>
              </w:rPr>
              <w:t>rwRR</w:t>
            </w:r>
            <w:proofErr w:type="spellEnd"/>
            <w:r>
              <w:rPr>
                <w:sz w:val="16"/>
                <w:szCs w:val="16"/>
              </w:rPr>
              <w:t xml:space="preserve"> refers to the analysis based on ‘confirmed responses’ (as opposed to all responses) observed in the cohorts after weights were used. This is the one listed in all cases except ALEX and AURA-3 (for which the trial protocol did not specify confirmed respons</w:t>
            </w:r>
            <w:r>
              <w:rPr>
                <w:sz w:val="16"/>
                <w:szCs w:val="16"/>
              </w:rPr>
              <w:t>es)</w:t>
            </w:r>
          </w:p>
          <w:p w:rsidR="006C7050" w:rsidRDefault="006C7050">
            <w:pPr>
              <w:widowControl w:val="0"/>
              <w:rPr>
                <w:sz w:val="16"/>
                <w:szCs w:val="16"/>
              </w:rPr>
            </w:pPr>
          </w:p>
        </w:tc>
      </w:tr>
    </w:tbl>
    <w:p w:rsidR="006C7050" w:rsidRDefault="006C7050"/>
    <w:p w:rsidR="006C7050" w:rsidRDefault="006C7050">
      <w:pPr>
        <w:pStyle w:val="Heading3"/>
        <w:rPr>
          <w:color w:val="2A2A2A"/>
          <w:sz w:val="20"/>
          <w:szCs w:val="20"/>
        </w:rPr>
      </w:pPr>
      <w:bookmarkStart w:id="16" w:name="_jwxnre41524w" w:colFirst="0" w:colLast="0"/>
      <w:bookmarkEnd w:id="16"/>
    </w:p>
    <w:p w:rsidR="006C7050" w:rsidRDefault="006C7050">
      <w:pPr>
        <w:rPr>
          <w:color w:val="2A2A2A"/>
          <w:sz w:val="20"/>
          <w:szCs w:val="20"/>
        </w:rPr>
      </w:pPr>
    </w:p>
    <w:p w:rsidR="006C7050" w:rsidRDefault="006C7050">
      <w:pPr>
        <w:rPr>
          <w:color w:val="2A2A2A"/>
          <w:sz w:val="20"/>
          <w:szCs w:val="20"/>
        </w:rPr>
      </w:pPr>
    </w:p>
    <w:sectPr w:rsidR="006C7050">
      <w:headerReference w:type="default" r:id="rId1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50" w:rsidRDefault="000E4B50">
      <w:pPr>
        <w:spacing w:line="240" w:lineRule="auto"/>
      </w:pPr>
      <w:r>
        <w:separator/>
      </w:r>
    </w:p>
  </w:endnote>
  <w:endnote w:type="continuationSeparator" w:id="0">
    <w:p w:rsidR="000E4B50" w:rsidRDefault="000E4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50" w:rsidRDefault="000E4B50">
      <w:pPr>
        <w:spacing w:line="240" w:lineRule="auto"/>
      </w:pPr>
      <w:r>
        <w:separator/>
      </w:r>
    </w:p>
  </w:footnote>
  <w:footnote w:type="continuationSeparator" w:id="0">
    <w:p w:rsidR="000E4B50" w:rsidRDefault="000E4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50" w:rsidRDefault="006C70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429B"/>
    <w:multiLevelType w:val="multilevel"/>
    <w:tmpl w:val="05805C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50"/>
    <w:rsid w:val="000E4B50"/>
    <w:rsid w:val="006C7050"/>
    <w:rsid w:val="00A7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4BD1"/>
  <w15:docId w15:val="{4762FCEB-18E1-4393-ACFD-3513B810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1826</Words>
  <Characters>10410</Characters>
  <Application>Microsoft Office Word</Application>
  <DocSecurity>0</DocSecurity>
  <Lines>86</Lines>
  <Paragraphs>24</Paragraphs>
  <ScaleCrop>false</ScaleCrop>
  <Company>Springer Nature IT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Alborn</cp:lastModifiedBy>
  <cp:revision>2</cp:revision>
  <dcterms:created xsi:type="dcterms:W3CDTF">2021-02-05T14:17:00Z</dcterms:created>
  <dcterms:modified xsi:type="dcterms:W3CDTF">2021-02-05T14:18:00Z</dcterms:modified>
</cp:coreProperties>
</file>