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91" w:type="dxa"/>
        <w:tblInd w:w="-1418" w:type="dxa"/>
        <w:tblLook w:val="04A0" w:firstRow="1" w:lastRow="0" w:firstColumn="1" w:lastColumn="0" w:noHBand="0" w:noVBand="1"/>
      </w:tblPr>
      <w:tblGrid>
        <w:gridCol w:w="1565"/>
        <w:gridCol w:w="2263"/>
        <w:gridCol w:w="1602"/>
        <w:gridCol w:w="1658"/>
        <w:gridCol w:w="2127"/>
        <w:gridCol w:w="2976"/>
      </w:tblGrid>
      <w:tr w:rsidR="00A1021E" w:rsidRPr="005C4667" w:rsidTr="00AF49FB">
        <w:trPr>
          <w:trHeight w:val="322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Group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before chemotherapy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first course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third course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sixth course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1 year after chemotherapy</w:t>
            </w:r>
          </w:p>
        </w:tc>
      </w:tr>
      <w:tr w:rsidR="00A1021E" w:rsidRPr="005C4667" w:rsidTr="00AF49FB">
        <w:trPr>
          <w:trHeight w:val="322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CT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192.69.44±49.44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140.94±56.85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127.38 ±56.55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131.38±41.52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180.60±47.74</w:t>
            </w:r>
          </w:p>
        </w:tc>
      </w:tr>
      <w:tr w:rsidR="00A1021E" w:rsidRPr="005C4667" w:rsidTr="00AF49FB">
        <w:trPr>
          <w:trHeight w:val="322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ABM-MVI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172.50±43.14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156.50±49.51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176.00±53.54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202.25±38.24</w:t>
            </w:r>
            <w:r w:rsidRPr="005C4667">
              <w:rPr>
                <w:rFonts w:eastAsia="DengXian"/>
                <w:color w:val="000000" w:themeColor="text1"/>
                <w:sz w:val="24"/>
                <w:vertAlign w:val="superscript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206.14±28.38</w:t>
            </w:r>
          </w:p>
        </w:tc>
      </w:tr>
      <w:tr w:rsidR="00A1021E" w:rsidRPr="005C4667" w:rsidTr="00AF49FB">
        <w:trPr>
          <w:trHeight w:val="322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ABM-PI</w:t>
            </w:r>
          </w:p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 w:hint="eastAsia"/>
                <w:color w:val="000000" w:themeColor="text1"/>
                <w:sz w:val="24"/>
              </w:rPr>
              <w:t>p</w:t>
            </w:r>
            <w:r w:rsidRPr="005C4667">
              <w:rPr>
                <w:rFonts w:eastAsia="DengXian"/>
                <w:color w:val="000000" w:themeColor="text1"/>
                <w:sz w:val="24"/>
              </w:rPr>
              <w:t>-value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175.38±45.77</w:t>
            </w:r>
          </w:p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 w:hint="eastAsia"/>
                <w:color w:val="000000" w:themeColor="text1"/>
                <w:sz w:val="24"/>
              </w:rPr>
              <w:t>0</w:t>
            </w:r>
            <w:r w:rsidRPr="005C4667">
              <w:rPr>
                <w:rFonts w:eastAsia="DengXian"/>
                <w:color w:val="000000" w:themeColor="text1"/>
                <w:sz w:val="24"/>
              </w:rPr>
              <w:t>.065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155.75±48.20</w:t>
            </w:r>
          </w:p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 w:hint="eastAsia"/>
                <w:color w:val="000000" w:themeColor="text1"/>
                <w:sz w:val="24"/>
              </w:rPr>
              <w:t>0</w:t>
            </w:r>
            <w:r w:rsidRPr="005C4667">
              <w:rPr>
                <w:rFonts w:eastAsia="DengXian"/>
                <w:color w:val="000000" w:themeColor="text1"/>
                <w:sz w:val="24"/>
              </w:rPr>
              <w:t>.78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171.13 ±44.82</w:t>
            </w:r>
          </w:p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 w:hint="eastAsia"/>
                <w:color w:val="000000" w:themeColor="text1"/>
                <w:sz w:val="24"/>
              </w:rPr>
              <w:t>0</w:t>
            </w:r>
            <w:r w:rsidRPr="005C4667">
              <w:rPr>
                <w:rFonts w:eastAsia="DengXian"/>
                <w:color w:val="000000" w:themeColor="text1"/>
                <w:sz w:val="24"/>
              </w:rPr>
              <w:t>.08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  <w:vertAlign w:val="superscript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196.75±34.71</w:t>
            </w:r>
            <w:r w:rsidRPr="005C4667">
              <w:rPr>
                <w:rFonts w:eastAsia="DengXian"/>
                <w:color w:val="000000" w:themeColor="text1"/>
                <w:sz w:val="24"/>
                <w:vertAlign w:val="superscript"/>
              </w:rPr>
              <w:t>a</w:t>
            </w:r>
          </w:p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&lt;0.0001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207.29±42.91</w:t>
            </w:r>
          </w:p>
          <w:p w:rsidR="00A1021E" w:rsidRPr="005C4667" w:rsidRDefault="00A1021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 w:hint="eastAsia"/>
                <w:color w:val="000000" w:themeColor="text1"/>
                <w:sz w:val="24"/>
              </w:rPr>
              <w:t>0</w:t>
            </w:r>
            <w:r w:rsidRPr="005C4667">
              <w:rPr>
                <w:rFonts w:eastAsia="DengXian"/>
                <w:color w:val="000000" w:themeColor="text1"/>
                <w:sz w:val="24"/>
              </w:rPr>
              <w:t>.267</w:t>
            </w:r>
          </w:p>
        </w:tc>
      </w:tr>
    </w:tbl>
    <w:p w:rsidR="00A1021E" w:rsidRPr="005C4667" w:rsidRDefault="00A1021E" w:rsidP="00A1021E">
      <w:pPr>
        <w:spacing w:line="360" w:lineRule="auto"/>
        <w:rPr>
          <w:color w:val="000000" w:themeColor="text1"/>
          <w:sz w:val="20"/>
          <w:szCs w:val="20"/>
        </w:rPr>
      </w:pPr>
      <w:proofErr w:type="gramStart"/>
      <w:r w:rsidRPr="005C4667">
        <w:rPr>
          <w:color w:val="000000" w:themeColor="text1"/>
          <w:sz w:val="20"/>
          <w:szCs w:val="20"/>
        </w:rPr>
        <w:t>p-value</w:t>
      </w:r>
      <w:proofErr w:type="gramEnd"/>
      <w:r w:rsidRPr="005C4667">
        <w:rPr>
          <w:color w:val="000000" w:themeColor="text1"/>
          <w:sz w:val="20"/>
          <w:szCs w:val="20"/>
        </w:rPr>
        <w:t>: one-way ANOVA</w:t>
      </w:r>
    </w:p>
    <w:p w:rsidR="00A1021E" w:rsidRPr="005C4667" w:rsidRDefault="00A1021E" w:rsidP="00A1021E">
      <w:pPr>
        <w:spacing w:line="360" w:lineRule="auto"/>
        <w:rPr>
          <w:color w:val="000000" w:themeColor="text1"/>
          <w:sz w:val="20"/>
          <w:szCs w:val="20"/>
        </w:rPr>
      </w:pPr>
      <w:r w:rsidRPr="005C4667">
        <w:rPr>
          <w:color w:val="000000" w:themeColor="text1"/>
          <w:sz w:val="20"/>
          <w:szCs w:val="20"/>
        </w:rPr>
        <w:t xml:space="preserve">Compared with CT group, </w:t>
      </w:r>
      <w:proofErr w:type="spellStart"/>
      <w:proofErr w:type="gramStart"/>
      <w:r w:rsidRPr="005C4667">
        <w:rPr>
          <w:color w:val="000000" w:themeColor="text1"/>
          <w:sz w:val="20"/>
          <w:szCs w:val="20"/>
          <w:vertAlign w:val="superscript"/>
        </w:rPr>
        <w:t>a</w:t>
      </w:r>
      <w:r w:rsidRPr="005C4667">
        <w:rPr>
          <w:color w:val="000000" w:themeColor="text1"/>
          <w:sz w:val="20"/>
          <w:szCs w:val="20"/>
        </w:rPr>
        <w:t>P</w:t>
      </w:r>
      <w:proofErr w:type="spellEnd"/>
      <w:proofErr w:type="gramEnd"/>
      <w:r w:rsidRPr="005C4667">
        <w:rPr>
          <w:color w:val="000000" w:themeColor="text1"/>
          <w:sz w:val="20"/>
          <w:szCs w:val="20"/>
        </w:rPr>
        <w:t xml:space="preserve"> &lt;0.05; compared with ABM-MVI group, </w:t>
      </w:r>
      <w:proofErr w:type="spellStart"/>
      <w:r w:rsidRPr="005C4667">
        <w:rPr>
          <w:color w:val="000000" w:themeColor="text1"/>
          <w:sz w:val="20"/>
          <w:szCs w:val="20"/>
          <w:vertAlign w:val="superscript"/>
        </w:rPr>
        <w:t>b</w:t>
      </w:r>
      <w:r w:rsidRPr="005C4667">
        <w:rPr>
          <w:color w:val="000000" w:themeColor="text1"/>
          <w:sz w:val="20"/>
          <w:szCs w:val="20"/>
        </w:rPr>
        <w:t>P</w:t>
      </w:r>
      <w:proofErr w:type="spellEnd"/>
      <w:r w:rsidRPr="005C4667">
        <w:rPr>
          <w:color w:val="000000" w:themeColor="text1"/>
          <w:sz w:val="20"/>
          <w:szCs w:val="20"/>
        </w:rPr>
        <w:t xml:space="preserve"> &lt;0.05</w:t>
      </w:r>
    </w:p>
    <w:p w:rsidR="00134661" w:rsidRDefault="00134661">
      <w:bookmarkStart w:id="0" w:name="_GoBack"/>
      <w:bookmarkEnd w:id="0"/>
    </w:p>
    <w:sectPr w:rsidR="0013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1E"/>
    <w:rsid w:val="00134661"/>
    <w:rsid w:val="00792DDE"/>
    <w:rsid w:val="007939A2"/>
    <w:rsid w:val="00A1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A4415-6D7A-4638-924A-3E79F7BA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LAMIRA</dc:creator>
  <cp:keywords/>
  <dc:description/>
  <cp:lastModifiedBy>LAMIRA</cp:lastModifiedBy>
  <cp:revision>1</cp:revision>
  <dcterms:created xsi:type="dcterms:W3CDTF">2021-01-21T01:31:00Z</dcterms:created>
  <dcterms:modified xsi:type="dcterms:W3CDTF">2021-01-21T01:32:00Z</dcterms:modified>
</cp:coreProperties>
</file>