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8B" w:rsidRPr="00121263" w:rsidRDefault="0011318B" w:rsidP="00121263">
      <w:pPr>
        <w:spacing w:after="0" w:line="240" w:lineRule="auto"/>
        <w:jc w:val="center"/>
        <w:rPr>
          <w:rFonts w:ascii="Times New Roman" w:hAnsi="Times New Roman" w:cs="Times New Roman"/>
          <w:b/>
          <w:sz w:val="24"/>
          <w:szCs w:val="24"/>
          <w:u w:val="single"/>
        </w:rPr>
      </w:pPr>
      <w:r w:rsidRPr="00121263">
        <w:rPr>
          <w:rFonts w:ascii="Times New Roman" w:hAnsi="Times New Roman" w:cs="Times New Roman"/>
          <w:b/>
          <w:sz w:val="24"/>
          <w:szCs w:val="24"/>
          <w:u w:val="single"/>
        </w:rPr>
        <w:t>CONSORT 2010 checklist</w:t>
      </w:r>
    </w:p>
    <w:p w:rsidR="00121263" w:rsidRPr="00BA7495" w:rsidRDefault="00121263" w:rsidP="00BA7495">
      <w:pPr>
        <w:spacing w:after="0" w:line="240" w:lineRule="auto"/>
        <w:rPr>
          <w:rFonts w:ascii="Times New Roman" w:hAnsi="Times New Roman" w:cs="Times New Roman"/>
          <w:sz w:val="24"/>
          <w:szCs w:val="24"/>
          <w:u w:val="single"/>
        </w:rPr>
      </w:pPr>
    </w:p>
    <w:p w:rsidR="0011318B"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I. TITLE &amp; ABSTRACT</w:t>
      </w:r>
    </w:p>
    <w:p w:rsidR="00121263" w:rsidRPr="00BA7495" w:rsidRDefault="00121263" w:rsidP="00BA7495">
      <w:pPr>
        <w:spacing w:after="0" w:line="240" w:lineRule="auto"/>
        <w:rPr>
          <w:rFonts w:ascii="Times New Roman" w:hAnsi="Times New Roman" w:cs="Times New Roman"/>
          <w:sz w:val="24"/>
          <w:szCs w:val="24"/>
        </w:rPr>
      </w:pPr>
    </w:p>
    <w:p w:rsidR="00121263" w:rsidRDefault="00121263" w:rsidP="00BA7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p>
    <w:p w:rsidR="0011318B"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Differential rates of intravascular uptake and pain perception during lumbosacral </w:t>
      </w:r>
      <w:proofErr w:type="spellStart"/>
      <w:r w:rsidRPr="00BA7495">
        <w:rPr>
          <w:rFonts w:ascii="Times New Roman" w:hAnsi="Times New Roman" w:cs="Times New Roman"/>
          <w:sz w:val="24"/>
          <w:szCs w:val="24"/>
        </w:rPr>
        <w:t>transforaminal</w:t>
      </w:r>
      <w:proofErr w:type="spellEnd"/>
      <w:r w:rsidRPr="00BA7495">
        <w:rPr>
          <w:rFonts w:ascii="Times New Roman" w:hAnsi="Times New Roman" w:cs="Times New Roman"/>
          <w:sz w:val="24"/>
          <w:szCs w:val="24"/>
        </w:rPr>
        <w:t xml:space="preserve"> epidural steroid injection using a 22-gauge needle versus 25-gauge needle</w:t>
      </w:r>
    </w:p>
    <w:p w:rsidR="00121263" w:rsidRDefault="00121263" w:rsidP="00121263">
      <w:pPr>
        <w:spacing w:line="240" w:lineRule="auto"/>
        <w:rPr>
          <w:rFonts w:ascii="Times New Roman" w:hAnsi="Times New Roman" w:cs="Times New Roman"/>
          <w:b/>
          <w:sz w:val="24"/>
          <w:szCs w:val="24"/>
        </w:rPr>
      </w:pPr>
    </w:p>
    <w:p w:rsidR="00121263" w:rsidRPr="00121263" w:rsidRDefault="00121263" w:rsidP="00121263">
      <w:pPr>
        <w:spacing w:after="0" w:line="240" w:lineRule="auto"/>
        <w:rPr>
          <w:rFonts w:ascii="Times New Roman" w:hAnsi="Times New Roman" w:cs="Times New Roman"/>
          <w:sz w:val="24"/>
          <w:szCs w:val="24"/>
        </w:rPr>
      </w:pPr>
      <w:r w:rsidRPr="00121263">
        <w:rPr>
          <w:rFonts w:ascii="Times New Roman" w:hAnsi="Times New Roman" w:cs="Times New Roman"/>
          <w:sz w:val="24"/>
          <w:szCs w:val="24"/>
        </w:rPr>
        <w:t>Abstract</w:t>
      </w:r>
    </w:p>
    <w:p w:rsidR="00121263" w:rsidRPr="00121263" w:rsidRDefault="00121263" w:rsidP="00121263">
      <w:pPr>
        <w:spacing w:after="0" w:line="240" w:lineRule="auto"/>
        <w:rPr>
          <w:rFonts w:ascii="Times New Roman" w:hAnsi="Times New Roman" w:cs="Times New Roman"/>
          <w:sz w:val="24"/>
          <w:szCs w:val="24"/>
        </w:rPr>
      </w:pPr>
      <w:r w:rsidRPr="00121263">
        <w:rPr>
          <w:rFonts w:ascii="Times New Roman" w:hAnsi="Times New Roman" w:cs="Times New Roman"/>
          <w:sz w:val="24"/>
          <w:szCs w:val="24"/>
        </w:rPr>
        <w:t xml:space="preserve">Background: Inadvertent intravascular injection has been suggested as the most probable mechanism behind serious neurological complications during </w:t>
      </w:r>
      <w:proofErr w:type="spellStart"/>
      <w:r w:rsidRPr="00121263">
        <w:rPr>
          <w:rFonts w:ascii="Times New Roman" w:hAnsi="Times New Roman" w:cs="Times New Roman"/>
          <w:sz w:val="24"/>
          <w:szCs w:val="24"/>
        </w:rPr>
        <w:t>transforaminal</w:t>
      </w:r>
      <w:proofErr w:type="spellEnd"/>
      <w:r w:rsidRPr="00121263">
        <w:rPr>
          <w:rFonts w:ascii="Times New Roman" w:hAnsi="Times New Roman" w:cs="Times New Roman"/>
          <w:sz w:val="24"/>
          <w:szCs w:val="24"/>
        </w:rPr>
        <w:t xml:space="preserve"> epidural steroid injections</w:t>
      </w:r>
      <w:r w:rsidR="0050056A">
        <w:rPr>
          <w:rFonts w:ascii="Times New Roman" w:hAnsi="Times New Roman" w:cs="Times New Roman"/>
          <w:sz w:val="24"/>
          <w:szCs w:val="24"/>
        </w:rPr>
        <w:t xml:space="preserve"> (TFESI)</w:t>
      </w:r>
      <w:r w:rsidRPr="00121263">
        <w:rPr>
          <w:rFonts w:ascii="Times New Roman" w:hAnsi="Times New Roman" w:cs="Times New Roman"/>
          <w:sz w:val="24"/>
          <w:szCs w:val="24"/>
        </w:rPr>
        <w:t xml:space="preserve">. </w:t>
      </w:r>
    </w:p>
    <w:p w:rsidR="00121263" w:rsidRPr="00121263" w:rsidRDefault="00121263" w:rsidP="00121263">
      <w:pPr>
        <w:spacing w:after="0" w:line="240" w:lineRule="auto"/>
        <w:rPr>
          <w:rFonts w:ascii="Times New Roman" w:hAnsi="Times New Roman" w:cs="Times New Roman"/>
          <w:sz w:val="24"/>
          <w:szCs w:val="24"/>
        </w:rPr>
      </w:pPr>
      <w:r w:rsidRPr="00121263">
        <w:rPr>
          <w:rFonts w:ascii="Times New Roman" w:hAnsi="Times New Roman" w:cs="Times New Roman"/>
          <w:sz w:val="24"/>
          <w:szCs w:val="24"/>
        </w:rPr>
        <w:t xml:space="preserve">Objectives: To quantify the difference between a 22-gauge needle and 25-gauge needle during lumbosacral </w:t>
      </w:r>
      <w:proofErr w:type="spellStart"/>
      <w:r w:rsidRPr="00121263">
        <w:rPr>
          <w:rFonts w:ascii="Times New Roman" w:hAnsi="Times New Roman" w:cs="Times New Roman"/>
          <w:sz w:val="24"/>
          <w:szCs w:val="24"/>
        </w:rPr>
        <w:t>transforaminal</w:t>
      </w:r>
      <w:proofErr w:type="spellEnd"/>
      <w:r w:rsidRPr="00121263">
        <w:rPr>
          <w:rFonts w:ascii="Times New Roman" w:hAnsi="Times New Roman" w:cs="Times New Roman"/>
          <w:sz w:val="24"/>
          <w:szCs w:val="24"/>
        </w:rPr>
        <w:t xml:space="preserve"> epidural steroid injection in regards to intravascular uptake and pain perception.</w:t>
      </w:r>
    </w:p>
    <w:p w:rsidR="00121263" w:rsidRPr="00121263" w:rsidRDefault="00121263" w:rsidP="00121263">
      <w:pPr>
        <w:spacing w:after="0" w:line="240" w:lineRule="auto"/>
        <w:rPr>
          <w:rFonts w:ascii="Times New Roman" w:hAnsi="Times New Roman" w:cs="Times New Roman"/>
          <w:sz w:val="24"/>
          <w:szCs w:val="24"/>
        </w:rPr>
      </w:pPr>
      <w:r w:rsidRPr="00121263">
        <w:rPr>
          <w:rFonts w:ascii="Times New Roman" w:hAnsi="Times New Roman" w:cs="Times New Roman"/>
          <w:sz w:val="24"/>
          <w:szCs w:val="24"/>
        </w:rPr>
        <w:t>Study Design: Prospective single blind randomized clinical trial.</w:t>
      </w:r>
    </w:p>
    <w:p w:rsidR="00121263" w:rsidRPr="00121263" w:rsidRDefault="00121263" w:rsidP="00121263">
      <w:pPr>
        <w:spacing w:after="0" w:line="240" w:lineRule="auto"/>
        <w:rPr>
          <w:rFonts w:ascii="Times New Roman" w:hAnsi="Times New Roman" w:cs="Times New Roman"/>
          <w:sz w:val="24"/>
          <w:szCs w:val="24"/>
        </w:rPr>
      </w:pPr>
      <w:r w:rsidRPr="00121263">
        <w:rPr>
          <w:rFonts w:ascii="Times New Roman" w:hAnsi="Times New Roman" w:cs="Times New Roman"/>
          <w:sz w:val="24"/>
          <w:szCs w:val="24"/>
        </w:rPr>
        <w:t>Setting: Outpatient spine practice at two academic institutions.</w:t>
      </w:r>
    </w:p>
    <w:p w:rsidR="00121263" w:rsidRPr="00121263" w:rsidRDefault="00121263" w:rsidP="00121263">
      <w:pPr>
        <w:spacing w:after="0" w:line="240" w:lineRule="auto"/>
        <w:rPr>
          <w:rFonts w:ascii="Times New Roman" w:hAnsi="Times New Roman" w:cs="Times New Roman"/>
          <w:sz w:val="24"/>
          <w:szCs w:val="24"/>
        </w:rPr>
      </w:pPr>
      <w:r w:rsidRPr="00121263">
        <w:rPr>
          <w:rFonts w:ascii="Times New Roman" w:hAnsi="Times New Roman" w:cs="Times New Roman"/>
          <w:sz w:val="24"/>
          <w:szCs w:val="24"/>
        </w:rPr>
        <w:t xml:space="preserve">Methods: 162 consecutive patients undergoing lumbosacral </w:t>
      </w:r>
      <w:proofErr w:type="spellStart"/>
      <w:r w:rsidRPr="00121263">
        <w:rPr>
          <w:rFonts w:ascii="Times New Roman" w:hAnsi="Times New Roman" w:cs="Times New Roman"/>
          <w:sz w:val="24"/>
          <w:szCs w:val="24"/>
        </w:rPr>
        <w:t>transforaminal</w:t>
      </w:r>
      <w:proofErr w:type="spellEnd"/>
      <w:r w:rsidRPr="00121263">
        <w:rPr>
          <w:rFonts w:ascii="Times New Roman" w:hAnsi="Times New Roman" w:cs="Times New Roman"/>
          <w:sz w:val="24"/>
          <w:szCs w:val="24"/>
        </w:rPr>
        <w:t xml:space="preserve"> epidural injections were recruited and randomized to each arm of the study – 84 patients were randomized to the 22-gauge needle arm and 78 patients to 25-gauge arm. A total of 249 </w:t>
      </w:r>
      <w:proofErr w:type="spellStart"/>
      <w:r w:rsidRPr="00121263">
        <w:rPr>
          <w:rFonts w:ascii="Times New Roman" w:hAnsi="Times New Roman" w:cs="Times New Roman"/>
          <w:sz w:val="24"/>
          <w:szCs w:val="24"/>
        </w:rPr>
        <w:t>transforaminal</w:t>
      </w:r>
      <w:proofErr w:type="spellEnd"/>
      <w:r w:rsidRPr="00121263">
        <w:rPr>
          <w:rFonts w:ascii="Times New Roman" w:hAnsi="Times New Roman" w:cs="Times New Roman"/>
          <w:sz w:val="24"/>
          <w:szCs w:val="24"/>
        </w:rPr>
        <w:t xml:space="preserve"> epidural steroid injections were completed on 162 subjects. The primary outcome measure was intravascular uptake during live fluoroscopy and/or blood aspiration. The secondary outcome measure was patient reported pain during the procedure on the numerical rating scale.  </w:t>
      </w:r>
    </w:p>
    <w:p w:rsidR="00121263" w:rsidRPr="00121263" w:rsidRDefault="00121263" w:rsidP="00121263">
      <w:pPr>
        <w:spacing w:after="0" w:line="240" w:lineRule="auto"/>
        <w:rPr>
          <w:rFonts w:ascii="Times New Roman" w:hAnsi="Times New Roman" w:cs="Times New Roman"/>
          <w:sz w:val="24"/>
          <w:szCs w:val="24"/>
        </w:rPr>
      </w:pPr>
      <w:r w:rsidRPr="00121263">
        <w:rPr>
          <w:rFonts w:ascii="Times New Roman" w:hAnsi="Times New Roman" w:cs="Times New Roman"/>
          <w:sz w:val="24"/>
          <w:szCs w:val="24"/>
        </w:rPr>
        <w:t>Results: The incidence of intravascular uptake for a 22-gauge needle was 5.9% and for a 25-gauge needle, 7.1% (p=0.701). Average numerical rating scale scores during the initial needle entry for 22-gauge and 25-gauge needle was 3.4</w:t>
      </w:r>
      <w:r w:rsidR="00EC2A34">
        <w:rPr>
          <w:rFonts w:ascii="Times New Roman" w:hAnsi="Times New Roman" w:cs="Times New Roman"/>
          <w:sz w:val="24"/>
          <w:szCs w:val="24"/>
        </w:rPr>
        <w:t>6 and 3.13 respectively (p=0.375</w:t>
      </w:r>
      <w:r w:rsidRPr="00121263">
        <w:rPr>
          <w:rFonts w:ascii="Times New Roman" w:hAnsi="Times New Roman" w:cs="Times New Roman"/>
          <w:sz w:val="24"/>
          <w:szCs w:val="24"/>
        </w:rPr>
        <w:t>).</w:t>
      </w:r>
    </w:p>
    <w:p w:rsidR="00121263" w:rsidRPr="00121263" w:rsidRDefault="00121263" w:rsidP="00121263">
      <w:pPr>
        <w:spacing w:after="0" w:line="240" w:lineRule="auto"/>
        <w:rPr>
          <w:rFonts w:ascii="Times New Roman" w:hAnsi="Times New Roman" w:cs="Times New Roman"/>
          <w:sz w:val="24"/>
          <w:szCs w:val="24"/>
        </w:rPr>
      </w:pPr>
      <w:r w:rsidRPr="00121263">
        <w:rPr>
          <w:rFonts w:ascii="Times New Roman" w:hAnsi="Times New Roman" w:cs="Times New Roman"/>
          <w:sz w:val="24"/>
          <w:szCs w:val="24"/>
        </w:rPr>
        <w:t xml:space="preserve">Limitations: A sample size of 249 was not enough to detect small changes that may exist between the 2 groups especially given the low overall incidence of intravascular uptake during </w:t>
      </w:r>
      <w:proofErr w:type="spellStart"/>
      <w:r w:rsidRPr="00121263">
        <w:rPr>
          <w:rFonts w:ascii="Times New Roman" w:hAnsi="Times New Roman" w:cs="Times New Roman"/>
          <w:sz w:val="24"/>
          <w:szCs w:val="24"/>
        </w:rPr>
        <w:t>transforaminal</w:t>
      </w:r>
      <w:proofErr w:type="spellEnd"/>
      <w:r w:rsidRPr="00121263">
        <w:rPr>
          <w:rFonts w:ascii="Times New Roman" w:hAnsi="Times New Roman" w:cs="Times New Roman"/>
          <w:sz w:val="24"/>
          <w:szCs w:val="24"/>
        </w:rPr>
        <w:t xml:space="preserve"> epidural steroid injections. Authors did not use digital subtraction angiography to detect intravascular uptake.</w:t>
      </w:r>
    </w:p>
    <w:p w:rsidR="00121263" w:rsidRDefault="00121263" w:rsidP="00121263">
      <w:pPr>
        <w:spacing w:after="0" w:line="240" w:lineRule="auto"/>
        <w:rPr>
          <w:rFonts w:ascii="Times New Roman" w:hAnsi="Times New Roman" w:cs="Times New Roman"/>
          <w:sz w:val="24"/>
          <w:szCs w:val="24"/>
        </w:rPr>
      </w:pPr>
      <w:r w:rsidRPr="00121263">
        <w:rPr>
          <w:rFonts w:ascii="Times New Roman" w:hAnsi="Times New Roman" w:cs="Times New Roman"/>
          <w:sz w:val="24"/>
          <w:szCs w:val="24"/>
        </w:rPr>
        <w:t xml:space="preserve">Conclusions: The study showed no statistically significant difference in intravascular uptake or pain perception between a 22-gauge needle and 25-gauge needle during lumbosacral </w:t>
      </w:r>
      <w:proofErr w:type="spellStart"/>
      <w:r w:rsidRPr="00121263">
        <w:rPr>
          <w:rFonts w:ascii="Times New Roman" w:hAnsi="Times New Roman" w:cs="Times New Roman"/>
          <w:sz w:val="24"/>
          <w:szCs w:val="24"/>
        </w:rPr>
        <w:t>transforaminal</w:t>
      </w:r>
      <w:proofErr w:type="spellEnd"/>
      <w:r w:rsidRPr="00121263">
        <w:rPr>
          <w:rFonts w:ascii="Times New Roman" w:hAnsi="Times New Roman" w:cs="Times New Roman"/>
          <w:sz w:val="24"/>
          <w:szCs w:val="24"/>
        </w:rPr>
        <w:t xml:space="preserve"> epidural steroid injections</w:t>
      </w:r>
      <w:r w:rsidRPr="00721591">
        <w:rPr>
          <w:rFonts w:ascii="Times New Roman" w:hAnsi="Times New Roman" w:cs="Times New Roman"/>
          <w:sz w:val="24"/>
          <w:szCs w:val="24"/>
        </w:rPr>
        <w:t xml:space="preserve">. </w:t>
      </w:r>
    </w:p>
    <w:p w:rsidR="00121263" w:rsidRPr="00BA7495" w:rsidRDefault="00121263"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p>
    <w:p w:rsidR="0011318B"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II. INTRODUCTION</w:t>
      </w:r>
    </w:p>
    <w:p w:rsidR="00BA7495" w:rsidRPr="00BA7495" w:rsidRDefault="00BA7495" w:rsidP="00BA7495">
      <w:pPr>
        <w:spacing w:after="0" w:line="240" w:lineRule="auto"/>
        <w:rPr>
          <w:rFonts w:ascii="Times New Roman" w:hAnsi="Times New Roman" w:cs="Times New Roman"/>
          <w:sz w:val="24"/>
          <w:szCs w:val="24"/>
        </w:rPr>
      </w:pPr>
    </w:p>
    <w:p w:rsidR="0011318B" w:rsidRPr="00BA7495" w:rsidRDefault="00E54B00"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Background:</w:t>
      </w:r>
    </w:p>
    <w:p w:rsidR="00E54B00" w:rsidRPr="00BA7495" w:rsidRDefault="00E54B00"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Inadvertent intravascular injection has been suggested as the most probable mechanism behind serious neurological complications during TFESI. Although several needle types have been studied in the past, needle gauge has never been assessed with respect to intravascular uptake. There is also a notion that smaller gauge needle tends to be less painful for patients, hence making the procedure more tolerable. </w:t>
      </w:r>
    </w:p>
    <w:p w:rsidR="00E54B00" w:rsidRPr="00BA7495" w:rsidRDefault="00E54B00" w:rsidP="00BA7495">
      <w:pPr>
        <w:spacing w:after="0" w:line="240" w:lineRule="auto"/>
        <w:rPr>
          <w:rFonts w:ascii="Times New Roman" w:hAnsi="Times New Roman" w:cs="Times New Roman"/>
          <w:sz w:val="24"/>
          <w:szCs w:val="24"/>
        </w:rPr>
      </w:pPr>
    </w:p>
    <w:p w:rsidR="00E54B00" w:rsidRPr="00BA7495" w:rsidRDefault="00E54B00"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Objective:</w:t>
      </w:r>
    </w:p>
    <w:p w:rsidR="00E54B00" w:rsidRDefault="00E54B00"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lastRenderedPageBreak/>
        <w:t xml:space="preserve">To quantify the difference between a 22-gauge needle and 25-gauge needle during lumbosacral </w:t>
      </w:r>
      <w:proofErr w:type="spellStart"/>
      <w:r w:rsidRPr="00BA7495">
        <w:rPr>
          <w:rFonts w:ascii="Times New Roman" w:hAnsi="Times New Roman" w:cs="Times New Roman"/>
          <w:sz w:val="24"/>
          <w:szCs w:val="24"/>
        </w:rPr>
        <w:t>transforaminal</w:t>
      </w:r>
      <w:proofErr w:type="spellEnd"/>
      <w:r w:rsidRPr="00BA7495">
        <w:rPr>
          <w:rFonts w:ascii="Times New Roman" w:hAnsi="Times New Roman" w:cs="Times New Roman"/>
          <w:sz w:val="24"/>
          <w:szCs w:val="24"/>
        </w:rPr>
        <w:t xml:space="preserve"> epidural steroid injection in regards to intravascular uptake and pain perception.</w:t>
      </w:r>
    </w:p>
    <w:p w:rsidR="00BA7495" w:rsidRPr="00BA7495" w:rsidRDefault="00BA7495" w:rsidP="00BA7495">
      <w:pPr>
        <w:spacing w:after="0" w:line="240" w:lineRule="auto"/>
        <w:rPr>
          <w:rFonts w:ascii="Times New Roman" w:hAnsi="Times New Roman" w:cs="Times New Roman"/>
          <w:sz w:val="24"/>
          <w:szCs w:val="24"/>
        </w:rPr>
      </w:pPr>
    </w:p>
    <w:p w:rsidR="0011318B"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III. METHODS</w:t>
      </w:r>
    </w:p>
    <w:p w:rsidR="00BA7495" w:rsidRPr="00BA7495" w:rsidRDefault="00BA7495"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a. Trial design</w:t>
      </w:r>
    </w:p>
    <w:p w:rsidR="00E54B00"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Prospective single blind randomized clinical trial.</w:t>
      </w:r>
      <w:r w:rsidR="00E54B00" w:rsidRPr="00BA7495">
        <w:rPr>
          <w:rFonts w:ascii="Times New Roman" w:hAnsi="Times New Roman" w:cs="Times New Roman"/>
          <w:sz w:val="24"/>
          <w:szCs w:val="24"/>
        </w:rPr>
        <w:t xml:space="preserve"> 162 consecutive patients undergoing lumbosacral </w:t>
      </w:r>
      <w:proofErr w:type="spellStart"/>
      <w:r w:rsidR="00E54B00" w:rsidRPr="00BA7495">
        <w:rPr>
          <w:rFonts w:ascii="Times New Roman" w:hAnsi="Times New Roman" w:cs="Times New Roman"/>
          <w:sz w:val="24"/>
          <w:szCs w:val="24"/>
        </w:rPr>
        <w:t>transforaminal</w:t>
      </w:r>
      <w:proofErr w:type="spellEnd"/>
      <w:r w:rsidR="00E54B00" w:rsidRPr="00BA7495">
        <w:rPr>
          <w:rFonts w:ascii="Times New Roman" w:hAnsi="Times New Roman" w:cs="Times New Roman"/>
          <w:sz w:val="24"/>
          <w:szCs w:val="24"/>
        </w:rPr>
        <w:t xml:space="preserve"> epidural injections were recruited and randomized to </w:t>
      </w:r>
      <w:r w:rsidR="0050056A">
        <w:rPr>
          <w:rFonts w:ascii="Times New Roman" w:hAnsi="Times New Roman" w:cs="Times New Roman"/>
          <w:sz w:val="24"/>
          <w:szCs w:val="24"/>
        </w:rPr>
        <w:t>one of the two</w:t>
      </w:r>
      <w:r w:rsidR="00E54B00" w:rsidRPr="00BA7495">
        <w:rPr>
          <w:rFonts w:ascii="Times New Roman" w:hAnsi="Times New Roman" w:cs="Times New Roman"/>
          <w:sz w:val="24"/>
          <w:szCs w:val="24"/>
        </w:rPr>
        <w:t xml:space="preserve"> arm</w:t>
      </w:r>
      <w:r w:rsidR="0050056A">
        <w:rPr>
          <w:rFonts w:ascii="Times New Roman" w:hAnsi="Times New Roman" w:cs="Times New Roman"/>
          <w:sz w:val="24"/>
          <w:szCs w:val="24"/>
        </w:rPr>
        <w:t>s</w:t>
      </w:r>
      <w:r w:rsidR="00E54B00" w:rsidRPr="00BA7495">
        <w:rPr>
          <w:rFonts w:ascii="Times New Roman" w:hAnsi="Times New Roman" w:cs="Times New Roman"/>
          <w:sz w:val="24"/>
          <w:szCs w:val="24"/>
        </w:rPr>
        <w:t xml:space="preserve"> of the study. Randomization was done separately for each provider based on a computer generated algorithm.</w:t>
      </w:r>
    </w:p>
    <w:p w:rsidR="0011318B" w:rsidRPr="00BA7495" w:rsidRDefault="0011318B"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B. Participants</w:t>
      </w:r>
    </w:p>
    <w:p w:rsidR="00E54B00" w:rsidRPr="00BA7495" w:rsidRDefault="00E54B00"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Consecutive patients at two academic institutions from February 2018 to June 2019 were enrolled for study. All injections were administered with </w:t>
      </w:r>
      <w:proofErr w:type="spellStart"/>
      <w:r w:rsidRPr="00BA7495">
        <w:rPr>
          <w:rFonts w:ascii="Times New Roman" w:hAnsi="Times New Roman" w:cs="Times New Roman"/>
          <w:sz w:val="24"/>
          <w:szCs w:val="24"/>
        </w:rPr>
        <w:t>Quincke</w:t>
      </w:r>
      <w:proofErr w:type="spellEnd"/>
      <w:r w:rsidRPr="00BA7495">
        <w:rPr>
          <w:rFonts w:ascii="Times New Roman" w:hAnsi="Times New Roman" w:cs="Times New Roman"/>
          <w:sz w:val="24"/>
          <w:szCs w:val="24"/>
        </w:rPr>
        <w:t xml:space="preserve"> needles (sharp bevel) and performed in outpatient fluoroscopy suites. </w:t>
      </w:r>
    </w:p>
    <w:p w:rsidR="00E54B00" w:rsidRPr="00BA7495" w:rsidRDefault="00E54B00"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Inclusion criteria included 1) patients with low back pain and/or radicular pain, 2) patients scheduled for lumbosacral TFESI. Exclusion criteria included 1) patients with contrast/local anesthetic allergy, 2) patients with pregnancy, coagulopathy, systemic infection, and inability to provide informed consent, 3) vulnerable patient population including prisoners, 4) patients with severe anxiety, 5) patients with prior lumbar surgery, 6) age &lt;18 years old, and 7) Body Mass Index (BMI) &gt; 40</w:t>
      </w:r>
    </w:p>
    <w:p w:rsidR="00E54B00" w:rsidRPr="00BA7495" w:rsidRDefault="00E54B00"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C. Interventions</w:t>
      </w:r>
    </w:p>
    <w:p w:rsidR="00E54B00" w:rsidRPr="00BA7495" w:rsidRDefault="00E54B00"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All patients underwent </w:t>
      </w:r>
      <w:proofErr w:type="spellStart"/>
      <w:r w:rsidRPr="00BA7495">
        <w:rPr>
          <w:rFonts w:ascii="Times New Roman" w:hAnsi="Times New Roman" w:cs="Times New Roman"/>
          <w:sz w:val="24"/>
          <w:szCs w:val="24"/>
        </w:rPr>
        <w:t>transforaminal</w:t>
      </w:r>
      <w:proofErr w:type="spellEnd"/>
      <w:r w:rsidRPr="00BA7495">
        <w:rPr>
          <w:rFonts w:ascii="Times New Roman" w:hAnsi="Times New Roman" w:cs="Times New Roman"/>
          <w:sz w:val="24"/>
          <w:szCs w:val="24"/>
        </w:rPr>
        <w:t xml:space="preserve"> epidural injection. </w:t>
      </w:r>
      <w:r w:rsidR="0050056A">
        <w:rPr>
          <w:rFonts w:ascii="Times New Roman" w:hAnsi="Times New Roman" w:cs="Times New Roman"/>
          <w:sz w:val="24"/>
          <w:szCs w:val="24"/>
        </w:rPr>
        <w:t xml:space="preserve">Procedure was performed with either </w:t>
      </w:r>
      <w:r w:rsidR="0050056A" w:rsidRPr="00BA7495">
        <w:rPr>
          <w:rFonts w:ascii="Times New Roman" w:hAnsi="Times New Roman" w:cs="Times New Roman"/>
          <w:sz w:val="24"/>
          <w:szCs w:val="24"/>
        </w:rPr>
        <w:t>22</w:t>
      </w:r>
      <w:r w:rsidRPr="00BA7495">
        <w:rPr>
          <w:rFonts w:ascii="Times New Roman" w:hAnsi="Times New Roman" w:cs="Times New Roman"/>
          <w:sz w:val="24"/>
          <w:szCs w:val="24"/>
        </w:rPr>
        <w:t>-gauge vs 25-gauge needle</w:t>
      </w:r>
      <w:r w:rsidR="0050056A">
        <w:rPr>
          <w:rFonts w:ascii="Times New Roman" w:hAnsi="Times New Roman" w:cs="Times New Roman"/>
          <w:sz w:val="24"/>
          <w:szCs w:val="24"/>
        </w:rPr>
        <w:t xml:space="preserve"> based on randomization</w:t>
      </w:r>
      <w:r w:rsidRPr="00BA7495">
        <w:rPr>
          <w:rFonts w:ascii="Times New Roman" w:hAnsi="Times New Roman" w:cs="Times New Roman"/>
          <w:sz w:val="24"/>
          <w:szCs w:val="24"/>
        </w:rPr>
        <w:t xml:space="preserve">. </w:t>
      </w:r>
    </w:p>
    <w:p w:rsidR="00E54B00" w:rsidRPr="00BA7495" w:rsidRDefault="00E54B00"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D. Outcomes</w:t>
      </w:r>
    </w:p>
    <w:p w:rsidR="00E54B00" w:rsidRDefault="00E54B00"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The primary outcome measure was intravascular uptake during live fluoroscopy and/or blood aspiration. The secondary outcome measure was patient reported pain during the procedure from 1-10 on the numerical rating scale (NRS). </w:t>
      </w:r>
    </w:p>
    <w:p w:rsidR="00BA7495" w:rsidRPr="00BA7495" w:rsidRDefault="00BA7495" w:rsidP="00BA7495">
      <w:pPr>
        <w:spacing w:after="0" w:line="240" w:lineRule="auto"/>
        <w:rPr>
          <w:rFonts w:ascii="Times New Roman" w:hAnsi="Times New Roman" w:cs="Times New Roman"/>
          <w:sz w:val="24"/>
          <w:szCs w:val="24"/>
        </w:rPr>
      </w:pPr>
    </w:p>
    <w:p w:rsid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E. Sample size</w:t>
      </w:r>
    </w:p>
    <w:p w:rsidR="00E54B00" w:rsidRPr="00BA7495" w:rsidRDefault="00E54B00"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A total of 249 TFESI injections were completed on 162 subjects. 87 patients received 2 level injections and the remaining 75 patients received 1 level injections. Each level was considered a separate </w:t>
      </w:r>
      <w:proofErr w:type="gramStart"/>
      <w:r w:rsidRPr="00BA7495">
        <w:rPr>
          <w:rFonts w:ascii="Times New Roman" w:hAnsi="Times New Roman" w:cs="Times New Roman"/>
          <w:sz w:val="24"/>
          <w:szCs w:val="24"/>
        </w:rPr>
        <w:t>incidence,</w:t>
      </w:r>
      <w:proofErr w:type="gramEnd"/>
      <w:r w:rsidRPr="00BA7495">
        <w:rPr>
          <w:rFonts w:ascii="Times New Roman" w:hAnsi="Times New Roman" w:cs="Times New Roman"/>
          <w:sz w:val="24"/>
          <w:szCs w:val="24"/>
        </w:rPr>
        <w:t xml:space="preserve"> hence total number of incidence was 249.</w:t>
      </w:r>
    </w:p>
    <w:p w:rsidR="00E54B00" w:rsidRPr="00BA7495" w:rsidRDefault="00E54B00" w:rsidP="00BA7495">
      <w:pPr>
        <w:autoSpaceDE w:val="0"/>
        <w:autoSpaceDN w:val="0"/>
        <w:adjustRightInd w:val="0"/>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F. Randomization – sequence generation</w:t>
      </w:r>
    </w:p>
    <w:p w:rsidR="00E54B00" w:rsidRDefault="00E54B00"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Randomization was done separately for each provider based on a computer generated algorithm.</w:t>
      </w:r>
      <w:r w:rsidR="00975CC9" w:rsidRPr="00BA7495">
        <w:rPr>
          <w:rFonts w:ascii="Times New Roman" w:hAnsi="Times New Roman" w:cs="Times New Roman"/>
          <w:sz w:val="24"/>
          <w:szCs w:val="24"/>
        </w:rPr>
        <w:t xml:space="preserve"> </w:t>
      </w:r>
      <w:r w:rsidR="0050056A">
        <w:rPr>
          <w:rFonts w:ascii="Times New Roman" w:hAnsi="Times New Roman" w:cs="Times New Roman"/>
          <w:sz w:val="24"/>
          <w:szCs w:val="24"/>
        </w:rPr>
        <w:t xml:space="preserve">There were 5 </w:t>
      </w:r>
      <w:proofErr w:type="spellStart"/>
      <w:r w:rsidR="0050056A">
        <w:rPr>
          <w:rFonts w:ascii="Times New Roman" w:hAnsi="Times New Roman" w:cs="Times New Roman"/>
          <w:sz w:val="24"/>
          <w:szCs w:val="24"/>
        </w:rPr>
        <w:t>interventionalists</w:t>
      </w:r>
      <w:proofErr w:type="spellEnd"/>
      <w:r w:rsidR="0050056A">
        <w:rPr>
          <w:rFonts w:ascii="Times New Roman" w:hAnsi="Times New Roman" w:cs="Times New Roman"/>
          <w:sz w:val="24"/>
          <w:szCs w:val="24"/>
        </w:rPr>
        <w:t xml:space="preserve"> involved in the study. </w:t>
      </w:r>
      <w:proofErr w:type="spellStart"/>
      <w:r w:rsidRPr="00BA7495">
        <w:rPr>
          <w:rFonts w:ascii="Times New Roman" w:hAnsi="Times New Roman" w:cs="Times New Roman"/>
          <w:sz w:val="24"/>
          <w:szCs w:val="24"/>
        </w:rPr>
        <w:t>Interventionalists</w:t>
      </w:r>
      <w:proofErr w:type="spellEnd"/>
      <w:r w:rsidRPr="00BA7495">
        <w:rPr>
          <w:rFonts w:ascii="Times New Roman" w:hAnsi="Times New Roman" w:cs="Times New Roman"/>
          <w:sz w:val="24"/>
          <w:szCs w:val="24"/>
        </w:rPr>
        <w:t xml:space="preserve"> would only know the </w:t>
      </w:r>
      <w:r w:rsidR="00975CC9" w:rsidRPr="00BA7495">
        <w:rPr>
          <w:rFonts w:ascii="Times New Roman" w:hAnsi="Times New Roman" w:cs="Times New Roman"/>
          <w:sz w:val="24"/>
          <w:szCs w:val="24"/>
        </w:rPr>
        <w:t xml:space="preserve">assigned </w:t>
      </w:r>
      <w:r w:rsidRPr="00BA7495">
        <w:rPr>
          <w:rFonts w:ascii="Times New Roman" w:hAnsi="Times New Roman" w:cs="Times New Roman"/>
          <w:sz w:val="24"/>
          <w:szCs w:val="24"/>
        </w:rPr>
        <w:t>needle just prior to the injection</w:t>
      </w:r>
      <w:r w:rsidR="00975CC9" w:rsidRPr="00BA7495">
        <w:rPr>
          <w:rFonts w:ascii="Times New Roman" w:hAnsi="Times New Roman" w:cs="Times New Roman"/>
          <w:sz w:val="24"/>
          <w:szCs w:val="24"/>
        </w:rPr>
        <w:t xml:space="preserve">. </w:t>
      </w:r>
    </w:p>
    <w:p w:rsidR="00BA7495" w:rsidRPr="00BA7495" w:rsidRDefault="00BA7495" w:rsidP="00BA7495">
      <w:pPr>
        <w:spacing w:after="0" w:line="240" w:lineRule="auto"/>
        <w:rPr>
          <w:rFonts w:ascii="Times New Roman" w:hAnsi="Times New Roman" w:cs="Times New Roman"/>
          <w:sz w:val="24"/>
          <w:szCs w:val="24"/>
        </w:rPr>
      </w:pPr>
    </w:p>
    <w:p w:rsidR="0011318B" w:rsidRPr="00987241" w:rsidRDefault="00987241" w:rsidP="009872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11318B" w:rsidRPr="00987241">
        <w:rPr>
          <w:rFonts w:ascii="Times New Roman" w:hAnsi="Times New Roman" w:cs="Times New Roman"/>
          <w:sz w:val="24"/>
          <w:szCs w:val="24"/>
        </w:rPr>
        <w:t>Blinding (masking)</w:t>
      </w:r>
    </w:p>
    <w:p w:rsidR="00975CC9" w:rsidRDefault="00975CC9"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Single </w:t>
      </w:r>
      <w:r w:rsidR="0050056A" w:rsidRPr="00BA7495">
        <w:rPr>
          <w:rFonts w:ascii="Times New Roman" w:hAnsi="Times New Roman" w:cs="Times New Roman"/>
          <w:sz w:val="24"/>
          <w:szCs w:val="24"/>
        </w:rPr>
        <w:t>blinded</w:t>
      </w:r>
      <w:r w:rsidRPr="00BA7495">
        <w:rPr>
          <w:rFonts w:ascii="Times New Roman" w:hAnsi="Times New Roman" w:cs="Times New Roman"/>
          <w:sz w:val="24"/>
          <w:szCs w:val="24"/>
        </w:rPr>
        <w:t xml:space="preserve"> study – Patients were blinded to the gauge of the needle. </w:t>
      </w:r>
      <w:proofErr w:type="spellStart"/>
      <w:r w:rsidRPr="00BA7495">
        <w:rPr>
          <w:rFonts w:ascii="Times New Roman" w:hAnsi="Times New Roman" w:cs="Times New Roman"/>
          <w:sz w:val="24"/>
          <w:szCs w:val="24"/>
        </w:rPr>
        <w:t>Interventionalists</w:t>
      </w:r>
      <w:proofErr w:type="spellEnd"/>
      <w:r w:rsidRPr="00BA7495">
        <w:rPr>
          <w:rFonts w:ascii="Times New Roman" w:hAnsi="Times New Roman" w:cs="Times New Roman"/>
          <w:sz w:val="24"/>
          <w:szCs w:val="24"/>
        </w:rPr>
        <w:t xml:space="preserve"> would only know the assigned needle just prior to the injection.</w:t>
      </w:r>
    </w:p>
    <w:p w:rsidR="00BA7495" w:rsidRPr="00BA7495" w:rsidRDefault="00BA7495"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J. Statistical methods</w:t>
      </w:r>
    </w:p>
    <w:p w:rsidR="00975CC9" w:rsidRDefault="00975CC9"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lastRenderedPageBreak/>
        <w:t xml:space="preserve">Each needle entry at any given lumbosacral level was considered a separate incidence. For instance, a bilateral L5 TFESI was considered 2 separate incidences. Fisher exact test was used to detect differences between 2 groups in regards to intravascular uptake and t-tests were used to detect differences in pain scores. Both primary and secondary outcome measures were analyzed based on intent-to-treat principle. </w:t>
      </w:r>
    </w:p>
    <w:p w:rsidR="00BA7495" w:rsidRPr="00BA7495" w:rsidRDefault="00BA7495" w:rsidP="00BA7495">
      <w:pPr>
        <w:spacing w:after="0" w:line="240" w:lineRule="auto"/>
        <w:rPr>
          <w:rFonts w:ascii="Times New Roman" w:hAnsi="Times New Roman" w:cs="Times New Roman"/>
          <w:sz w:val="24"/>
          <w:szCs w:val="24"/>
        </w:rPr>
      </w:pPr>
    </w:p>
    <w:p w:rsidR="0011318B"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IV. RESULTS</w:t>
      </w:r>
    </w:p>
    <w:p w:rsidR="00BA7495" w:rsidRPr="00BA7495" w:rsidRDefault="00BA7495" w:rsidP="00BA7495">
      <w:pPr>
        <w:spacing w:after="0" w:line="240" w:lineRule="auto"/>
        <w:rPr>
          <w:rFonts w:ascii="Times New Roman" w:hAnsi="Times New Roman" w:cs="Times New Roman"/>
          <w:sz w:val="24"/>
          <w:szCs w:val="24"/>
        </w:rPr>
      </w:pPr>
    </w:p>
    <w:p w:rsidR="0011318B" w:rsidRPr="00BA7495" w:rsidRDefault="0011318B" w:rsidP="00BA7495">
      <w:pPr>
        <w:pStyle w:val="ListParagraph"/>
        <w:numPr>
          <w:ilvl w:val="0"/>
          <w:numId w:val="2"/>
        </w:num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Participant flow</w:t>
      </w:r>
    </w:p>
    <w:p w:rsidR="00975CC9" w:rsidRDefault="0097465E"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Consecutive patients at two academic institutions from February 2018 to June 2019 were enrolled for study. All injections were performed in outpatient fluoroscopy suites. After obtaining informed consent, patients were asked to record pre-procedure pain level on the NRS. Patients were then brought to the fluoroscopy suite and placed in prone position on the fluoroscopy table</w:t>
      </w:r>
      <w:r w:rsidR="0050056A">
        <w:rPr>
          <w:rFonts w:ascii="Times New Roman" w:hAnsi="Times New Roman" w:cs="Times New Roman"/>
          <w:sz w:val="24"/>
          <w:szCs w:val="24"/>
        </w:rPr>
        <w:t xml:space="preserve"> for the procedure</w:t>
      </w:r>
      <w:r w:rsidRPr="00BA7495">
        <w:rPr>
          <w:rFonts w:ascii="Times New Roman" w:hAnsi="Times New Roman" w:cs="Times New Roman"/>
          <w:sz w:val="24"/>
          <w:szCs w:val="24"/>
        </w:rPr>
        <w:t>. A procedural time-out was then conducted as per facility guidelines. At the conclusion of the procedure, all needle(s) were re-</w:t>
      </w:r>
      <w:proofErr w:type="spellStart"/>
      <w:r w:rsidRPr="00BA7495">
        <w:rPr>
          <w:rFonts w:ascii="Times New Roman" w:hAnsi="Times New Roman" w:cs="Times New Roman"/>
          <w:sz w:val="24"/>
          <w:szCs w:val="24"/>
        </w:rPr>
        <w:t>styletted</w:t>
      </w:r>
      <w:proofErr w:type="spellEnd"/>
      <w:r w:rsidRPr="00BA7495">
        <w:rPr>
          <w:rFonts w:ascii="Times New Roman" w:hAnsi="Times New Roman" w:cs="Times New Roman"/>
          <w:sz w:val="24"/>
          <w:szCs w:val="24"/>
        </w:rPr>
        <w:t>, withdrawn and sterile dressings were placed. Patients were then brought to the recovery area and presented with the post-procedural questionnaire.</w:t>
      </w:r>
    </w:p>
    <w:p w:rsidR="00BA7495" w:rsidRPr="00BA7495" w:rsidRDefault="00BA7495" w:rsidP="00BA7495">
      <w:pPr>
        <w:spacing w:after="0" w:line="240" w:lineRule="auto"/>
        <w:rPr>
          <w:rFonts w:ascii="Times New Roman" w:hAnsi="Times New Roman" w:cs="Times New Roman"/>
          <w:sz w:val="24"/>
          <w:szCs w:val="24"/>
        </w:rPr>
      </w:pPr>
    </w:p>
    <w:p w:rsidR="0011318B" w:rsidRPr="00BA7495" w:rsidRDefault="0011318B" w:rsidP="00BA7495">
      <w:pPr>
        <w:pStyle w:val="ListParagraph"/>
        <w:numPr>
          <w:ilvl w:val="0"/>
          <w:numId w:val="2"/>
        </w:num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Recruitment</w:t>
      </w:r>
    </w:p>
    <w:p w:rsidR="0097465E" w:rsidRPr="00BA7495" w:rsidRDefault="0097465E"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Consecutive patients scheduled for </w:t>
      </w:r>
      <w:proofErr w:type="spellStart"/>
      <w:r w:rsidRPr="00BA7495">
        <w:rPr>
          <w:rFonts w:ascii="Times New Roman" w:hAnsi="Times New Roman" w:cs="Times New Roman"/>
          <w:sz w:val="24"/>
          <w:szCs w:val="24"/>
        </w:rPr>
        <w:t>tran</w:t>
      </w:r>
      <w:r w:rsidR="0050056A">
        <w:rPr>
          <w:rFonts w:ascii="Times New Roman" w:hAnsi="Times New Roman" w:cs="Times New Roman"/>
          <w:sz w:val="24"/>
          <w:szCs w:val="24"/>
        </w:rPr>
        <w:t>s</w:t>
      </w:r>
      <w:r w:rsidRPr="00BA7495">
        <w:rPr>
          <w:rFonts w:ascii="Times New Roman" w:hAnsi="Times New Roman" w:cs="Times New Roman"/>
          <w:sz w:val="24"/>
          <w:szCs w:val="24"/>
        </w:rPr>
        <w:t>foraminal</w:t>
      </w:r>
      <w:proofErr w:type="spellEnd"/>
      <w:r w:rsidRPr="00BA7495">
        <w:rPr>
          <w:rFonts w:ascii="Times New Roman" w:hAnsi="Times New Roman" w:cs="Times New Roman"/>
          <w:sz w:val="24"/>
          <w:szCs w:val="24"/>
        </w:rPr>
        <w:t xml:space="preserve"> epidural injections at two academic institutions from February 2018 to June 2019 were approached by study </w:t>
      </w:r>
      <w:r w:rsidR="0050056A" w:rsidRPr="00BA7495">
        <w:rPr>
          <w:rFonts w:ascii="Times New Roman" w:hAnsi="Times New Roman" w:cs="Times New Roman"/>
          <w:sz w:val="24"/>
          <w:szCs w:val="24"/>
        </w:rPr>
        <w:t>coordinator</w:t>
      </w:r>
      <w:r w:rsidR="00D07D0D">
        <w:rPr>
          <w:rFonts w:ascii="Times New Roman" w:hAnsi="Times New Roman" w:cs="Times New Roman"/>
          <w:sz w:val="24"/>
          <w:szCs w:val="24"/>
        </w:rPr>
        <w:t>/physician</w:t>
      </w:r>
      <w:r w:rsidRPr="00BA7495">
        <w:rPr>
          <w:rFonts w:ascii="Times New Roman" w:hAnsi="Times New Roman" w:cs="Times New Roman"/>
          <w:sz w:val="24"/>
          <w:szCs w:val="24"/>
        </w:rPr>
        <w:t xml:space="preserve"> and informed of the study. If interested, </w:t>
      </w:r>
      <w:r w:rsidR="0050056A">
        <w:rPr>
          <w:rFonts w:ascii="Times New Roman" w:hAnsi="Times New Roman" w:cs="Times New Roman"/>
          <w:sz w:val="24"/>
          <w:szCs w:val="24"/>
        </w:rPr>
        <w:t>patients</w:t>
      </w:r>
      <w:r w:rsidRPr="00BA7495">
        <w:rPr>
          <w:rFonts w:ascii="Times New Roman" w:hAnsi="Times New Roman" w:cs="Times New Roman"/>
          <w:sz w:val="24"/>
          <w:szCs w:val="24"/>
        </w:rPr>
        <w:t xml:space="preserve"> would be enrolled in the study. </w:t>
      </w:r>
    </w:p>
    <w:p w:rsidR="00975CC9" w:rsidRPr="00BA7495" w:rsidRDefault="00975CC9"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C. Baseline data</w:t>
      </w:r>
    </w:p>
    <w:p w:rsidR="0097465E" w:rsidRPr="00BA7495" w:rsidRDefault="0097465E"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Table 1: Patient baseline demographic data</w:t>
      </w:r>
    </w:p>
    <w:tbl>
      <w:tblPr>
        <w:tblStyle w:val="TableGrid"/>
        <w:tblW w:w="0" w:type="auto"/>
        <w:tblLook w:val="04A0" w:firstRow="1" w:lastRow="0" w:firstColumn="1" w:lastColumn="0" w:noHBand="0" w:noVBand="1"/>
      </w:tblPr>
      <w:tblGrid>
        <w:gridCol w:w="2591"/>
        <w:gridCol w:w="2329"/>
        <w:gridCol w:w="2329"/>
        <w:gridCol w:w="2101"/>
      </w:tblGrid>
      <w:tr w:rsidR="0097465E" w:rsidRPr="00BA7495" w:rsidTr="00A106DF">
        <w:tc>
          <w:tcPr>
            <w:tcW w:w="2591" w:type="dxa"/>
          </w:tcPr>
          <w:p w:rsidR="0097465E" w:rsidRPr="00BA7495" w:rsidRDefault="0097465E" w:rsidP="00BA7495">
            <w:pPr>
              <w:rPr>
                <w:rFonts w:ascii="Times New Roman" w:hAnsi="Times New Roman" w:cs="Times New Roman"/>
                <w:sz w:val="24"/>
                <w:szCs w:val="24"/>
              </w:rPr>
            </w:pP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22-gauge (n=84)</w:t>
            </w: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25-gauge (n=78)</w:t>
            </w:r>
          </w:p>
        </w:tc>
        <w:tc>
          <w:tcPr>
            <w:tcW w:w="2101"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p-value</w:t>
            </w:r>
          </w:p>
        </w:tc>
      </w:tr>
      <w:tr w:rsidR="0097465E" w:rsidRPr="00BA7495" w:rsidTr="00A106DF">
        <w:tc>
          <w:tcPr>
            <w:tcW w:w="2591"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Age (years)</w:t>
            </w: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60.0</w:t>
            </w: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57.7</w:t>
            </w:r>
          </w:p>
        </w:tc>
        <w:tc>
          <w:tcPr>
            <w:tcW w:w="2101"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0.322</w:t>
            </w:r>
          </w:p>
        </w:tc>
      </w:tr>
      <w:tr w:rsidR="0097465E" w:rsidRPr="00BA7495" w:rsidTr="00A106DF">
        <w:tc>
          <w:tcPr>
            <w:tcW w:w="2591"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Sex (M:F)</w:t>
            </w: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M-45%; F-55%</w:t>
            </w: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M-52%; F-48%</w:t>
            </w:r>
          </w:p>
        </w:tc>
        <w:tc>
          <w:tcPr>
            <w:tcW w:w="2101"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0.543</w:t>
            </w:r>
          </w:p>
        </w:tc>
      </w:tr>
      <w:tr w:rsidR="0097465E" w:rsidRPr="00BA7495" w:rsidTr="00A106DF">
        <w:tc>
          <w:tcPr>
            <w:tcW w:w="2591"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 xml:space="preserve">Diagnosis </w:t>
            </w:r>
          </w:p>
        </w:tc>
        <w:tc>
          <w:tcPr>
            <w:tcW w:w="2329" w:type="dxa"/>
          </w:tcPr>
          <w:p w:rsidR="0097465E" w:rsidRPr="00BA7495" w:rsidRDefault="0097465E" w:rsidP="00BA7495">
            <w:pPr>
              <w:rPr>
                <w:rFonts w:ascii="Times New Roman" w:hAnsi="Times New Roman" w:cs="Times New Roman"/>
                <w:sz w:val="24"/>
                <w:szCs w:val="24"/>
              </w:rPr>
            </w:pPr>
          </w:p>
        </w:tc>
        <w:tc>
          <w:tcPr>
            <w:tcW w:w="2329" w:type="dxa"/>
          </w:tcPr>
          <w:p w:rsidR="0097465E" w:rsidRPr="00BA7495" w:rsidRDefault="0097465E" w:rsidP="00BA7495">
            <w:pPr>
              <w:rPr>
                <w:rFonts w:ascii="Times New Roman" w:hAnsi="Times New Roman" w:cs="Times New Roman"/>
                <w:sz w:val="24"/>
                <w:szCs w:val="24"/>
              </w:rPr>
            </w:pPr>
          </w:p>
        </w:tc>
        <w:tc>
          <w:tcPr>
            <w:tcW w:w="2101" w:type="dxa"/>
          </w:tcPr>
          <w:p w:rsidR="0097465E" w:rsidRPr="00BA7495" w:rsidRDefault="0097465E" w:rsidP="00BA7495">
            <w:pPr>
              <w:rPr>
                <w:rFonts w:ascii="Times New Roman" w:hAnsi="Times New Roman" w:cs="Times New Roman"/>
                <w:sz w:val="24"/>
                <w:szCs w:val="24"/>
              </w:rPr>
            </w:pPr>
          </w:p>
        </w:tc>
      </w:tr>
      <w:tr w:rsidR="0097465E" w:rsidRPr="00BA7495" w:rsidTr="00A106DF">
        <w:tc>
          <w:tcPr>
            <w:tcW w:w="2591"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-Radiculopathy</w:t>
            </w: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73.8%</w:t>
            </w: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80.7%</w:t>
            </w:r>
          </w:p>
        </w:tc>
        <w:tc>
          <w:tcPr>
            <w:tcW w:w="2101" w:type="dxa"/>
          </w:tcPr>
          <w:p w:rsidR="0097465E" w:rsidRPr="00BA7495" w:rsidRDefault="0097465E" w:rsidP="00BA7495">
            <w:pPr>
              <w:rPr>
                <w:rFonts w:ascii="Times New Roman" w:hAnsi="Times New Roman" w:cs="Times New Roman"/>
                <w:sz w:val="24"/>
                <w:szCs w:val="24"/>
              </w:rPr>
            </w:pPr>
          </w:p>
        </w:tc>
      </w:tr>
      <w:tr w:rsidR="0097465E" w:rsidRPr="00BA7495" w:rsidTr="00A106DF">
        <w:tc>
          <w:tcPr>
            <w:tcW w:w="2591"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 xml:space="preserve">-Spinal Stenosis </w:t>
            </w: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22.6%</w:t>
            </w: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14.1%</w:t>
            </w:r>
          </w:p>
        </w:tc>
        <w:tc>
          <w:tcPr>
            <w:tcW w:w="2101" w:type="dxa"/>
          </w:tcPr>
          <w:p w:rsidR="0097465E" w:rsidRPr="00BA7495" w:rsidRDefault="0097465E" w:rsidP="00BA7495">
            <w:pPr>
              <w:rPr>
                <w:rFonts w:ascii="Times New Roman" w:hAnsi="Times New Roman" w:cs="Times New Roman"/>
                <w:sz w:val="24"/>
                <w:szCs w:val="24"/>
              </w:rPr>
            </w:pPr>
          </w:p>
        </w:tc>
      </w:tr>
      <w:tr w:rsidR="0097465E" w:rsidRPr="00BA7495" w:rsidTr="00A106DF">
        <w:tc>
          <w:tcPr>
            <w:tcW w:w="2591"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 xml:space="preserve">-Other </w:t>
            </w: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3.6%</w:t>
            </w:r>
          </w:p>
        </w:tc>
        <w:tc>
          <w:tcPr>
            <w:tcW w:w="232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5.2%</w:t>
            </w:r>
          </w:p>
        </w:tc>
        <w:tc>
          <w:tcPr>
            <w:tcW w:w="2101" w:type="dxa"/>
          </w:tcPr>
          <w:p w:rsidR="0097465E" w:rsidRPr="00BA7495" w:rsidRDefault="0097465E" w:rsidP="00BA7495">
            <w:pPr>
              <w:rPr>
                <w:rFonts w:ascii="Times New Roman" w:hAnsi="Times New Roman" w:cs="Times New Roman"/>
                <w:sz w:val="24"/>
                <w:szCs w:val="24"/>
              </w:rPr>
            </w:pPr>
          </w:p>
        </w:tc>
      </w:tr>
    </w:tbl>
    <w:p w:rsidR="0097465E" w:rsidRPr="00BA7495" w:rsidRDefault="0097465E" w:rsidP="00BA7495">
      <w:pPr>
        <w:spacing w:after="0" w:line="240" w:lineRule="auto"/>
        <w:rPr>
          <w:rFonts w:ascii="Times New Roman" w:hAnsi="Times New Roman" w:cs="Times New Roman"/>
          <w:sz w:val="24"/>
          <w:szCs w:val="24"/>
        </w:rPr>
      </w:pPr>
    </w:p>
    <w:p w:rsidR="00975CC9" w:rsidRPr="00BA7495" w:rsidRDefault="00975CC9" w:rsidP="00BA7495">
      <w:pPr>
        <w:spacing w:after="0" w:line="240" w:lineRule="auto"/>
        <w:rPr>
          <w:rFonts w:ascii="Times New Roman" w:hAnsi="Times New Roman" w:cs="Times New Roman"/>
          <w:sz w:val="24"/>
          <w:szCs w:val="24"/>
        </w:rPr>
      </w:pPr>
    </w:p>
    <w:p w:rsidR="0097465E"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D. Numbers analyzed</w:t>
      </w:r>
    </w:p>
    <w:p w:rsidR="00BA7495" w:rsidRPr="00BA7495" w:rsidRDefault="00BA7495"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Both primary and secondary outcome measures were analyzed based on intent-to-treat principle.</w:t>
      </w:r>
    </w:p>
    <w:p w:rsidR="00BA7495" w:rsidRPr="00BA7495" w:rsidRDefault="00BA7495" w:rsidP="00BA7495">
      <w:pPr>
        <w:autoSpaceDE w:val="0"/>
        <w:autoSpaceDN w:val="0"/>
        <w:adjustRightInd w:val="0"/>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A total of 249 TFESI injections were completed on 162 subjects. 87 patients received 2 level injections and the remaining 75 patients received 1 level injections. Each level was considered a separate </w:t>
      </w:r>
      <w:proofErr w:type="gramStart"/>
      <w:r w:rsidRPr="00BA7495">
        <w:rPr>
          <w:rFonts w:ascii="Times New Roman" w:hAnsi="Times New Roman" w:cs="Times New Roman"/>
          <w:sz w:val="24"/>
          <w:szCs w:val="24"/>
        </w:rPr>
        <w:t>incidence,</w:t>
      </w:r>
      <w:proofErr w:type="gramEnd"/>
      <w:r w:rsidRPr="00BA7495">
        <w:rPr>
          <w:rFonts w:ascii="Times New Roman" w:hAnsi="Times New Roman" w:cs="Times New Roman"/>
          <w:sz w:val="24"/>
          <w:szCs w:val="24"/>
        </w:rPr>
        <w:t xml:space="preserve"> hence total number of incidence was 249.</w:t>
      </w:r>
    </w:p>
    <w:p w:rsidR="00BA7495" w:rsidRPr="00BA7495" w:rsidRDefault="00BA7495" w:rsidP="00BA7495">
      <w:pPr>
        <w:autoSpaceDE w:val="0"/>
        <w:autoSpaceDN w:val="0"/>
        <w:adjustRightInd w:val="0"/>
        <w:spacing w:after="0" w:line="240" w:lineRule="auto"/>
        <w:rPr>
          <w:rFonts w:ascii="Times New Roman" w:hAnsi="Times New Roman" w:cs="Times New Roman"/>
          <w:sz w:val="24"/>
          <w:szCs w:val="24"/>
        </w:rPr>
      </w:pPr>
    </w:p>
    <w:p w:rsidR="00BA7495" w:rsidRPr="00BA7495" w:rsidRDefault="00BA7495" w:rsidP="00BA7495">
      <w:pPr>
        <w:autoSpaceDE w:val="0"/>
        <w:autoSpaceDN w:val="0"/>
        <w:adjustRightInd w:val="0"/>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84 patients received 22-gauge needle and 78 patients received 25-gauge needle. </w:t>
      </w:r>
    </w:p>
    <w:p w:rsidR="00BA7495" w:rsidRDefault="00BA7495" w:rsidP="00BA7495">
      <w:pPr>
        <w:autoSpaceDE w:val="0"/>
        <w:autoSpaceDN w:val="0"/>
        <w:adjustRightInd w:val="0"/>
        <w:spacing w:after="0" w:line="240" w:lineRule="auto"/>
        <w:rPr>
          <w:rFonts w:ascii="Times New Roman" w:hAnsi="Times New Roman" w:cs="Times New Roman"/>
          <w:sz w:val="24"/>
          <w:szCs w:val="24"/>
        </w:rPr>
      </w:pPr>
    </w:p>
    <w:p w:rsidR="00D07D0D" w:rsidRPr="00BA7495" w:rsidRDefault="00D07D0D" w:rsidP="00BA7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Primary outcome:</w:t>
      </w:r>
    </w:p>
    <w:p w:rsidR="0097465E" w:rsidRDefault="0097465E"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The overall incidence of intravascular uptake for both the 22-gauge and 25-gauge group was 6.4% (16 out of 249) in this study. The incidence of intravascular uptake for 22-gauge group was 5.9% (8 out of 136, 95% confidence interval: 1.9% to 9.8%). The incidence of intravascular </w:t>
      </w:r>
      <w:r w:rsidRPr="00BA7495">
        <w:rPr>
          <w:rFonts w:ascii="Times New Roman" w:hAnsi="Times New Roman" w:cs="Times New Roman"/>
          <w:sz w:val="24"/>
          <w:szCs w:val="24"/>
        </w:rPr>
        <w:lastRenderedPageBreak/>
        <w:t xml:space="preserve">uptake for 25-gauge group was 7.1% (8 out of 113, 95% confidence interval: 2.4% to 11.8%). There was no statistically significant difference between both groups in regards to intravascular uptake (p=0.701).  </w:t>
      </w:r>
    </w:p>
    <w:p w:rsidR="00D07D0D" w:rsidRDefault="00D07D0D" w:rsidP="00BA7495">
      <w:pPr>
        <w:spacing w:after="0" w:line="240" w:lineRule="auto"/>
        <w:rPr>
          <w:rFonts w:ascii="Times New Roman" w:hAnsi="Times New Roman" w:cs="Times New Roman"/>
          <w:sz w:val="24"/>
          <w:szCs w:val="24"/>
        </w:rPr>
      </w:pPr>
    </w:p>
    <w:p w:rsidR="00D07D0D" w:rsidRPr="00BA7495" w:rsidRDefault="00D07D0D" w:rsidP="00BA7495">
      <w:pPr>
        <w:spacing w:after="0" w:line="240" w:lineRule="auto"/>
        <w:rPr>
          <w:rFonts w:ascii="Times New Roman" w:hAnsi="Times New Roman" w:cs="Times New Roman"/>
          <w:sz w:val="24"/>
          <w:szCs w:val="24"/>
        </w:rPr>
      </w:pPr>
      <w:r>
        <w:rPr>
          <w:rFonts w:ascii="Times New Roman" w:hAnsi="Times New Roman" w:cs="Times New Roman"/>
          <w:sz w:val="24"/>
          <w:szCs w:val="24"/>
        </w:rPr>
        <w:t>Secondary outcome:</w:t>
      </w:r>
    </w:p>
    <w:p w:rsidR="0097465E" w:rsidRPr="00BA7495" w:rsidRDefault="0097465E"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Pain scores (NRS 1-10) between 22-gauge and 25-gauge groups </w:t>
      </w:r>
    </w:p>
    <w:tbl>
      <w:tblPr>
        <w:tblStyle w:val="TableGrid"/>
        <w:tblW w:w="0" w:type="auto"/>
        <w:tblLook w:val="04A0" w:firstRow="1" w:lastRow="0" w:firstColumn="1" w:lastColumn="0" w:noHBand="0" w:noVBand="1"/>
      </w:tblPr>
      <w:tblGrid>
        <w:gridCol w:w="2584"/>
        <w:gridCol w:w="2369"/>
        <w:gridCol w:w="2298"/>
        <w:gridCol w:w="2099"/>
      </w:tblGrid>
      <w:tr w:rsidR="0097465E" w:rsidRPr="00BA7495" w:rsidTr="00A106DF">
        <w:tc>
          <w:tcPr>
            <w:tcW w:w="2584"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Pain scores</w:t>
            </w:r>
          </w:p>
        </w:tc>
        <w:tc>
          <w:tcPr>
            <w:tcW w:w="236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 xml:space="preserve">22-gauge (95% CI*) </w:t>
            </w:r>
          </w:p>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 xml:space="preserve">n = 84 </w:t>
            </w:r>
          </w:p>
        </w:tc>
        <w:tc>
          <w:tcPr>
            <w:tcW w:w="2298"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25-gauge (95% CI*)</w:t>
            </w:r>
          </w:p>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n = 78</w:t>
            </w:r>
          </w:p>
        </w:tc>
        <w:tc>
          <w:tcPr>
            <w:tcW w:w="209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p-value</w:t>
            </w:r>
          </w:p>
        </w:tc>
      </w:tr>
      <w:tr w:rsidR="0097465E" w:rsidRPr="00BA7495" w:rsidTr="00A106DF">
        <w:tc>
          <w:tcPr>
            <w:tcW w:w="2584"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Average NRS before the procedure</w:t>
            </w:r>
          </w:p>
        </w:tc>
        <w:tc>
          <w:tcPr>
            <w:tcW w:w="236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5.88 (5.42 to 6.34)</w:t>
            </w:r>
          </w:p>
        </w:tc>
        <w:tc>
          <w:tcPr>
            <w:tcW w:w="2298"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6.21 (5.73 to 6.69)</w:t>
            </w:r>
          </w:p>
        </w:tc>
        <w:tc>
          <w:tcPr>
            <w:tcW w:w="209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0.330</w:t>
            </w:r>
          </w:p>
        </w:tc>
      </w:tr>
      <w:tr w:rsidR="0097465E" w:rsidRPr="00BA7495" w:rsidTr="00A106DF">
        <w:tc>
          <w:tcPr>
            <w:tcW w:w="2584"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Average NRS during the initial needle entry</w:t>
            </w:r>
          </w:p>
        </w:tc>
        <w:tc>
          <w:tcPr>
            <w:tcW w:w="236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3.46 (2.94 to 3.98)</w:t>
            </w:r>
          </w:p>
        </w:tc>
        <w:tc>
          <w:tcPr>
            <w:tcW w:w="2298"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3.13 (2.57 to 3.69)</w:t>
            </w:r>
          </w:p>
        </w:tc>
        <w:tc>
          <w:tcPr>
            <w:tcW w:w="2099" w:type="dxa"/>
          </w:tcPr>
          <w:p w:rsidR="0097465E" w:rsidRPr="00BA7495" w:rsidRDefault="00EC2A34" w:rsidP="00BA7495">
            <w:pPr>
              <w:rPr>
                <w:rFonts w:ascii="Times New Roman" w:hAnsi="Times New Roman" w:cs="Times New Roman"/>
                <w:sz w:val="24"/>
                <w:szCs w:val="24"/>
              </w:rPr>
            </w:pPr>
            <w:r>
              <w:rPr>
                <w:rFonts w:ascii="Times New Roman" w:hAnsi="Times New Roman" w:cs="Times New Roman"/>
                <w:sz w:val="24"/>
                <w:szCs w:val="24"/>
              </w:rPr>
              <w:t>0.375</w:t>
            </w:r>
          </w:p>
        </w:tc>
      </w:tr>
      <w:tr w:rsidR="0097465E" w:rsidRPr="00BA7495" w:rsidTr="00A106DF">
        <w:tc>
          <w:tcPr>
            <w:tcW w:w="2584"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 xml:space="preserve">Average NRS during the administration of steroid </w:t>
            </w:r>
          </w:p>
        </w:tc>
        <w:tc>
          <w:tcPr>
            <w:tcW w:w="2369"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4.01 (3.44 to 4.58)</w:t>
            </w:r>
          </w:p>
        </w:tc>
        <w:tc>
          <w:tcPr>
            <w:tcW w:w="2298" w:type="dxa"/>
          </w:tcPr>
          <w:p w:rsidR="0097465E" w:rsidRPr="00BA7495" w:rsidRDefault="0097465E" w:rsidP="00BA7495">
            <w:pPr>
              <w:rPr>
                <w:rFonts w:ascii="Times New Roman" w:hAnsi="Times New Roman" w:cs="Times New Roman"/>
                <w:sz w:val="24"/>
                <w:szCs w:val="24"/>
              </w:rPr>
            </w:pPr>
            <w:r w:rsidRPr="00BA7495">
              <w:rPr>
                <w:rFonts w:ascii="Times New Roman" w:hAnsi="Times New Roman" w:cs="Times New Roman"/>
                <w:sz w:val="24"/>
                <w:szCs w:val="24"/>
              </w:rPr>
              <w:t>3.77 (3.20 to 4.34)</w:t>
            </w:r>
          </w:p>
        </w:tc>
        <w:tc>
          <w:tcPr>
            <w:tcW w:w="2099" w:type="dxa"/>
          </w:tcPr>
          <w:p w:rsidR="0097465E" w:rsidRPr="00BA7495" w:rsidRDefault="00EC2A34" w:rsidP="00BA7495">
            <w:pPr>
              <w:rPr>
                <w:rFonts w:ascii="Times New Roman" w:hAnsi="Times New Roman" w:cs="Times New Roman"/>
                <w:sz w:val="24"/>
                <w:szCs w:val="24"/>
              </w:rPr>
            </w:pPr>
            <w:r>
              <w:rPr>
                <w:rFonts w:ascii="Times New Roman" w:hAnsi="Times New Roman" w:cs="Times New Roman"/>
                <w:sz w:val="24"/>
                <w:szCs w:val="24"/>
              </w:rPr>
              <w:t>0.554</w:t>
            </w:r>
          </w:p>
        </w:tc>
      </w:tr>
    </w:tbl>
    <w:p w:rsidR="0097465E" w:rsidRPr="00BA7495" w:rsidRDefault="0097465E"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There was no statistically significant difference in pain scores between 22-gauge and 25-gauge needle at various stages of the procedure. *CI = confidence interval </w:t>
      </w:r>
    </w:p>
    <w:p w:rsidR="00975CC9" w:rsidRPr="00BA7495" w:rsidRDefault="00975CC9"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E. Outcomes and estimation</w:t>
      </w:r>
    </w:p>
    <w:p w:rsidR="00975CC9" w:rsidRDefault="00BA7495"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Confidence intervals for both primary and secondary outcomes stated above. </w:t>
      </w:r>
    </w:p>
    <w:p w:rsidR="00987241" w:rsidRPr="00BA7495" w:rsidRDefault="00987241"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F. Ancillary analyses</w:t>
      </w:r>
    </w:p>
    <w:p w:rsidR="00BA7495" w:rsidRPr="00BA7495" w:rsidRDefault="00BA7495"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Intravascular uptake incidence </w:t>
      </w:r>
      <w:r w:rsidR="00D07D0D">
        <w:rPr>
          <w:rFonts w:ascii="Times New Roman" w:hAnsi="Times New Roman" w:cs="Times New Roman"/>
          <w:sz w:val="24"/>
          <w:szCs w:val="24"/>
        </w:rPr>
        <w:t xml:space="preserve">also calculated </w:t>
      </w:r>
      <w:r w:rsidRPr="00BA7495">
        <w:rPr>
          <w:rFonts w:ascii="Times New Roman" w:hAnsi="Times New Roman" w:cs="Times New Roman"/>
          <w:sz w:val="24"/>
          <w:szCs w:val="24"/>
        </w:rPr>
        <w:t xml:space="preserve">per level </w:t>
      </w:r>
    </w:p>
    <w:tbl>
      <w:tblPr>
        <w:tblStyle w:val="TableGrid"/>
        <w:tblW w:w="0" w:type="auto"/>
        <w:tblLook w:val="04A0" w:firstRow="1" w:lastRow="0" w:firstColumn="1" w:lastColumn="0" w:noHBand="0" w:noVBand="1"/>
      </w:tblPr>
      <w:tblGrid>
        <w:gridCol w:w="2422"/>
        <w:gridCol w:w="2414"/>
        <w:gridCol w:w="2414"/>
        <w:gridCol w:w="2100"/>
      </w:tblGrid>
      <w:tr w:rsidR="00BA7495" w:rsidRPr="00BA7495" w:rsidTr="00A106DF">
        <w:tc>
          <w:tcPr>
            <w:tcW w:w="2422"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Levels</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22-gauge (n=136)</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25-gauge (n=113)</w:t>
            </w:r>
          </w:p>
        </w:tc>
        <w:tc>
          <w:tcPr>
            <w:tcW w:w="2100"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p-value</w:t>
            </w:r>
          </w:p>
        </w:tc>
      </w:tr>
      <w:tr w:rsidR="00BA7495" w:rsidRPr="00BA7495" w:rsidTr="00A106DF">
        <w:tc>
          <w:tcPr>
            <w:tcW w:w="2422"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L2</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1/4</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0/7</w:t>
            </w:r>
          </w:p>
        </w:tc>
        <w:tc>
          <w:tcPr>
            <w:tcW w:w="2100" w:type="dxa"/>
          </w:tcPr>
          <w:p w:rsidR="00BA7495" w:rsidRPr="00BA7495" w:rsidRDefault="00BA7495" w:rsidP="00BA7495">
            <w:pPr>
              <w:rPr>
                <w:rFonts w:ascii="Times New Roman" w:hAnsi="Times New Roman" w:cs="Times New Roman"/>
                <w:sz w:val="24"/>
                <w:szCs w:val="24"/>
              </w:rPr>
            </w:pPr>
          </w:p>
        </w:tc>
      </w:tr>
      <w:tr w:rsidR="00BA7495" w:rsidRPr="00BA7495" w:rsidTr="00A106DF">
        <w:tc>
          <w:tcPr>
            <w:tcW w:w="2422"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L3</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0/17</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3/19</w:t>
            </w:r>
          </w:p>
        </w:tc>
        <w:tc>
          <w:tcPr>
            <w:tcW w:w="2100" w:type="dxa"/>
          </w:tcPr>
          <w:p w:rsidR="00BA7495" w:rsidRPr="00BA7495" w:rsidRDefault="00BA7495" w:rsidP="00BA7495">
            <w:pPr>
              <w:rPr>
                <w:rFonts w:ascii="Times New Roman" w:hAnsi="Times New Roman" w:cs="Times New Roman"/>
                <w:sz w:val="24"/>
                <w:szCs w:val="24"/>
              </w:rPr>
            </w:pPr>
          </w:p>
        </w:tc>
      </w:tr>
      <w:tr w:rsidR="00BA7495" w:rsidRPr="00BA7495" w:rsidTr="00A106DF">
        <w:tc>
          <w:tcPr>
            <w:tcW w:w="2422"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L4</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0/33</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0/32</w:t>
            </w:r>
          </w:p>
        </w:tc>
        <w:tc>
          <w:tcPr>
            <w:tcW w:w="2100" w:type="dxa"/>
          </w:tcPr>
          <w:p w:rsidR="00BA7495" w:rsidRPr="00BA7495" w:rsidRDefault="00BA7495" w:rsidP="00BA7495">
            <w:pPr>
              <w:rPr>
                <w:rFonts w:ascii="Times New Roman" w:hAnsi="Times New Roman" w:cs="Times New Roman"/>
                <w:sz w:val="24"/>
                <w:szCs w:val="24"/>
              </w:rPr>
            </w:pPr>
          </w:p>
        </w:tc>
      </w:tr>
      <w:tr w:rsidR="00BA7495" w:rsidRPr="00BA7495" w:rsidTr="00A106DF">
        <w:tc>
          <w:tcPr>
            <w:tcW w:w="2422"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L5</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2/66</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0/32</w:t>
            </w:r>
          </w:p>
        </w:tc>
        <w:tc>
          <w:tcPr>
            <w:tcW w:w="2100" w:type="dxa"/>
          </w:tcPr>
          <w:p w:rsidR="00BA7495" w:rsidRPr="00BA7495" w:rsidRDefault="00BA7495" w:rsidP="00BA7495">
            <w:pPr>
              <w:rPr>
                <w:rFonts w:ascii="Times New Roman" w:hAnsi="Times New Roman" w:cs="Times New Roman"/>
                <w:sz w:val="24"/>
                <w:szCs w:val="24"/>
              </w:rPr>
            </w:pPr>
          </w:p>
        </w:tc>
      </w:tr>
      <w:tr w:rsidR="00BA7495" w:rsidRPr="00BA7495" w:rsidTr="00A106DF">
        <w:tc>
          <w:tcPr>
            <w:tcW w:w="2422"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S1</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5/16</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5/23</w:t>
            </w:r>
          </w:p>
        </w:tc>
        <w:tc>
          <w:tcPr>
            <w:tcW w:w="2100"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0.767</w:t>
            </w:r>
          </w:p>
        </w:tc>
      </w:tr>
      <w:tr w:rsidR="00BA7495" w:rsidRPr="00BA7495" w:rsidTr="00A106DF">
        <w:tc>
          <w:tcPr>
            <w:tcW w:w="2422"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 xml:space="preserve">Overall incidence </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8/136 (5.9%)</w:t>
            </w:r>
          </w:p>
        </w:tc>
        <w:tc>
          <w:tcPr>
            <w:tcW w:w="2414"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8/113 (7.1%)</w:t>
            </w:r>
          </w:p>
        </w:tc>
        <w:tc>
          <w:tcPr>
            <w:tcW w:w="2100" w:type="dxa"/>
          </w:tcPr>
          <w:p w:rsidR="00BA7495" w:rsidRPr="00BA7495" w:rsidRDefault="00BA7495" w:rsidP="00BA7495">
            <w:pPr>
              <w:rPr>
                <w:rFonts w:ascii="Times New Roman" w:hAnsi="Times New Roman" w:cs="Times New Roman"/>
                <w:sz w:val="24"/>
                <w:szCs w:val="24"/>
              </w:rPr>
            </w:pPr>
            <w:r w:rsidRPr="00BA7495">
              <w:rPr>
                <w:rFonts w:ascii="Times New Roman" w:hAnsi="Times New Roman" w:cs="Times New Roman"/>
                <w:sz w:val="24"/>
                <w:szCs w:val="24"/>
              </w:rPr>
              <w:t>0.701</w:t>
            </w:r>
          </w:p>
        </w:tc>
      </w:tr>
    </w:tbl>
    <w:p w:rsidR="00BA7495" w:rsidRDefault="00BA7495"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There was a trend towards significance in regards to increased intravascular uptake incidence at S1 level among both groups (p value = 0.767).</w:t>
      </w:r>
      <w:bookmarkStart w:id="0" w:name="_GoBack"/>
      <w:bookmarkEnd w:id="0"/>
    </w:p>
    <w:p w:rsidR="00BA7495" w:rsidRPr="00BA7495" w:rsidRDefault="00BA7495"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G. Harms</w:t>
      </w:r>
    </w:p>
    <w:p w:rsidR="00975CC9" w:rsidRPr="00BA7495" w:rsidRDefault="00975CC9"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No serious complications were reported in any patients.</w:t>
      </w:r>
    </w:p>
    <w:p w:rsidR="00BA7495" w:rsidRPr="00BA7495" w:rsidRDefault="00BA7495" w:rsidP="00BA7495">
      <w:pPr>
        <w:spacing w:after="0" w:line="240" w:lineRule="auto"/>
        <w:rPr>
          <w:rFonts w:ascii="Times New Roman" w:hAnsi="Times New Roman" w:cs="Times New Roman"/>
          <w:sz w:val="24"/>
          <w:szCs w:val="24"/>
        </w:rPr>
      </w:pPr>
    </w:p>
    <w:p w:rsidR="0011318B"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V. DISCUSSION</w:t>
      </w:r>
    </w:p>
    <w:p w:rsidR="00BA7495" w:rsidRPr="00BA7495" w:rsidRDefault="00BA7495"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A. Limitations</w:t>
      </w:r>
    </w:p>
    <w:p w:rsidR="00BA7495" w:rsidRPr="00BA7495" w:rsidRDefault="00BA7495"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Similar to prior studies on intravascular uptake, one of the limitations of this study was also the relatively small sample size. A sample size of 249 was not enough to detect small changes that may exist between the 2 groups especially given the low overall incidence of intravascular uptake during TFESI. Ideally to detect a difference, a randomized clinical trial will require a sample size of greater than 1000 subjects. </w:t>
      </w:r>
    </w:p>
    <w:p w:rsidR="00BA7495" w:rsidRPr="00BA7495" w:rsidRDefault="00BA7495"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Authors did not use digital subtraction angiography to detect intravascular uptake as it was not available in all study locations. Instead, standard live fluoroscopy and/or vascular aspiration were </w:t>
      </w:r>
      <w:r w:rsidRPr="00BA7495">
        <w:rPr>
          <w:rFonts w:ascii="Times New Roman" w:hAnsi="Times New Roman" w:cs="Times New Roman"/>
          <w:sz w:val="24"/>
          <w:szCs w:val="24"/>
        </w:rPr>
        <w:lastRenderedPageBreak/>
        <w:t xml:space="preserve">used. Studies have shown DSA to increase the sensitivity of detecting intravascular uptake (7,25,26,27). </w:t>
      </w:r>
    </w:p>
    <w:p w:rsidR="00975CC9" w:rsidRPr="00BA7495" w:rsidRDefault="00BA7495"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Pain scores were obtained after the procedure when patients were in the recovery room which could have led to recall bias. More accurate pain scores could have been obtained if asked during the procedure immediately after placement of the needle and administration of steroids. Although the procedure was standardized in the research protocol, there may still be subtle differences in how the injection was performed between various </w:t>
      </w:r>
      <w:proofErr w:type="spellStart"/>
      <w:r w:rsidRPr="00BA7495">
        <w:rPr>
          <w:rFonts w:ascii="Times New Roman" w:hAnsi="Times New Roman" w:cs="Times New Roman"/>
          <w:sz w:val="24"/>
          <w:szCs w:val="24"/>
        </w:rPr>
        <w:t>interventionalists</w:t>
      </w:r>
      <w:proofErr w:type="spellEnd"/>
      <w:r w:rsidRPr="00BA7495">
        <w:rPr>
          <w:rFonts w:ascii="Times New Roman" w:hAnsi="Times New Roman" w:cs="Times New Roman"/>
          <w:sz w:val="24"/>
          <w:szCs w:val="24"/>
        </w:rPr>
        <w:t xml:space="preserve"> (five in this study) which can affect patients’ pain perception. </w:t>
      </w:r>
    </w:p>
    <w:p w:rsidR="00BA7495" w:rsidRPr="00BA7495" w:rsidRDefault="00BA7495"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B. Generalizability</w:t>
      </w:r>
    </w:p>
    <w:p w:rsidR="00975CC9" w:rsidRDefault="00BA7495"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Increased generalizability </w:t>
      </w:r>
      <w:r w:rsidR="00987241">
        <w:rPr>
          <w:rFonts w:ascii="Times New Roman" w:hAnsi="Times New Roman" w:cs="Times New Roman"/>
          <w:sz w:val="24"/>
          <w:szCs w:val="24"/>
        </w:rPr>
        <w:t xml:space="preserve">can be inferred </w:t>
      </w:r>
      <w:r w:rsidRPr="00BA7495">
        <w:rPr>
          <w:rFonts w:ascii="Times New Roman" w:hAnsi="Times New Roman" w:cs="Times New Roman"/>
          <w:sz w:val="24"/>
          <w:szCs w:val="24"/>
        </w:rPr>
        <w:t xml:space="preserve">as </w:t>
      </w:r>
      <w:r w:rsidR="00987241">
        <w:rPr>
          <w:rFonts w:ascii="Times New Roman" w:hAnsi="Times New Roman" w:cs="Times New Roman"/>
          <w:sz w:val="24"/>
          <w:szCs w:val="24"/>
        </w:rPr>
        <w:t>the study protocol only had</w:t>
      </w:r>
      <w:r w:rsidRPr="00BA7495">
        <w:rPr>
          <w:rFonts w:ascii="Times New Roman" w:hAnsi="Times New Roman" w:cs="Times New Roman"/>
          <w:sz w:val="24"/>
          <w:szCs w:val="24"/>
        </w:rPr>
        <w:t xml:space="preserve"> very few exclusion criteria. </w:t>
      </w:r>
    </w:p>
    <w:p w:rsidR="00BA7495" w:rsidRPr="00BA7495" w:rsidRDefault="00BA7495"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C. Interpretation</w:t>
      </w:r>
    </w:p>
    <w:p w:rsidR="00975CC9" w:rsidRDefault="00BA7495"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A sample size of 249 was not enough to detect small changes that may exist between the 2 groups especially given the low overall incidence of intravascular uptake during TFESI. But 22 gauge doesn’t seem to dramatically increase the intravascular uptake during TFESI, hence very safe to use. </w:t>
      </w:r>
    </w:p>
    <w:p w:rsidR="00BA7495" w:rsidRPr="00BA7495" w:rsidRDefault="00BA7495" w:rsidP="00BA7495">
      <w:pPr>
        <w:spacing w:after="0" w:line="240" w:lineRule="auto"/>
        <w:rPr>
          <w:rFonts w:ascii="Times New Roman" w:hAnsi="Times New Roman" w:cs="Times New Roman"/>
          <w:sz w:val="24"/>
          <w:szCs w:val="24"/>
        </w:rPr>
      </w:pPr>
    </w:p>
    <w:p w:rsidR="00975CC9"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VI. OTHER INFORMATION</w:t>
      </w: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A. Registration</w:t>
      </w:r>
    </w:p>
    <w:p w:rsidR="00975CC9" w:rsidRDefault="00975CC9" w:rsidP="00E77A82">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 xml:space="preserve">Institutional Review Board approval was obtained prior to the initiation of this study at both study locations. </w:t>
      </w:r>
      <w:r w:rsidR="0097465E" w:rsidRPr="00BA7495">
        <w:rPr>
          <w:rFonts w:ascii="Times New Roman" w:hAnsi="Times New Roman" w:cs="Times New Roman"/>
          <w:sz w:val="24"/>
          <w:szCs w:val="24"/>
        </w:rPr>
        <w:t>IRB study registration number at Rothman Orthopedic Institute was 17D.555. IRB study registration number at Yale University was 2000023982.</w:t>
      </w:r>
      <w:r w:rsidR="00E77A82" w:rsidRPr="00E77A82">
        <w:rPr>
          <w:rFonts w:ascii="Times New Roman" w:hAnsi="Times New Roman" w:cs="Times New Roman"/>
          <w:sz w:val="24"/>
          <w:szCs w:val="24"/>
        </w:rPr>
        <w:t xml:space="preserve"> </w:t>
      </w:r>
      <w:r w:rsidR="00E77A82">
        <w:rPr>
          <w:rFonts w:ascii="Times New Roman" w:hAnsi="Times New Roman" w:cs="Times New Roman"/>
          <w:sz w:val="24"/>
          <w:szCs w:val="24"/>
        </w:rPr>
        <w:t>The study is registered with ClinicalTrials.gov (</w:t>
      </w:r>
      <w:r w:rsidR="00E77A82" w:rsidRPr="00C227B0">
        <w:rPr>
          <w:rFonts w:ascii="Times New Roman" w:hAnsi="Times New Roman" w:cs="Times New Roman"/>
          <w:sz w:val="24"/>
          <w:szCs w:val="24"/>
        </w:rPr>
        <w:t>NCT04350307</w:t>
      </w:r>
      <w:r w:rsidR="00E77A82">
        <w:rPr>
          <w:rFonts w:ascii="Times New Roman" w:hAnsi="Times New Roman" w:cs="Times New Roman"/>
          <w:sz w:val="24"/>
          <w:szCs w:val="24"/>
        </w:rPr>
        <w:t xml:space="preserve">). </w:t>
      </w:r>
    </w:p>
    <w:p w:rsidR="00BA7495" w:rsidRPr="00BA7495" w:rsidRDefault="00BA7495" w:rsidP="00BA7495">
      <w:pPr>
        <w:spacing w:after="0" w:line="240" w:lineRule="auto"/>
        <w:rPr>
          <w:rFonts w:ascii="Times New Roman" w:hAnsi="Times New Roman" w:cs="Times New Roman"/>
          <w:sz w:val="24"/>
          <w:szCs w:val="24"/>
        </w:rPr>
      </w:pPr>
    </w:p>
    <w:p w:rsidR="0011318B"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B. Protocol</w:t>
      </w:r>
    </w:p>
    <w:p w:rsidR="00975CC9" w:rsidRDefault="00975CC9"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As above</w:t>
      </w:r>
    </w:p>
    <w:p w:rsidR="00BA7495" w:rsidRPr="00BA7495" w:rsidRDefault="00BA7495" w:rsidP="00BA7495">
      <w:pPr>
        <w:spacing w:after="0" w:line="240" w:lineRule="auto"/>
        <w:rPr>
          <w:rFonts w:ascii="Times New Roman" w:hAnsi="Times New Roman" w:cs="Times New Roman"/>
          <w:sz w:val="24"/>
          <w:szCs w:val="24"/>
        </w:rPr>
      </w:pPr>
    </w:p>
    <w:p w:rsidR="002200D1" w:rsidRPr="00BA7495" w:rsidRDefault="0011318B"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C. Funding</w:t>
      </w:r>
    </w:p>
    <w:p w:rsidR="00C7576D" w:rsidRPr="00BA7495" w:rsidRDefault="00C7576D" w:rsidP="00BA7495">
      <w:pPr>
        <w:spacing w:after="0" w:line="240" w:lineRule="auto"/>
        <w:rPr>
          <w:rFonts w:ascii="Times New Roman" w:hAnsi="Times New Roman" w:cs="Times New Roman"/>
          <w:sz w:val="24"/>
          <w:szCs w:val="24"/>
        </w:rPr>
      </w:pPr>
      <w:r w:rsidRPr="00BA7495">
        <w:rPr>
          <w:rFonts w:ascii="Times New Roman" w:hAnsi="Times New Roman" w:cs="Times New Roman"/>
          <w:sz w:val="24"/>
          <w:szCs w:val="24"/>
        </w:rPr>
        <w:t>None</w:t>
      </w:r>
    </w:p>
    <w:sectPr w:rsidR="00C7576D" w:rsidRPr="00BA7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4B79"/>
    <w:multiLevelType w:val="hybridMultilevel"/>
    <w:tmpl w:val="72B4E1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8806CE"/>
    <w:multiLevelType w:val="hybridMultilevel"/>
    <w:tmpl w:val="C48A6688"/>
    <w:lvl w:ilvl="0" w:tplc="B62A19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8B"/>
    <w:rsid w:val="0011318B"/>
    <w:rsid w:val="00121263"/>
    <w:rsid w:val="002200D1"/>
    <w:rsid w:val="0050056A"/>
    <w:rsid w:val="0097465E"/>
    <w:rsid w:val="00975CC9"/>
    <w:rsid w:val="00987241"/>
    <w:rsid w:val="00AE6A02"/>
    <w:rsid w:val="00BA7495"/>
    <w:rsid w:val="00C7576D"/>
    <w:rsid w:val="00D07D0D"/>
    <w:rsid w:val="00E54B00"/>
    <w:rsid w:val="00E77A82"/>
    <w:rsid w:val="00EC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6A9E"/>
  <w15:chartTrackingRefBased/>
  <w15:docId w15:val="{B19319B8-95E9-4AC9-81DC-BB34B535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8B"/>
    <w:pPr>
      <w:ind w:left="720"/>
      <w:contextualSpacing/>
    </w:pPr>
  </w:style>
  <w:style w:type="table" w:styleId="TableGrid">
    <w:name w:val="Table Grid"/>
    <w:basedOn w:val="TableNormal"/>
    <w:uiPriority w:val="39"/>
    <w:rsid w:val="00974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2019-12-16T00:42:00Z</dcterms:created>
  <dcterms:modified xsi:type="dcterms:W3CDTF">2020-08-10T02:07:00Z</dcterms:modified>
</cp:coreProperties>
</file>