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C8C1" w14:textId="0B625F95" w:rsidR="008322D8" w:rsidRPr="00E92DB3" w:rsidRDefault="008322D8" w:rsidP="008322D8">
      <w:pPr>
        <w:rPr>
          <w:rFonts w:ascii="Calibri" w:hAnsi="Calibri" w:cs="Calibri"/>
          <w:b/>
          <w:color w:val="000000" w:themeColor="text1"/>
        </w:rPr>
      </w:pPr>
      <w:bookmarkStart w:id="0" w:name="_GoBack"/>
      <w:bookmarkEnd w:id="0"/>
      <w:r w:rsidRPr="00E92DB3">
        <w:rPr>
          <w:rFonts w:ascii="Calibri" w:hAnsi="Calibri" w:cs="Calibri"/>
          <w:b/>
          <w:color w:val="000000" w:themeColor="text1"/>
        </w:rPr>
        <w:t>Table S1. Associations of Carotid-Femoral Pulse Wave Velocity (</w:t>
      </w:r>
      <w:proofErr w:type="spellStart"/>
      <w:r w:rsidRPr="00E92DB3">
        <w:rPr>
          <w:rFonts w:ascii="Calibri" w:hAnsi="Calibri" w:cs="Calibri"/>
          <w:b/>
          <w:color w:val="000000" w:themeColor="text1"/>
        </w:rPr>
        <w:t>cfPWV</w:t>
      </w:r>
      <w:proofErr w:type="spellEnd"/>
      <w:r w:rsidRPr="00E92DB3">
        <w:rPr>
          <w:rFonts w:ascii="Calibri" w:hAnsi="Calibri" w:cs="Calibri"/>
          <w:b/>
          <w:color w:val="000000" w:themeColor="text1"/>
        </w:rPr>
        <w:t xml:space="preserve">) quartiles with incident AF in the ARIC cohort by sex and race, 2011-2017.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719"/>
        <w:gridCol w:w="1750"/>
        <w:gridCol w:w="1990"/>
        <w:gridCol w:w="2084"/>
        <w:gridCol w:w="1832"/>
      </w:tblGrid>
      <w:tr w:rsidR="008322D8" w:rsidRPr="00E92DB3" w14:paraId="44AC41CD" w14:textId="77777777" w:rsidTr="007F302F"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D5CA6" w14:textId="77777777" w:rsidR="008322D8" w:rsidRPr="00E92DB3" w:rsidRDefault="008322D8" w:rsidP="007F302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7F92F" w14:textId="77777777" w:rsidR="008322D8" w:rsidRPr="00E92DB3" w:rsidRDefault="008322D8" w:rsidP="007F302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st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Quartile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F78B6" w14:textId="77777777" w:rsidR="008322D8" w:rsidRPr="00E92DB3" w:rsidRDefault="008322D8" w:rsidP="007F302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nd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Quartile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6A2AD" w14:textId="77777777" w:rsidR="008322D8" w:rsidRPr="00E92DB3" w:rsidRDefault="008322D8" w:rsidP="007F302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rd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Quartile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BA868" w14:textId="77777777" w:rsidR="008322D8" w:rsidRPr="00E92DB3" w:rsidRDefault="008322D8" w:rsidP="007F302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th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Quartile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8644A" w14:textId="77777777" w:rsidR="008322D8" w:rsidRPr="00E92DB3" w:rsidRDefault="008322D8" w:rsidP="007F302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Interaction</w:t>
            </w:r>
          </w:p>
        </w:tc>
      </w:tr>
      <w:tr w:rsidR="008322D8" w:rsidRPr="00E92DB3" w14:paraId="33638F95" w14:textId="77777777" w:rsidTr="007F302F"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523ED" w14:textId="77777777" w:rsidR="008322D8" w:rsidRPr="00E92DB3" w:rsidRDefault="008322D8" w:rsidP="007F302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92DB3">
              <w:rPr>
                <w:rFonts w:ascii="Calibri" w:hAnsi="Calibri" w:cs="Calibri"/>
                <w:b/>
                <w:color w:val="000000" w:themeColor="text1"/>
              </w:rPr>
              <w:t>cfPWV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FF565" w14:textId="77777777" w:rsidR="008322D8" w:rsidRPr="00E92DB3" w:rsidRDefault="008322D8" w:rsidP="007F302F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&lt; </w:t>
            </w: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9.5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5E34F" w14:textId="77777777" w:rsidR="008322D8" w:rsidRPr="00E92DB3" w:rsidRDefault="008322D8" w:rsidP="007F302F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9.5-11.2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E0958" w14:textId="77777777" w:rsidR="008322D8" w:rsidRPr="00E92DB3" w:rsidRDefault="008322D8" w:rsidP="007F302F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11.2 -13.2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93EED" w14:textId="77777777" w:rsidR="008322D8" w:rsidRPr="00E92DB3" w:rsidRDefault="008322D8" w:rsidP="007F302F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&gt; 13.2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FC84A" w14:textId="77777777" w:rsidR="008322D8" w:rsidRPr="00E92DB3" w:rsidRDefault="008322D8" w:rsidP="007F302F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322D8" w:rsidRPr="00E92DB3" w14:paraId="208C867A" w14:textId="77777777" w:rsidTr="007F302F">
        <w:tc>
          <w:tcPr>
            <w:tcW w:w="89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8812A9" w14:textId="77777777" w:rsidR="008322D8" w:rsidRPr="00E92DB3" w:rsidRDefault="008322D8" w:rsidP="007F30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HR (95% confidence intervals)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409478" w14:textId="77777777" w:rsidR="008322D8" w:rsidRPr="00E92DB3" w:rsidRDefault="008322D8" w:rsidP="007F30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92DB3">
              <w:rPr>
                <w:rFonts w:ascii="Calibri" w:hAnsi="Calibri" w:cs="Calibri"/>
                <w:b/>
                <w:bCs/>
                <w:color w:val="000000" w:themeColor="text1"/>
              </w:rPr>
              <w:t>P- value</w:t>
            </w:r>
          </w:p>
        </w:tc>
      </w:tr>
      <w:tr w:rsidR="008322D8" w:rsidRPr="00E92DB3" w14:paraId="7BCEB01F" w14:textId="77777777" w:rsidTr="007F302F">
        <w:tc>
          <w:tcPr>
            <w:tcW w:w="1425" w:type="dxa"/>
            <w:tcBorders>
              <w:top w:val="single" w:sz="4" w:space="0" w:color="auto"/>
              <w:bottom w:val="nil"/>
              <w:right w:val="nil"/>
            </w:tcBorders>
          </w:tcPr>
          <w:p w14:paraId="4A0FC9B7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Men</w:t>
            </w:r>
          </w:p>
          <w:p w14:paraId="5ABA51B0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N=1535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CAF78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1.27</w:t>
            </w:r>
          </w:p>
          <w:p w14:paraId="054462F8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(0.75,2.14)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56570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ref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14D03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1.49</w:t>
            </w:r>
          </w:p>
          <w:p w14:paraId="38D41EF8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(0.92, 2.42)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4D062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1.47</w:t>
            </w:r>
          </w:p>
          <w:p w14:paraId="7FAB1398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(0.89, 2.44)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</w:tcBorders>
          </w:tcPr>
          <w:p w14:paraId="611B9FCF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0.40</w:t>
            </w:r>
          </w:p>
        </w:tc>
      </w:tr>
      <w:tr w:rsidR="008322D8" w:rsidRPr="00E92DB3" w14:paraId="71A0AD77" w14:textId="77777777" w:rsidTr="007F302F">
        <w:tc>
          <w:tcPr>
            <w:tcW w:w="1425" w:type="dxa"/>
            <w:tcBorders>
              <w:top w:val="nil"/>
              <w:bottom w:val="single" w:sz="4" w:space="0" w:color="auto"/>
              <w:right w:val="nil"/>
            </w:tcBorders>
          </w:tcPr>
          <w:p w14:paraId="434792FE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Women</w:t>
            </w:r>
          </w:p>
          <w:p w14:paraId="2BDEEC52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N= 2347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DBA9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1.68</w:t>
            </w:r>
          </w:p>
          <w:p w14:paraId="48239C04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(1.06, 2.65)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51315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ref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9C700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1.74</w:t>
            </w:r>
          </w:p>
          <w:p w14:paraId="15341196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(1.09, 2.78)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5F05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1.74</w:t>
            </w:r>
          </w:p>
          <w:p w14:paraId="75B0E6C7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(1.07, 2.81)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</w:tcBorders>
          </w:tcPr>
          <w:p w14:paraId="1E9267B1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322D8" w:rsidRPr="00E92DB3" w14:paraId="1C3BC4B7" w14:textId="77777777" w:rsidTr="007F302F">
        <w:tc>
          <w:tcPr>
            <w:tcW w:w="1425" w:type="dxa"/>
            <w:tcBorders>
              <w:top w:val="single" w:sz="4" w:space="0" w:color="auto"/>
              <w:bottom w:val="nil"/>
              <w:right w:val="nil"/>
            </w:tcBorders>
          </w:tcPr>
          <w:p w14:paraId="3C2BA8F7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Blacks</w:t>
            </w:r>
          </w:p>
          <w:p w14:paraId="71FDD395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N=773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B02C0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0.48</w:t>
            </w:r>
          </w:p>
          <w:p w14:paraId="089550E7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(0.13, 1.80)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D5687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ref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D641E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1.91</w:t>
            </w:r>
          </w:p>
          <w:p w14:paraId="1BF69C08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(0.68, 5.3)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C9D2C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1.56</w:t>
            </w:r>
          </w:p>
          <w:p w14:paraId="6AB678A6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(0.57, 4.30)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</w:tcBorders>
          </w:tcPr>
          <w:p w14:paraId="753F6612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0.60</w:t>
            </w:r>
          </w:p>
        </w:tc>
      </w:tr>
      <w:tr w:rsidR="008322D8" w:rsidRPr="00E92DB3" w14:paraId="7949B5D8" w14:textId="77777777" w:rsidTr="007F302F"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14:paraId="3BF663D7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Whites</w:t>
            </w:r>
          </w:p>
          <w:p w14:paraId="76611441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N=3109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5530A10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1.62</w:t>
            </w:r>
          </w:p>
          <w:p w14:paraId="5DB5B272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(1.13, 2.32)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E8BA6D1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ref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E8B6CE0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1.53</w:t>
            </w:r>
          </w:p>
          <w:p w14:paraId="75DCBC1E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(1.07, 2.18)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29B6B9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bCs/>
                <w:color w:val="000000" w:themeColor="text1"/>
              </w:rPr>
              <w:t>1.50</w:t>
            </w:r>
          </w:p>
          <w:p w14:paraId="4B53995E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92DB3">
              <w:rPr>
                <w:rFonts w:ascii="Calibri" w:hAnsi="Calibri" w:cs="Calibri"/>
                <w:color w:val="000000" w:themeColor="text1"/>
              </w:rPr>
              <w:t>(1.03, 2.17)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</w:tcBorders>
          </w:tcPr>
          <w:p w14:paraId="612F93E6" w14:textId="77777777" w:rsidR="008322D8" w:rsidRPr="00E92DB3" w:rsidRDefault="008322D8" w:rsidP="007F302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1BD210C3" w14:textId="77777777" w:rsidR="008322D8" w:rsidRPr="00E92DB3" w:rsidRDefault="008322D8" w:rsidP="008322D8">
      <w:pPr>
        <w:pBdr>
          <w:top w:val="single" w:sz="4" w:space="1" w:color="auto"/>
        </w:pBdr>
        <w:rPr>
          <w:rFonts w:ascii="Calibri" w:eastAsiaTheme="minorEastAsia" w:hAnsi="Calibri" w:cs="Calibri"/>
          <w:color w:val="000000" w:themeColor="text1"/>
          <w:lang w:eastAsia="zh-CN"/>
        </w:rPr>
      </w:pPr>
      <w:r w:rsidRPr="00E92DB3">
        <w:rPr>
          <w:rFonts w:ascii="Calibri" w:hAnsi="Calibri" w:cs="Calibri"/>
          <w:color w:val="000000" w:themeColor="text1"/>
          <w:shd w:val="clear" w:color="auto" w:fill="FFFCF0"/>
        </w:rPr>
        <w:t xml:space="preserve">Abbreviations: </w:t>
      </w:r>
      <w:r w:rsidRPr="00E92DB3">
        <w:rPr>
          <w:rFonts w:ascii="Calibri" w:hAnsi="Calibri" w:cs="Calibri"/>
          <w:color w:val="000000" w:themeColor="text1"/>
        </w:rPr>
        <w:t xml:space="preserve"> ARIC: Atherosclerosis Risk in Communities</w:t>
      </w:r>
      <w:r w:rsidRPr="00E92DB3">
        <w:rPr>
          <w:rFonts w:ascii="Calibri" w:hAnsi="Calibri" w:cs="Calibri"/>
          <w:color w:val="000000" w:themeColor="text1"/>
          <w:shd w:val="clear" w:color="auto" w:fill="FFFCF0"/>
        </w:rPr>
        <w:t xml:space="preserve">; BMI, body mass index; CI, confidence interval; HR, hazard ratio; </w:t>
      </w:r>
      <w:r w:rsidRPr="00E92DB3">
        <w:rPr>
          <w:rFonts w:ascii="Calibri" w:eastAsiaTheme="minorEastAsia" w:hAnsi="Calibri" w:cs="Calibri"/>
          <w:color w:val="000000" w:themeColor="text1"/>
        </w:rPr>
        <w:t>NT-</w:t>
      </w:r>
      <w:proofErr w:type="spellStart"/>
      <w:r w:rsidRPr="00E92DB3">
        <w:rPr>
          <w:rFonts w:ascii="Calibri" w:eastAsiaTheme="minorEastAsia" w:hAnsi="Calibri" w:cs="Calibri"/>
          <w:color w:val="000000" w:themeColor="text1"/>
        </w:rPr>
        <w:t>proBNP</w:t>
      </w:r>
      <w:proofErr w:type="spellEnd"/>
      <w:r w:rsidRPr="00E92DB3">
        <w:rPr>
          <w:rFonts w:ascii="Calibri" w:eastAsiaTheme="minorEastAsia" w:hAnsi="Calibri" w:cs="Calibri"/>
          <w:color w:val="000000" w:themeColor="text1"/>
        </w:rPr>
        <w:t xml:space="preserve">, </w:t>
      </w:r>
      <w:r w:rsidRPr="00E92DB3">
        <w:rPr>
          <w:rFonts w:ascii="Calibri" w:eastAsiaTheme="minorEastAsia" w:hAnsi="Calibri" w:cs="Calibri"/>
          <w:color w:val="000000" w:themeColor="text1"/>
          <w:lang w:eastAsia="zh-CN"/>
        </w:rPr>
        <w:t>N-terminal pro B-type natriuretic peptide; ref, reference.</w:t>
      </w:r>
    </w:p>
    <w:p w14:paraId="64D9D4E4" w14:textId="77777777" w:rsidR="008322D8" w:rsidRPr="00C71771" w:rsidRDefault="008322D8" w:rsidP="008322D8">
      <w:pPr>
        <w:pBdr>
          <w:top w:val="single" w:sz="4" w:space="1" w:color="auto"/>
        </w:pBdr>
        <w:rPr>
          <w:rFonts w:ascii="Calibri" w:hAnsi="Calibri" w:cs="Calibri"/>
          <w:color w:val="000000" w:themeColor="text1"/>
        </w:rPr>
      </w:pPr>
      <w:r w:rsidRPr="00E92DB3">
        <w:rPr>
          <w:rFonts w:ascii="Calibri" w:hAnsi="Calibri" w:cs="Calibri"/>
          <w:color w:val="000000" w:themeColor="text1"/>
        </w:rPr>
        <w:t>Cox proportional hazards model adjusted for age, sex, center, race, smoking, education, drinking, diabetes mellitus, heart failure</w:t>
      </w:r>
      <w:r w:rsidRPr="00C71771">
        <w:rPr>
          <w:rFonts w:ascii="Calibri" w:hAnsi="Calibri" w:cs="Calibri"/>
          <w:color w:val="000000" w:themeColor="text1"/>
        </w:rPr>
        <w:t xml:space="preserve"> myocardial infarction, aspirin, statin</w:t>
      </w:r>
      <w:r w:rsidRPr="00E92DB3">
        <w:rPr>
          <w:rFonts w:ascii="Calibri" w:hAnsi="Calibri" w:cs="Calibri"/>
          <w:color w:val="000000" w:themeColor="text1"/>
        </w:rPr>
        <w:t>, systolic blood pressure, left ventricular ejection fraction, Left atrial volume.</w:t>
      </w:r>
    </w:p>
    <w:p w14:paraId="607BF405" w14:textId="77777777" w:rsidR="00EA31C5" w:rsidRDefault="00C35C03"/>
    <w:sectPr w:rsidR="00EA31C5" w:rsidSect="0024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8"/>
    <w:rsid w:val="00003875"/>
    <w:rsid w:val="00026727"/>
    <w:rsid w:val="000449E6"/>
    <w:rsid w:val="00055471"/>
    <w:rsid w:val="00060356"/>
    <w:rsid w:val="0006731B"/>
    <w:rsid w:val="00086B83"/>
    <w:rsid w:val="00095D29"/>
    <w:rsid w:val="000962AE"/>
    <w:rsid w:val="00097D33"/>
    <w:rsid w:val="000C496C"/>
    <w:rsid w:val="000E47A1"/>
    <w:rsid w:val="000F4E1E"/>
    <w:rsid w:val="000F6051"/>
    <w:rsid w:val="00102A4E"/>
    <w:rsid w:val="00107A1D"/>
    <w:rsid w:val="00120221"/>
    <w:rsid w:val="001203CC"/>
    <w:rsid w:val="00125E35"/>
    <w:rsid w:val="00126193"/>
    <w:rsid w:val="00135270"/>
    <w:rsid w:val="001405B7"/>
    <w:rsid w:val="001533F2"/>
    <w:rsid w:val="00154806"/>
    <w:rsid w:val="0017051D"/>
    <w:rsid w:val="0019123D"/>
    <w:rsid w:val="001918FC"/>
    <w:rsid w:val="00193838"/>
    <w:rsid w:val="001B7E6B"/>
    <w:rsid w:val="001E0CE4"/>
    <w:rsid w:val="001E7BF5"/>
    <w:rsid w:val="001F3D88"/>
    <w:rsid w:val="00201B28"/>
    <w:rsid w:val="00213A9E"/>
    <w:rsid w:val="00242EFD"/>
    <w:rsid w:val="002455DD"/>
    <w:rsid w:val="0025215A"/>
    <w:rsid w:val="00266B14"/>
    <w:rsid w:val="00284EF6"/>
    <w:rsid w:val="002966E5"/>
    <w:rsid w:val="002A05EC"/>
    <w:rsid w:val="002A3F7F"/>
    <w:rsid w:val="002B70FE"/>
    <w:rsid w:val="002C6A3A"/>
    <w:rsid w:val="002D1E7A"/>
    <w:rsid w:val="002D3B83"/>
    <w:rsid w:val="002D7075"/>
    <w:rsid w:val="002F4688"/>
    <w:rsid w:val="00304FAB"/>
    <w:rsid w:val="00313ADB"/>
    <w:rsid w:val="00320CF0"/>
    <w:rsid w:val="00323BA9"/>
    <w:rsid w:val="00335BA5"/>
    <w:rsid w:val="00336334"/>
    <w:rsid w:val="00383BEB"/>
    <w:rsid w:val="00386E83"/>
    <w:rsid w:val="00390414"/>
    <w:rsid w:val="00390E5C"/>
    <w:rsid w:val="003E259C"/>
    <w:rsid w:val="003E46A7"/>
    <w:rsid w:val="003F0312"/>
    <w:rsid w:val="003F1EB5"/>
    <w:rsid w:val="003F65C6"/>
    <w:rsid w:val="00405A9A"/>
    <w:rsid w:val="00407DFC"/>
    <w:rsid w:val="00407F28"/>
    <w:rsid w:val="004135B6"/>
    <w:rsid w:val="0043225D"/>
    <w:rsid w:val="004351F0"/>
    <w:rsid w:val="004A561F"/>
    <w:rsid w:val="004A7CC4"/>
    <w:rsid w:val="004B19A7"/>
    <w:rsid w:val="004C6A66"/>
    <w:rsid w:val="004D0BDD"/>
    <w:rsid w:val="004D15E7"/>
    <w:rsid w:val="004E38E2"/>
    <w:rsid w:val="004F1445"/>
    <w:rsid w:val="005019C1"/>
    <w:rsid w:val="00504F9F"/>
    <w:rsid w:val="005177DD"/>
    <w:rsid w:val="0052367E"/>
    <w:rsid w:val="00531348"/>
    <w:rsid w:val="005315E4"/>
    <w:rsid w:val="00555122"/>
    <w:rsid w:val="00562951"/>
    <w:rsid w:val="00565F60"/>
    <w:rsid w:val="005671C5"/>
    <w:rsid w:val="005749D1"/>
    <w:rsid w:val="00583269"/>
    <w:rsid w:val="0058515B"/>
    <w:rsid w:val="00587DC5"/>
    <w:rsid w:val="005905DE"/>
    <w:rsid w:val="00590911"/>
    <w:rsid w:val="00594E98"/>
    <w:rsid w:val="005A18A7"/>
    <w:rsid w:val="005A1E3A"/>
    <w:rsid w:val="005A5083"/>
    <w:rsid w:val="005A5C31"/>
    <w:rsid w:val="005A5F32"/>
    <w:rsid w:val="005C5613"/>
    <w:rsid w:val="005C5794"/>
    <w:rsid w:val="005D3C04"/>
    <w:rsid w:val="005E4817"/>
    <w:rsid w:val="005F0C3D"/>
    <w:rsid w:val="005F554C"/>
    <w:rsid w:val="006054B2"/>
    <w:rsid w:val="006077A4"/>
    <w:rsid w:val="006341A6"/>
    <w:rsid w:val="00634EEA"/>
    <w:rsid w:val="0065120B"/>
    <w:rsid w:val="00656C87"/>
    <w:rsid w:val="00691628"/>
    <w:rsid w:val="0069168B"/>
    <w:rsid w:val="006B4773"/>
    <w:rsid w:val="006C5908"/>
    <w:rsid w:val="006C683A"/>
    <w:rsid w:val="006D2003"/>
    <w:rsid w:val="006D60CE"/>
    <w:rsid w:val="006E112A"/>
    <w:rsid w:val="0070314E"/>
    <w:rsid w:val="00705C45"/>
    <w:rsid w:val="00712CB8"/>
    <w:rsid w:val="00712DF5"/>
    <w:rsid w:val="0071484F"/>
    <w:rsid w:val="007367A6"/>
    <w:rsid w:val="0075487E"/>
    <w:rsid w:val="0076626E"/>
    <w:rsid w:val="00767BF5"/>
    <w:rsid w:val="00774DCA"/>
    <w:rsid w:val="00780754"/>
    <w:rsid w:val="007B3918"/>
    <w:rsid w:val="007B523F"/>
    <w:rsid w:val="007B52EC"/>
    <w:rsid w:val="007E57E9"/>
    <w:rsid w:val="007F2EEB"/>
    <w:rsid w:val="007F55D4"/>
    <w:rsid w:val="008011EB"/>
    <w:rsid w:val="00804351"/>
    <w:rsid w:val="008056BA"/>
    <w:rsid w:val="008058D3"/>
    <w:rsid w:val="008118AF"/>
    <w:rsid w:val="00811EEB"/>
    <w:rsid w:val="00830C11"/>
    <w:rsid w:val="008322D8"/>
    <w:rsid w:val="00866CFF"/>
    <w:rsid w:val="00867F14"/>
    <w:rsid w:val="00882366"/>
    <w:rsid w:val="008908C0"/>
    <w:rsid w:val="00890D58"/>
    <w:rsid w:val="008A563C"/>
    <w:rsid w:val="008B0BE7"/>
    <w:rsid w:val="008E01E4"/>
    <w:rsid w:val="008F212A"/>
    <w:rsid w:val="008F7E73"/>
    <w:rsid w:val="00905C5C"/>
    <w:rsid w:val="00911940"/>
    <w:rsid w:val="00913E4C"/>
    <w:rsid w:val="00921BF8"/>
    <w:rsid w:val="00933BBB"/>
    <w:rsid w:val="00960D67"/>
    <w:rsid w:val="00961B42"/>
    <w:rsid w:val="00974BD7"/>
    <w:rsid w:val="00982555"/>
    <w:rsid w:val="00992932"/>
    <w:rsid w:val="009A0153"/>
    <w:rsid w:val="009A29AB"/>
    <w:rsid w:val="009A3DB4"/>
    <w:rsid w:val="009E000C"/>
    <w:rsid w:val="009F65BC"/>
    <w:rsid w:val="00A11FB7"/>
    <w:rsid w:val="00A146E3"/>
    <w:rsid w:val="00A23B97"/>
    <w:rsid w:val="00A31105"/>
    <w:rsid w:val="00A31853"/>
    <w:rsid w:val="00A3255D"/>
    <w:rsid w:val="00A35999"/>
    <w:rsid w:val="00A418A9"/>
    <w:rsid w:val="00A517AA"/>
    <w:rsid w:val="00AB1B5F"/>
    <w:rsid w:val="00AD1558"/>
    <w:rsid w:val="00AE5F31"/>
    <w:rsid w:val="00AF24F8"/>
    <w:rsid w:val="00AF3682"/>
    <w:rsid w:val="00B01CEE"/>
    <w:rsid w:val="00B1321E"/>
    <w:rsid w:val="00B30F03"/>
    <w:rsid w:val="00B421C7"/>
    <w:rsid w:val="00B512D4"/>
    <w:rsid w:val="00B541E5"/>
    <w:rsid w:val="00B72722"/>
    <w:rsid w:val="00BA168D"/>
    <w:rsid w:val="00BA5EC8"/>
    <w:rsid w:val="00BD3A4D"/>
    <w:rsid w:val="00BE0C19"/>
    <w:rsid w:val="00BE7A24"/>
    <w:rsid w:val="00C11CA2"/>
    <w:rsid w:val="00C234D9"/>
    <w:rsid w:val="00C35C03"/>
    <w:rsid w:val="00C60C4C"/>
    <w:rsid w:val="00C673F9"/>
    <w:rsid w:val="00CA006C"/>
    <w:rsid w:val="00CB3414"/>
    <w:rsid w:val="00CC77C6"/>
    <w:rsid w:val="00CD2ECB"/>
    <w:rsid w:val="00CE00A9"/>
    <w:rsid w:val="00CE6262"/>
    <w:rsid w:val="00CE6DB1"/>
    <w:rsid w:val="00CF4B3E"/>
    <w:rsid w:val="00D13387"/>
    <w:rsid w:val="00D13DBB"/>
    <w:rsid w:val="00D72438"/>
    <w:rsid w:val="00D72A6C"/>
    <w:rsid w:val="00D76A8E"/>
    <w:rsid w:val="00DA1098"/>
    <w:rsid w:val="00DA1847"/>
    <w:rsid w:val="00DA55EF"/>
    <w:rsid w:val="00DD4613"/>
    <w:rsid w:val="00DE14F9"/>
    <w:rsid w:val="00DE2094"/>
    <w:rsid w:val="00E011F1"/>
    <w:rsid w:val="00E03E15"/>
    <w:rsid w:val="00E276FF"/>
    <w:rsid w:val="00E300BD"/>
    <w:rsid w:val="00E32711"/>
    <w:rsid w:val="00E51358"/>
    <w:rsid w:val="00E55270"/>
    <w:rsid w:val="00E56EFF"/>
    <w:rsid w:val="00E60AF2"/>
    <w:rsid w:val="00E62647"/>
    <w:rsid w:val="00E8084C"/>
    <w:rsid w:val="00E85C44"/>
    <w:rsid w:val="00E90BA3"/>
    <w:rsid w:val="00EA0628"/>
    <w:rsid w:val="00EA0975"/>
    <w:rsid w:val="00EB5811"/>
    <w:rsid w:val="00EC3E6D"/>
    <w:rsid w:val="00EE36F6"/>
    <w:rsid w:val="00EF4070"/>
    <w:rsid w:val="00F077D3"/>
    <w:rsid w:val="00F25428"/>
    <w:rsid w:val="00F26E7A"/>
    <w:rsid w:val="00F314BE"/>
    <w:rsid w:val="00F37A09"/>
    <w:rsid w:val="00F4130D"/>
    <w:rsid w:val="00F53D6F"/>
    <w:rsid w:val="00F673D0"/>
    <w:rsid w:val="00F832B3"/>
    <w:rsid w:val="00F87891"/>
    <w:rsid w:val="00F914BE"/>
    <w:rsid w:val="00FA0189"/>
    <w:rsid w:val="00FA077B"/>
    <w:rsid w:val="00FB1736"/>
    <w:rsid w:val="00FB4D36"/>
    <w:rsid w:val="00FE01AD"/>
    <w:rsid w:val="00FF0231"/>
    <w:rsid w:val="00FF3857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D0BD"/>
  <w14:defaultImageDpi w14:val="32767"/>
  <w15:chartTrackingRefBased/>
  <w15:docId w15:val="{0563764C-6E3C-7F41-9704-7588DCC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D8"/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Almuwaqqat</dc:creator>
  <cp:keywords/>
  <dc:description/>
  <cp:lastModifiedBy>Bhuvaneswari A.</cp:lastModifiedBy>
  <cp:revision>2</cp:revision>
  <dcterms:created xsi:type="dcterms:W3CDTF">2021-01-30T04:21:00Z</dcterms:created>
  <dcterms:modified xsi:type="dcterms:W3CDTF">2021-05-11T14:36:00Z</dcterms:modified>
</cp:coreProperties>
</file>