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5E71" w14:textId="77777777" w:rsidR="00370639" w:rsidRDefault="00370639" w:rsidP="00370639">
      <w:r w:rsidRPr="00370639">
        <w:drawing>
          <wp:inline distT="0" distB="0" distL="0" distR="0" wp14:anchorId="51D0E43A" wp14:editId="55D05E4F">
            <wp:extent cx="5972810" cy="53219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639">
        <w:t xml:space="preserve"> </w:t>
      </w:r>
      <w:r>
        <w:t xml:space="preserve">Supplementary Figure 2: </w:t>
      </w:r>
      <w:r w:rsidRPr="00B162A5">
        <w:t>Estimated mortality rates surface per 1000 person-years over two time-scales for male MPN patients in Sweden.</w:t>
      </w:r>
    </w:p>
    <w:p w14:paraId="477A0ECF" w14:textId="77777777" w:rsidR="006A7F0F" w:rsidRDefault="006A7F0F">
      <w:bookmarkStart w:id="0" w:name="_GoBack"/>
      <w:bookmarkEnd w:id="0"/>
    </w:p>
    <w:sectPr w:rsidR="006A7F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39"/>
    <w:rsid w:val="00370639"/>
    <w:rsid w:val="006A1005"/>
    <w:rsid w:val="006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C7B0"/>
  <w15:chartTrackingRefBased/>
  <w15:docId w15:val="{06EB7E27-FB6C-4EA8-B8B9-7C1B033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b9ce180372ab0b9a26391fc2171c8a58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d59e369c550a84f5f1cb5091f81c2671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2FF8C-B09D-4DC8-8AC6-B8261B9A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701BB-DE3A-4E0F-8BF9-D1C0BC03F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A0151-A4FF-48C4-B44E-2F1A2C307E0D}">
  <ds:schemaRefs>
    <ds:schemaRef ds:uri="http://schemas.microsoft.com/office/infopath/2007/PartnerControls"/>
    <ds:schemaRef ds:uri="41e03578-6ce5-4620-b478-ed78c49ce268"/>
    <ds:schemaRef ds:uri="http://purl.org/dc/elements/1.1/"/>
    <ds:schemaRef ds:uri="http://schemas.microsoft.com/office/2006/metadata/properties"/>
    <ds:schemaRef ds:uri="http://purl.org/dc/terms/"/>
    <ds:schemaRef ds:uri="cdb42919-e907-4af9-bde6-ef21bc62ca3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MEB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Batyrbekova</dc:creator>
  <cp:keywords/>
  <dc:description/>
  <cp:lastModifiedBy>Nurgul Batyrbekova</cp:lastModifiedBy>
  <cp:revision>1</cp:revision>
  <dcterms:created xsi:type="dcterms:W3CDTF">2022-10-10T18:12:00Z</dcterms:created>
  <dcterms:modified xsi:type="dcterms:W3CDTF">2022-10-10T18:15:00Z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