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998FC" w14:textId="77777777" w:rsidR="009302A4" w:rsidRPr="00EA091F" w:rsidRDefault="009302A4" w:rsidP="009302A4">
      <w:pPr>
        <w:pStyle w:val="Heading1"/>
      </w:pPr>
      <w:bookmarkStart w:id="0" w:name="_GoBack"/>
      <w:r w:rsidRPr="00EA091F">
        <w:t>Supplementary material</w:t>
      </w:r>
    </w:p>
    <w:p w14:paraId="37DEE6FF" w14:textId="77777777" w:rsidR="009302A4" w:rsidRPr="00EA091F" w:rsidRDefault="009302A4" w:rsidP="009302A4">
      <w:pPr>
        <w:pStyle w:val="Heading2"/>
        <w:spacing w:line="480" w:lineRule="auto"/>
        <w:rPr>
          <w:color w:val="auto"/>
        </w:rPr>
      </w:pPr>
      <w:bookmarkStart w:id="1" w:name="_Ref96608805"/>
      <w:r w:rsidRPr="00EA091F">
        <w:rPr>
          <w:color w:val="auto"/>
        </w:rPr>
        <w:t>Appendix 1</w:t>
      </w:r>
      <w:bookmarkEnd w:id="1"/>
    </w:p>
    <w:p w14:paraId="7D508A3E" w14:textId="0107B17E" w:rsidR="009302A4" w:rsidRPr="00EA091F" w:rsidRDefault="00D3686C" w:rsidP="009302A4">
      <w:pPr>
        <w:spacing w:line="480" w:lineRule="auto"/>
      </w:pPr>
      <w:r>
        <w:t>PRISMA</w:t>
      </w:r>
      <w:r w:rsidR="009302A4" w:rsidRPr="00EA091F">
        <w:t xml:space="preserve"> flow chart of included randomised controlled trials and observational studies in the network meta-analysis</w:t>
      </w:r>
    </w:p>
    <w:p w14:paraId="15D462EA" w14:textId="77777777" w:rsidR="009302A4" w:rsidRPr="00EA091F" w:rsidRDefault="009302A4" w:rsidP="009302A4">
      <w:pPr>
        <w:spacing w:line="480" w:lineRule="auto"/>
      </w:pPr>
      <w:r w:rsidRPr="00EA091F">
        <w:rPr>
          <w:noProof/>
          <w:lang w:val="en-US"/>
        </w:rPr>
        <w:drawing>
          <wp:inline distT="0" distB="0" distL="0" distR="0" wp14:anchorId="76B2037A" wp14:editId="263C5FF9">
            <wp:extent cx="5731510" cy="7018020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5E30" w14:textId="77777777" w:rsidR="009302A4" w:rsidRPr="00EA091F" w:rsidRDefault="009302A4" w:rsidP="009302A4">
      <w:pPr>
        <w:pStyle w:val="Heading2"/>
        <w:spacing w:line="480" w:lineRule="auto"/>
        <w:rPr>
          <w:color w:val="auto"/>
        </w:rPr>
      </w:pPr>
      <w:bookmarkStart w:id="2" w:name="_Ref96609983"/>
      <w:r w:rsidRPr="00EA091F">
        <w:rPr>
          <w:color w:val="auto"/>
        </w:rPr>
        <w:lastRenderedPageBreak/>
        <w:t>Appendix 2</w:t>
      </w:r>
      <w:bookmarkEnd w:id="2"/>
    </w:p>
    <w:p w14:paraId="28F7A513" w14:textId="0D251AA9" w:rsidR="00EA31D4" w:rsidRPr="00EA091F" w:rsidRDefault="009302A4" w:rsidP="00811E84">
      <w:pPr>
        <w:spacing w:line="480" w:lineRule="auto"/>
      </w:pPr>
      <w:r w:rsidRPr="00EA091F">
        <w:t>T</w:t>
      </w:r>
      <w:r w:rsidR="00811E84">
        <w:t>he t</w:t>
      </w:r>
      <w:r w:rsidRPr="00EA091F">
        <w:t xml:space="preserve">able </w:t>
      </w:r>
      <w:r w:rsidR="00811E84">
        <w:t xml:space="preserve">below includes the list </w:t>
      </w:r>
      <w:r w:rsidRPr="00EA091F">
        <w:t>of references of</w:t>
      </w:r>
      <w:r w:rsidR="00811E84">
        <w:t xml:space="preserve"> the</w:t>
      </w:r>
      <w:r w:rsidRPr="00EA091F">
        <w:t xml:space="preserve"> studies </w:t>
      </w:r>
      <w:r w:rsidR="00811E84" w:rsidRPr="00EA091F">
        <w:t xml:space="preserve">included </w:t>
      </w:r>
      <w:r w:rsidRPr="00EA091F">
        <w:t>in the network meta-analysis</w:t>
      </w:r>
      <w:r w:rsidR="00811E84">
        <w:t xml:space="preserve">. </w:t>
      </w:r>
      <w:r w:rsidR="00EA31D4">
        <w:t xml:space="preserve">Reference index </w:t>
      </w:r>
      <w:r w:rsidR="00811E84">
        <w:t>for each</w:t>
      </w:r>
      <w:r w:rsidR="00EA31D4">
        <w:t xml:space="preserve"> study </w:t>
      </w:r>
      <w:r w:rsidR="00811E84">
        <w:t>is used to link the reference with study details presented in Appendix 3</w:t>
      </w:r>
      <w:r w:rsidR="005E3B59">
        <w:t xml:space="preserve"> below</w:t>
      </w:r>
      <w:r w:rsidR="00811E84">
        <w:t xml:space="preserve">. </w:t>
      </w:r>
      <w:r w:rsidR="00EA31D4">
        <w:t xml:space="preserve">Study type </w:t>
      </w:r>
      <w:r w:rsidR="00811E84">
        <w:t xml:space="preserve">is </w:t>
      </w:r>
      <w:r w:rsidR="00EA31D4">
        <w:t>reported as either randomised controlled trial (RCT) or observational study (OBS)</w:t>
      </w:r>
      <w:r w:rsidR="00811E84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9"/>
        <w:gridCol w:w="1229"/>
        <w:gridCol w:w="6784"/>
      </w:tblGrid>
      <w:tr w:rsidR="009302A4" w:rsidRPr="00EA091F" w14:paraId="6FE501BC" w14:textId="77777777" w:rsidTr="00274510">
        <w:trPr>
          <w:trHeight w:val="28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1B335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b/>
                <w:bCs/>
                <w:sz w:val="14"/>
                <w:szCs w:val="14"/>
                <w:lang w:eastAsia="en-GB"/>
              </w:rPr>
              <w:t>Reference index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F4F875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b/>
                <w:bCs/>
                <w:sz w:val="14"/>
                <w:szCs w:val="14"/>
                <w:lang w:eastAsia="en-GB"/>
              </w:rPr>
              <w:t>Study type</w:t>
            </w:r>
          </w:p>
        </w:tc>
        <w:tc>
          <w:tcPr>
            <w:tcW w:w="3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C722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b/>
                <w:bCs/>
                <w:sz w:val="14"/>
                <w:szCs w:val="14"/>
                <w:lang w:eastAsia="en-GB"/>
              </w:rPr>
              <w:t>Reference</w:t>
            </w:r>
          </w:p>
        </w:tc>
      </w:tr>
      <w:tr w:rsidR="009302A4" w:rsidRPr="00EA091F" w14:paraId="3F6A3938" w14:textId="77777777" w:rsidTr="00BC595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F807DE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en-GB"/>
              </w:rPr>
            </w:pPr>
            <w:bookmarkStart w:id="3" w:name="RANGE!A2"/>
            <w:r w:rsidRPr="00EA091F">
              <w:rPr>
                <w:rFonts w:eastAsia="Times New Roman" w:cstheme="minorHAnsi"/>
                <w:b/>
                <w:bCs/>
                <w:sz w:val="14"/>
                <w:szCs w:val="14"/>
                <w:lang w:eastAsia="en-GB"/>
              </w:rPr>
              <w:t>24 weeks and 52 weeks (+- 8 weeks)</w:t>
            </w:r>
            <w:bookmarkEnd w:id="3"/>
          </w:p>
        </w:tc>
      </w:tr>
      <w:tr w:rsidR="009302A4" w:rsidRPr="00EA091F" w14:paraId="2B6ABE02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552" w14:textId="3DBCC84B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4" w:name="RANGE!A3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A1</w:t>
            </w:r>
            <w:bookmarkEnd w:id="4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5BA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A0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Ahmann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Rodbard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H. W., Rosenstock,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Lahtela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J. T.,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Loredo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L.,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Tornøe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Boopalan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Nauck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A. (2015) Efficacy and safety of liraglutide versus placebo added to basal insulin analogues (with or without metformin) in patients with type 2 diabetes: a randomized, placebo-controlled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17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(11), pp. 1056-1064.</w:t>
            </w:r>
          </w:p>
        </w:tc>
      </w:tr>
      <w:tr w:rsidR="009302A4" w:rsidRPr="00EA091F" w14:paraId="53F0AA7C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1DC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41D4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1B4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Ahren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B., Leguizamo Dimas, A.,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Miossec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P.,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Saubadu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S. and Aronson, R. (2013) Efficacy and safety of lixisenatide once-daily morning or evening injections in type 2 diabetes inadequately controlled on metformin (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GetGoal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-M).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(9), pp. 2543-50.</w:t>
            </w:r>
          </w:p>
        </w:tc>
      </w:tr>
      <w:tr w:rsidR="009302A4" w:rsidRPr="00EA091F" w14:paraId="4BCC8273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C6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36AD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3FA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Bailey, C. J., Gross, J. L., Pieters, A., Bastien, A. and List, J. F. (2010) Effect of dapagliflozin in patients with type 2 diabetes who have inadequate glycaemic control with metformin: a randomised, double-blind, placebo-controlled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Lancet,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375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(9733), pp. 2223-33.</w:t>
            </w:r>
          </w:p>
        </w:tc>
      </w:tr>
      <w:tr w:rsidR="009302A4" w:rsidRPr="00EA091F" w14:paraId="228303AE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4D71" w14:textId="226C6FEB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5" w:name="RANGE!A6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A4</w:t>
            </w:r>
            <w:bookmarkEnd w:id="5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D5D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B72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Bailey, C. J., Iqbal, N.,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T'Joen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 and List, J. F. (2012) Dapagliflozin monotherapy in drug-naive patients with diabetes: a randomized-controlled trial of low-dose range.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14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(10), pp. 951-9.</w:t>
            </w:r>
          </w:p>
        </w:tc>
      </w:tr>
      <w:tr w:rsidR="009302A4" w:rsidRPr="00EA091F" w14:paraId="2C012381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E4E2" w14:textId="51214375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6" w:name="RANGE!A7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A5</w:t>
            </w:r>
            <w:bookmarkEnd w:id="6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E3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19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Blevins, T., Pullman, J., Malloy, J., Yan, P., Taylor, K.,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Schulteis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Trautmann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and Porter, L. (2011) DURATION-5: exenatide once-weekly resulted in greater improvements in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glycemic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control compared with exenatide twice daily in patients with type 2 diabetes.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Journal of Clinical Endocrinology &amp;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96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(5), pp. 1301-10.</w:t>
            </w:r>
          </w:p>
        </w:tc>
      </w:tr>
      <w:tr w:rsidR="009302A4" w:rsidRPr="00EA091F" w14:paraId="033C8577" w14:textId="77777777" w:rsidTr="00274510">
        <w:trPr>
          <w:trHeight w:val="408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ECF" w14:textId="0C812E95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7" w:name="RANGE!A8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A6</w:t>
            </w:r>
            <w:bookmarkEnd w:id="7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7F6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BD43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Bode,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Stenlof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K., Sullivan, D., Fung, A.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Usiskin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 (2013) Efficacy and safety of canagliflozin treatment in older subjects with type 2 diabetes mellitus: a randomized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Hospital Practice,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41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(2), pp. 72-84.</w:t>
            </w:r>
          </w:p>
        </w:tc>
      </w:tr>
      <w:tr w:rsidR="009302A4" w:rsidRPr="00EA091F" w14:paraId="070CE48C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CB4" w14:textId="44D00936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8" w:name="RANGE!A9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A7</w:t>
            </w:r>
            <w:bookmarkEnd w:id="8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C141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BF9D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Bolli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 B., Munteanu,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Dotsenko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Niemoeller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E., Boka, G., Wu, Y.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Hanefeld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(2014) Efficacy and safety of lixisenatide once daily vs. placebo in people with type 2 diabetes insufficiently controlled on metformin (GetGoal-F1).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Diabetic Medicine,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31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(2), pp. 176-84.</w:t>
            </w:r>
          </w:p>
        </w:tc>
      </w:tr>
      <w:tr w:rsidR="009302A4" w:rsidRPr="00EA091F" w14:paraId="3A7E2575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81AA" w14:textId="62873DA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9" w:name="RANGE!A10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A8</w:t>
            </w:r>
            <w:bookmarkEnd w:id="9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015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A763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Buse, J. B., Henry, R. R., Han, J., Kim, D. D., Fineman, M. S. and Baron, A. D. (2004) Effects of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exenatide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(exendin-4) on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glycemic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control over 30 weeks in sulfonylurea-treated patients with type 2 diabetes.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27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(11), pp. 2628-35.</w:t>
            </w:r>
          </w:p>
        </w:tc>
      </w:tr>
      <w:tr w:rsidR="009302A4" w:rsidRPr="00EA091F" w14:paraId="17DF5097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E98" w14:textId="56B5E629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10" w:name="RANGE!A11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A9</w:t>
            </w:r>
            <w:bookmarkEnd w:id="10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8378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98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Buse, J.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Bergenstal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 M., Glass, L. C.,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Heilmann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 R., Lewis, M. S., Kwan, A. Y.,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Hoogwerf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 J. and Rosenstock, J. (2011) Use of twice-daily exenatide in basal insulin-treated patients with type 2 diabetes: a randomized, controlled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Annals of Internal Medicine,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154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(2), pp. 103-12.</w:t>
            </w:r>
          </w:p>
        </w:tc>
      </w:tr>
      <w:tr w:rsidR="009302A4" w:rsidRPr="00EA091F" w14:paraId="2F40FF59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694" w14:textId="1B81009F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11" w:name="RANGE!A12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A10</w:t>
            </w:r>
            <w:bookmarkEnd w:id="11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EAD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7D56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Buse, J.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Nauck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Forst, T.,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Sheu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W. H.,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Shenouda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 K.,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Heilmann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 R.,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Hoogwerf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 J., Gao, A., Boardman, M. K., Fineman, M., Porter, L.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Schernthaner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 (2013) Exenatide once weekly versus liraglutide once daily in patients with type 2 diabetes (DURATION-6): a randomised, open-label study.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Lancet,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381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(9861), pp. 117-24.</w:t>
            </w:r>
          </w:p>
        </w:tc>
      </w:tr>
      <w:tr w:rsidR="009302A4" w:rsidRPr="00EA091F" w14:paraId="41AAF531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BF2A" w14:textId="2881C088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12" w:name="RANGE!A13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lastRenderedPageBreak/>
              <w:t>A11</w:t>
            </w:r>
            <w:bookmarkEnd w:id="12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933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5B1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Buse, J. B., Rosenstock,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Sesti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G., Schmidt, W. E.,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Montanya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E., Brett, J. H.,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Zychma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and Blonde, L. (2009) Liraglutide once a day versus exenatide twice a day for type 2 diabetes: a 26-week randomised, parallel-group, multinational, open-label trial (LEAD-6).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Lancet,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374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(9683), pp. 39-47.</w:t>
            </w:r>
          </w:p>
        </w:tc>
      </w:tr>
      <w:tr w:rsidR="009302A4" w:rsidRPr="00EA091F" w14:paraId="7F08FC74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33FD" w14:textId="26C48108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13" w:name="RANGE!A14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A12</w:t>
            </w:r>
            <w:bookmarkEnd w:id="13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4CED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D5A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Dagogo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-Jack, S., Liu,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Eldor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Amorin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G., Johnson,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Hille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D., Liao, Y.,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Huyck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Golm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G., Terra, S. G., Mancuso, J. P., Engel, S. S.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Lauring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 (2017) Efficacy and safety of the addition of ertugliflozin in patients with type 2 diabetes mellitus inadequately controlled with metformin and sitagliptin: the VERTIS SITA2 placebo-controlled randomized study.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20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(3), pp. 530-540.</w:t>
            </w:r>
          </w:p>
        </w:tc>
      </w:tr>
      <w:tr w:rsidR="009302A4" w:rsidRPr="00EA091F" w14:paraId="57C447B9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DE3C" w14:textId="374A56E0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14" w:name="RANGE!A15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A13</w:t>
            </w:r>
            <w:bookmarkEnd w:id="14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37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97A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DeFronzo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 A., Ratner, R. E., Han, J., Kim, D. D., Fineman, M. S. and Baron, A. D. (2005) Effects of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exenatide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(exendin-4) on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glycemic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control and weight over 30 weeks in metformin-treated patients with type 2 diabetes.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28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(5), pp. 1092-100.</w:t>
            </w:r>
          </w:p>
        </w:tc>
      </w:tr>
      <w:tr w:rsidR="009302A4" w:rsidRPr="00EA091F" w14:paraId="42E3A828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6C36" w14:textId="648F4272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15" w:name="RANGE!A16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A14</w:t>
            </w:r>
            <w:bookmarkEnd w:id="15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B97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6DA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Drucker, D. J., Buse, J. B., Taylor, K., Kendall, D.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Trautmann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Zhuang, D. and Porter, L. (2008) Exenatide once-weekly versus twice daily for the treatment of type 2 diabetes: a randomised, open-label, non-inferiority study.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Lancet,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372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(9645), pp. 1240-50.</w:t>
            </w:r>
          </w:p>
        </w:tc>
      </w:tr>
      <w:tr w:rsidR="009302A4" w:rsidRPr="00EA091F" w14:paraId="739042DB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EB3C" w14:textId="0F3701C3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16" w:name="RANGE!A17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A15</w:t>
            </w:r>
            <w:bookmarkEnd w:id="16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3B6F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D49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Dungan, K.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Tofe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Povedano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S., Forst, T., Gonzalez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Gonzalez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J. G.,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Atisso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Sealls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W.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Fahrbach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J. L. (2014) Once-weekly dulaglutide versus once-daily liraglutide in metformin-treated patients with type 2 diabetes (AWARD-6): a randomised, open-label, phase 3, non-inferiority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Lancet,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384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(9951), pp. 1349-1357.</w:t>
            </w:r>
          </w:p>
        </w:tc>
      </w:tr>
      <w:tr w:rsidR="009302A4" w:rsidRPr="00EA091F" w14:paraId="5C8EE66F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B1C4" w14:textId="0ED990BA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17" w:name="RANGE!A18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A16</w:t>
            </w:r>
            <w:bookmarkEnd w:id="17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663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7E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Dungan, K.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Weitgasser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R., Perez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Manghi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F.,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Pintilei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E.,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Fahrbach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J. L., Jiang, H. H., Shell, J. and Robertson, K. E. (2016) A 24-week study to evaluate the efficacy and safety of once-weekly dulaglutide added on to glimepiride in type 2 diabetes (AWARD-8).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18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(5), pp. 475-82.</w:t>
            </w:r>
          </w:p>
        </w:tc>
      </w:tr>
      <w:tr w:rsidR="009302A4" w:rsidRPr="00EA091F" w14:paraId="66BC13CD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1806" w14:textId="5F123841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18" w:name="RANGE!A19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A17</w:t>
            </w:r>
            <w:bookmarkEnd w:id="18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870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FB4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Ferrannini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E., Jimenez Ramos, 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Salsali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A., Tang, W. and List, J. F. (2010) Dapagliflozin monotherapy in type 2 diabetic patients with inadequate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glycemic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control by diet and exercise: a randomized, double-blind, placebo-controlled, phase 3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33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(10), pp. 2217-2224.</w:t>
            </w:r>
          </w:p>
        </w:tc>
      </w:tr>
      <w:tr w:rsidR="009302A4" w:rsidRPr="00EA091F" w14:paraId="40553288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8E24" w14:textId="31AFD02B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19" w:name="RANGE!A20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A18</w:t>
            </w:r>
            <w:bookmarkEnd w:id="19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DFC9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DA4A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Forst, T., Guthrie, R., Goldenberg, R., Yee,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Vijapurkar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U.,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Meininger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 and Stein, P. (2014) Efficacy and safety of canagliflozin over 52 weeks in patients with type 2 diabetes on background metformin and pioglitazone.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(5), pp. 467-477.</w:t>
            </w:r>
          </w:p>
        </w:tc>
      </w:tr>
      <w:tr w:rsidR="009302A4" w:rsidRPr="00EA091F" w14:paraId="68FF9997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998" w14:textId="0970EF28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20" w:name="RANGE!A21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A19</w:t>
            </w:r>
            <w:bookmarkEnd w:id="20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AC0F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8C0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Frías, J. P.,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Guja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C., Hardy, E., Ahmed, A., Dong, F.,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Öhman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P.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Jabbour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 A. (2016) Exenatide once weekly plus dapagliflozin once daily versus exenatide or dapagliflozin alone in patients with type 2 diabetes inadequately controlled with metformin monotherapy (DURATION-8): a 28 week, multicentre, double-blind, phase 3, randomised controlled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lancet Diabetes &amp; endocrinology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4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(12), pp. 1004-1016.</w:t>
            </w:r>
          </w:p>
        </w:tc>
      </w:tr>
      <w:tr w:rsidR="009302A4" w:rsidRPr="00EA091F" w14:paraId="46C41A1D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1B89" w14:textId="31D03A8A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21" w:name="RANGE!A22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A20</w:t>
            </w:r>
            <w:bookmarkEnd w:id="21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1CE8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A45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Gadde, K. M., Vetter, M. L., Iqbal, N., Hardy, E.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Ohman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P. (2017) Efficacy and safety of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autoinjected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exenatide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once-weekly suspension versus sitagliptin or placebo with metformin in patients with type 2 diabetes: the DURATION-NEO-2 randomized clinical study.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19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(7), pp. 979-988.</w:t>
            </w:r>
          </w:p>
        </w:tc>
      </w:tr>
      <w:tr w:rsidR="009302A4" w:rsidRPr="00EA091F" w14:paraId="183A1EDC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A951" w14:textId="25B2A844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22" w:name="RANGE!A23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A21</w:t>
            </w:r>
            <w:bookmarkEnd w:id="22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003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C909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Guja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C., Frias, J. P., Somogyi, A.,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Jabbour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S., Wang, H., Hardy, E. and Rosenstock, J. (2018) Effect of exenatide QW or placebo, both added to titrated insulin glargine, in uncontrolled type 2 diabetes: the DURATION-7 randomized study.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.</w:t>
            </w:r>
          </w:p>
        </w:tc>
      </w:tr>
      <w:tr w:rsidR="009302A4" w:rsidRPr="00EA091F" w14:paraId="4C33DE35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A76E" w14:textId="403960E8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23" w:name="RANGE!A24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A22</w:t>
            </w:r>
            <w:bookmarkEnd w:id="23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1B5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9FD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Henry, R. R.,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Mudaliar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Kanitra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L.,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Woloschak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Balena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 (2012) Efficacy and safety of taspoglutide in patients with type 2 diabetes inadequately controlled with metformin plus pioglitazone over 24 weeks: T-Emerge 3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Journal of Clinical Endocrinology &amp; Metabolism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97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(7), pp. 2370-2379.</w:t>
            </w:r>
          </w:p>
        </w:tc>
      </w:tr>
      <w:tr w:rsidR="009302A4" w:rsidRPr="00EA091F" w14:paraId="5BE50878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374" w14:textId="4A0F0178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24" w:name="RANGE!A25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A23</w:t>
            </w:r>
            <w:bookmarkEnd w:id="24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65E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0F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Hollander, P.,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Lasko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B., Barnett, A. H.,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Bengus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Kanitra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L., Pi-Sunyer, F. X.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Balena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 (2013) Effects of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taspoglutide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on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glycemic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control and body weight in obese patients with type 2 diabetes (T-emerge 7 study).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lastRenderedPageBreak/>
              <w:t>Obesity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21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(2), pp. 238-247.</w:t>
            </w:r>
          </w:p>
        </w:tc>
      </w:tr>
      <w:tr w:rsidR="009302A4" w:rsidRPr="00EA091F" w14:paraId="44639EB2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C645" w14:textId="70B3ABB6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25" w:name="RANGE!A26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lastRenderedPageBreak/>
              <w:t>A24</w:t>
            </w:r>
            <w:bookmarkEnd w:id="25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DB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0B1F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Häring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H. U.,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Merker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L.,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Seewaldt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-Becker, E., Weimer,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Meinicke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T.,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Woerle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H. J.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Broedl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U. C. (2013) Empagliflozin as add-on to metformin plus sulfonylurea in patients with type 2 diabetes: a 24-week, randomized, double-blind, placebo-controlled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(11), pp. 3396-404.</w:t>
            </w:r>
          </w:p>
        </w:tc>
      </w:tr>
      <w:tr w:rsidR="009302A4" w:rsidRPr="00EA091F" w14:paraId="07714DEC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E503" w14:textId="2D8EC503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26" w:name="RANGE!A27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A25</w:t>
            </w:r>
            <w:bookmarkEnd w:id="26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6F77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E19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Kovacs, C. 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Seshiah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V., Swallow, R., Jones, R.,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Rattunde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H.,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Woerle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H. J.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Broedl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U. C. (2014) Empagliflozin improves glycaemic and weight control as add-on therapy to pioglitazone or pioglitazone plus metformin in patients with type 2 diabetes: a 24-week, randomized, placebo-controlled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(2), pp. 147-158.</w:t>
            </w:r>
          </w:p>
        </w:tc>
      </w:tr>
      <w:tr w:rsidR="009302A4" w:rsidRPr="00EA091F" w14:paraId="62A7AE0B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9FD" w14:textId="7661B02D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27" w:name="RANGE!A28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A26</w:t>
            </w:r>
            <w:bookmarkEnd w:id="27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EBA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199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Lavalle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-González, F.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Januszewicz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A., Davidson, J., Tong, C.,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Qiu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Canovatchel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W.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Meininger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 (2013) Efficacy and safety of canagliflozin compared with placebo and sitagliptin in patients with type 2 diabetes on background metformin monotherapy: a randomised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Diabetologia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56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(12), pp. 2582-2592.</w:t>
            </w:r>
          </w:p>
        </w:tc>
      </w:tr>
      <w:tr w:rsidR="009302A4" w:rsidRPr="00EA091F" w14:paraId="563BA711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D8AD" w14:textId="5BD466D5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28" w:name="RANGE!A29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A27</w:t>
            </w:r>
            <w:bookmarkEnd w:id="28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847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A70D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Lind, M., Hirsch, I.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Tuomilehto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Dahlqvist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Ahren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Torffvit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O.,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Attvall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Ekelund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Filipsson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Tengmark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 O., Sjoberg, S.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Pehrsson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N. G. (2015) Liraglutide in people treated for type 2 diabetes with multiple daily insulin injections: randomised clinical trial (MDI Liraglutide trial).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BMJ,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351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pp. h5364.</w:t>
            </w:r>
          </w:p>
        </w:tc>
      </w:tr>
      <w:tr w:rsidR="009302A4" w:rsidRPr="00EA091F" w14:paraId="1B9D8B69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0F11" w14:textId="483C4BD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29" w:name="RANGE!A30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A28</w:t>
            </w:r>
            <w:bookmarkEnd w:id="29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DB7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1BD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Lingvay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I.,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Desouza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 V.,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Lalic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 S., Rose, L., Hansen, T.,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Zacho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J.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Pieber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T. R. (2018) A 26-week randomized controlled trial of semaglutide once daily versus liraglutide and placebo in patients with type 2 diabetes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suboptimally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controlled on diet and exercise with or without metformin.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41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(9), pp. 1926‐1937.</w:t>
            </w:r>
          </w:p>
        </w:tc>
      </w:tr>
      <w:tr w:rsidR="009302A4" w:rsidRPr="00EA091F" w14:paraId="78833EBB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EF60" w14:textId="20EC2C88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30" w:name="RANGE!A31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A29</w:t>
            </w:r>
            <w:bookmarkEnd w:id="30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A23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D9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Liutkus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J., Rosas Guzman, J., Norwood, P., Pop, L., Northrup, J., Cao, D.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Trautmann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(2010) A placebo-controlled trial of exenatide twice-daily added to thiazolidinediones alone or in combination with metformin.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12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(12), pp. 1058-65.</w:t>
            </w:r>
          </w:p>
        </w:tc>
      </w:tr>
      <w:tr w:rsidR="009302A4" w:rsidRPr="00EA091F" w14:paraId="220F9CFA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158" w14:textId="03B8C093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31" w:name="RANGE!A32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A30</w:t>
            </w:r>
            <w:bookmarkEnd w:id="31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FF15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AF9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Ludvik, B., Frias, J. P.,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Tinahones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F. J., Wainstein, J., Jiang, H., Robertson, K. E., Garcia-Perez, L. E., Woodward, D. B. and Milicevic, Z. (2018) Dulaglutide as add-on therapy to SGLT2 inhibitors in patients with inadequately controlled type 2 diabetes (AWARD-10): a 24-week, randomised, double-blind, placebo-controlled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lancet Diabetes &amp; endocrinology,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(5), pp. 370-381.</w:t>
            </w:r>
          </w:p>
        </w:tc>
      </w:tr>
      <w:tr w:rsidR="009302A4" w:rsidRPr="00EA091F" w14:paraId="40CFF481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757" w14:textId="7926430F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32" w:name="RANGE!A33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A31</w:t>
            </w:r>
            <w:bookmarkEnd w:id="32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9A4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5454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Matthaei, S., Bowering, K.,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Rohwedder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Grohl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 and Parikh, S. (2015)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Dapagliflozin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improves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glycemic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control and reduces body weight as add-on therapy to metformin plus sulfonylurea: a 24-week randomized, double-blind clinical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38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(3), pp. 365-72.</w:t>
            </w:r>
          </w:p>
        </w:tc>
      </w:tr>
      <w:tr w:rsidR="009302A4" w:rsidRPr="00EA091F" w14:paraId="038D18BC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D87A" w14:textId="60AA6984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33" w:name="RANGE!A34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A32</w:t>
            </w:r>
            <w:bookmarkEnd w:id="33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6B1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B9C8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Moretto, T. J., Milton, D. R., Ridge, T. D.,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Macconell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L. A.,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Okerson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T.,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Wolka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 M.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Brodows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 G. (2008) Efficacy and tolerability of exenatide monotherapy over 24 weeks in antidiabetic drug-naive patients with type 2 diabetes: a randomized, double-blind, placebo-controlled, parallel-group study.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Clinical Therapeutics,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30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(8), pp. 1448-60.</w:t>
            </w:r>
          </w:p>
        </w:tc>
      </w:tr>
      <w:tr w:rsidR="009302A4" w:rsidRPr="00EA091F" w14:paraId="505D0540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710" w14:textId="50634C50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34" w:name="RANGE!A35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A33</w:t>
            </w:r>
            <w:bookmarkEnd w:id="34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557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A7B8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Nauck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Weinstock, R. 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Umpierrez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 E.,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Guerci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Skrivanek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Z. and Milicevic, Z. (2014) Efficacy and safety of dulaglutide versus sitagliptin after 52 weeks in type 2 diabetes in a randomized controlled trial (AWARD-5).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37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(8), pp. 2149-2158.</w:t>
            </w:r>
          </w:p>
        </w:tc>
      </w:tr>
      <w:tr w:rsidR="009302A4" w:rsidRPr="00EA091F" w14:paraId="07AD18CD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4610" w14:textId="4D57824C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35" w:name="RANGE!A36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A34</w:t>
            </w:r>
            <w:bookmarkEnd w:id="35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972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5824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Nauck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M., Rizzo, M., Johnson, A., Bosch-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Traberg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H., Madsen, J.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Cariou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 (2016) Once-daily liraglutide versus lixisenatide as add-on to metformin in type 2 diabetes: a 26-week randomized controlled clinical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39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(9), pp. 1501-1509.</w:t>
            </w:r>
          </w:p>
        </w:tc>
      </w:tr>
      <w:tr w:rsidR="009302A4" w:rsidRPr="00EA091F" w14:paraId="08247F39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B09" w14:textId="1A2FD3C3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36" w:name="RANGE!A37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A35</w:t>
            </w:r>
            <w:bookmarkEnd w:id="36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E257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F4AD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Pinget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Goldenberg, R.,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Niemoeller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E.,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Muehlen-Bartmer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I., Guo, H. and Aronson, R. (2013) Efficacy and safety of lixisenatide once daily versus placebo in type 2 diabetes insufficiently controlled on pioglitazone (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GetGoal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-P).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lastRenderedPageBreak/>
              <w:t>Diabetes, Obesity and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15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(11), pp. 1000-7.</w:t>
            </w:r>
          </w:p>
        </w:tc>
      </w:tr>
      <w:tr w:rsidR="009302A4" w:rsidRPr="00EA091F" w14:paraId="33259B5D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502C" w14:textId="5FBE36E9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37" w:name="RANGE!A38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lastRenderedPageBreak/>
              <w:t>A36</w:t>
            </w:r>
            <w:bookmarkEnd w:id="37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971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A8A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Pratley, R. E.,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Nauck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A., Barnett, A. H.,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Feinglos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N., Ovalle, F., Harman-Boehm, I., Ye, J., Scott, R., Johnson, S., Stewart, M. and Rosenstock, J. (2014) Once-weekly albiglutide versus once-daily liraglutide in patients with type 2 diabetes inadequately controlled on oral drugs (HARMONY 7): a randomised, open-label, multicentre, non-inferiority phase 3 study.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lancet Diabetes &amp; endocrinology,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2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(4), pp. 289-97.</w:t>
            </w:r>
          </w:p>
        </w:tc>
      </w:tr>
      <w:tr w:rsidR="009302A4" w:rsidRPr="00EA091F" w14:paraId="09FA94B4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033" w14:textId="56788E9F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38" w:name="RANGE!A39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A37</w:t>
            </w:r>
            <w:bookmarkEnd w:id="38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DF4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A25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Raz, I., Fonseca, V.,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Kipnes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Durrwell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L., Hoekstra,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Boldrin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Balena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 (2012) Efficacy and safety of taspoglutide monotherapy in drug-naive type 2 diabetic patients after 24 weeks of treatment: results of a randomized, double-blind, placebo-controlled phase 3 study (T-emerge 1).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35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(3), pp. 485-7.</w:t>
            </w:r>
          </w:p>
        </w:tc>
      </w:tr>
      <w:tr w:rsidR="009302A4" w:rsidRPr="00EA091F" w14:paraId="007714D8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66E6" w14:textId="22F0B45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39" w:name="RANGE!A40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A38</w:t>
            </w:r>
            <w:bookmarkEnd w:id="39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7786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0DC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Riddle, M. C., Forst, T., Aronson, R.,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Sauque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-Reyna, L.,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Souhami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E., Silvestre, L., Ping, L. and Rosenstock, J. (2013) Adding once-daily lixisenatide for type 2 diabetes inadequately controlled with newly initiated and continuously titrated basal insulin glargine: a 24-week, randomized, placebo-controlled study (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GetGoal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-Duo 1).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(9), pp. 2497-503.</w:t>
            </w:r>
          </w:p>
        </w:tc>
      </w:tr>
      <w:tr w:rsidR="009302A4" w:rsidRPr="00EA091F" w14:paraId="41FD09D6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4BC0" w14:textId="5824938E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40" w:name="RANGE!A41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A39</w:t>
            </w:r>
            <w:bookmarkEnd w:id="40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082D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7C4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Riddle, M. C., Aronson, R., Home, P.,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Marre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Niemoeller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E.,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Miossec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P., Ping, L., Ye, J. and Rosenstock, J. (2013) Adding once-daily lixisenatide for type 2 diabetes inadequately controlled by established basal insulin: a 24-week, randomized, placebo-controlled comparison (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GetGoal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-L).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(9), pp. 2489-96.</w:t>
            </w:r>
          </w:p>
        </w:tc>
      </w:tr>
      <w:tr w:rsidR="009302A4" w:rsidRPr="00EA091F" w14:paraId="05359395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2040" w14:textId="50567F21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41" w:name="RANGE!A42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A40</w:t>
            </w:r>
            <w:bookmarkEnd w:id="41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FD74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52EA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Rodbard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H. W.,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Lingvay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I., Reed, J., de la Rosa, R., Rose, L., Sugimoto, D., Araki, E., Chu, P. L.,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Wijayasinghe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N. and Norwood, P. (2018) Semaglutide added to basal insulin in type 2 diabetes (SUSTAIN 5): a randomized, controlled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Journal of Clinical Endocrinology &amp;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103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(6), pp. 2291-2301.</w:t>
            </w:r>
          </w:p>
        </w:tc>
      </w:tr>
      <w:tr w:rsidR="009302A4" w:rsidRPr="00EA091F" w14:paraId="75F29886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73EC" w14:textId="112D5EE3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42" w:name="RANGE!A43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A41</w:t>
            </w:r>
            <w:bookmarkEnd w:id="42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44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401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Rodbard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H. W., Seufert, J., Aggarwal, N., Cao, A., Fung, A., Pfeifer, M. and Alba, M. (2016) Efficacy and safety of titrated canagliflozin in patients with type 2 diabetes mellitus inadequately controlled on metformin and sitagliptin.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18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(8), pp. 812-819.</w:t>
            </w:r>
          </w:p>
        </w:tc>
      </w:tr>
      <w:tr w:rsidR="009302A4" w:rsidRPr="00EA091F" w14:paraId="6231B945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5067" w14:textId="7271F342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43" w:name="RANGE!A44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A42</w:t>
            </w:r>
            <w:bookmarkEnd w:id="43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5D7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F4FF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Roden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Weng,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Eilbracht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Delafont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B., Kim, G.,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Woerle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H. J.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Broedl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U. C. (2013) Empagliflozin monotherapy with sitagliptin as an active comparator in patients with type 2 diabetes: a randomised, double-blind, placebo-controlled, phase 3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lancet Diabetes &amp; endocrinology,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(3), pp. 208-19.</w:t>
            </w:r>
          </w:p>
        </w:tc>
      </w:tr>
      <w:tr w:rsidR="009302A4" w:rsidRPr="00EA091F" w14:paraId="2EFB93EB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75B8" w14:textId="20595463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44" w:name="RANGE!A45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A43</w:t>
            </w:r>
            <w:bookmarkEnd w:id="44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BAA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1EF5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Rosenstock,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Vico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Wei, L.,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Salsali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 and List, J. F. (2012) Effects of dapagliflozin, an SGLT2 inhibitor, on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HbA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(1c), body weight,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hypoglycemia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risk in patients with type 2 diabetes inadequately controlled on pioglitazone monotherapy.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35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(7), pp. 1473-1478.</w:t>
            </w:r>
          </w:p>
        </w:tc>
      </w:tr>
      <w:tr w:rsidR="009302A4" w:rsidRPr="00EA091F" w14:paraId="3B37A836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BF7" w14:textId="1FD0BABC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45" w:name="RANGE!A46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A44</w:t>
            </w:r>
            <w:bookmarkEnd w:id="45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D20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DC7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Rosenstock, J., Frias, J., Pall, D.,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Charbonnel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Pascu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R., Saur, D., Darekar, A.,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Huyck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S., Shi, H.,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Lauring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 and Terra, S. G. (2018) Effect of ertugliflozin on glucose control, body weight, blood pressure and bone density in type 2 diabetes mellitus inadequately controlled on metformin monotherapy (VERTIS MET).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Obesity &amp;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20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(3), pp. 520-529.</w:t>
            </w:r>
          </w:p>
        </w:tc>
      </w:tr>
      <w:tr w:rsidR="009302A4" w:rsidRPr="00EA091F" w14:paraId="0C5B0BD4" w14:textId="77777777" w:rsidTr="00274510">
        <w:trPr>
          <w:trHeight w:val="102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02AC" w14:textId="08AD6FEB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46" w:name="RANGE!A47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A45</w:t>
            </w:r>
            <w:bookmarkEnd w:id="46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5F44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AB4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Rosenstock,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Hanefeld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Shamanna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P., Min, K. W., Boka, G.,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Miossec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P., Zhou, T.,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Muehlen-Bartmer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I. and Ratner, R. E. (2014) Beneficial effects of once-daily lixisenatide on overall and postprandial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glycemic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levels without significant excess of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hypoglycemia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in type 2 diabetes inadequately controlled on a sulfonylurea with or without metformin (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GetGoal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-S).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Journal of Diabetes and Its Complications,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28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(3), pp. 386-92.</w:t>
            </w:r>
          </w:p>
        </w:tc>
      </w:tr>
      <w:tr w:rsidR="009302A4" w:rsidRPr="00EA091F" w14:paraId="2CF3D48C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849B" w14:textId="53779CA2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47" w:name="RANGE!A48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A46</w:t>
            </w:r>
            <w:bookmarkEnd w:id="47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7D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C7A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Rosenstock, J., Balas,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Charbonnel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Bolli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Boldrin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Ratner, R.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Balena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 (2013) The fate of taspoglutide, a weekly GLP-1 receptor agonist, versus twice-daily exenatide for type 2 diabetes: the T-emerge 2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(3), pp. 498-504.</w:t>
            </w:r>
          </w:p>
        </w:tc>
      </w:tr>
      <w:tr w:rsidR="009302A4" w:rsidRPr="00EA091F" w14:paraId="74061248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C824" w14:textId="130BFD70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48" w:name="RANGE!A49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lastRenderedPageBreak/>
              <w:t>A47</w:t>
            </w:r>
            <w:bookmarkEnd w:id="48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D947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E95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Rosenstock,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Raccah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D.,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Korányi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L., Maffei, L., Boka, G.,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Miossec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P.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Gerich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J. E. (2013) Efficacy and safety of lixisenatide once daily versus exenatide twice daily in type 2 diabetes inadequately controlled on metformin: a 24-week, randomized, open-label, active-controlled study (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GetGoal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-X).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(10), pp. 2945-2951.</w:t>
            </w:r>
          </w:p>
        </w:tc>
      </w:tr>
      <w:tr w:rsidR="009302A4" w:rsidRPr="00EA091F" w14:paraId="4D16BD04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514A" w14:textId="2837C3DB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49" w:name="RANGE!A50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A48</w:t>
            </w:r>
            <w:bookmarkEnd w:id="49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448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7F56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Russell-Jones, D.,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Vaag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A., Schmitz, O., Sethi, B. K.,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Lalic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N., Antic, 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Zdravkovic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Ravn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 M. and Simo, R. (2009) Liraglutide vs insulin glargine and placebo in combination with metformin and sulfonylurea therapy in type 2 diabetes mellitus (LEAD-5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met+SU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): a randomised controlled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Diabetologia,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52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(10), pp. 2046-55.</w:t>
            </w:r>
          </w:p>
        </w:tc>
      </w:tr>
      <w:tr w:rsidR="009302A4" w:rsidRPr="00EA091F" w14:paraId="2B42DA06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3D2" w14:textId="2DB6FF30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50" w:name="RANGE!A51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A49</w:t>
            </w:r>
            <w:bookmarkEnd w:id="50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6988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653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Softeland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E., Meier, J.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Vangen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Toorawa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R., Maldonado-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Lutomirsky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Broedl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U. C. (2017) Empagliflozin as add-on therapy in patients with type 2 diabetes inadequately controlled with linagliptin and metformin: a 24-week randomized, double-blind, parallel-group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40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(2), pp. 201-209.</w:t>
            </w:r>
          </w:p>
        </w:tc>
      </w:tr>
      <w:tr w:rsidR="009302A4" w:rsidRPr="00EA091F" w14:paraId="675E933A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EE1F" w14:textId="4E05085A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51" w:name="RANGE!A52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A50</w:t>
            </w:r>
            <w:bookmarkEnd w:id="51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236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C17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Sorli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Harashima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 I.,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Tsoukas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 M., Unger,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Karsbol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J. D., Hansen, T. and Bain, S. C. (2017) Efficacy and safety of once-weekly semaglutide monotherapy versus placebo in patients with type 2 diabetes (SUSTAIN 1): a double-blind, randomised, placebo-controlled, parallel-group, multinational, multicentre phase 3a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The lancet Diabetes &amp; endocrinology,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5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(4), pp. 251-260.</w:t>
            </w:r>
          </w:p>
        </w:tc>
      </w:tr>
      <w:tr w:rsidR="009302A4" w:rsidRPr="00EA091F" w14:paraId="518B9A63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088A" w14:textId="43029A3B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52" w:name="RANGE!A53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A51</w:t>
            </w:r>
            <w:bookmarkEnd w:id="52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24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6CC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Stenlöf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Cefalu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W. T., Kim, K. A., Alba,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Usiskin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K., Tong, C.,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Canovatchel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W.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Meininger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 (2013) Efficacy and safety of canagliflozin monotherapy in subjects with type 2 diabetes mellitus inadequately controlled with diet and exercise.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15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(4), pp. 372-382.</w:t>
            </w:r>
          </w:p>
        </w:tc>
      </w:tr>
      <w:tr w:rsidR="009302A4" w:rsidRPr="00EA091F" w14:paraId="7412EB4B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9E5B" w14:textId="273573EC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53" w:name="RANGE!A54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A52</w:t>
            </w:r>
            <w:bookmarkEnd w:id="53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F376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6A6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Terra, S. G.,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Focht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K., Davies, M., Frias,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Derosa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G., Darekar, A.,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Golm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G., Johnson, J., Saur, D.,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Lauring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Dagogo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-Jack, S. (2017) Phase III, efficacy and safety study of ertugliflozin monotherapy in people with type 2 diabetes mellitus inadequately controlled with diet and exercise alone.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19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(5), pp. 721-728.</w:t>
            </w:r>
          </w:p>
        </w:tc>
      </w:tr>
      <w:tr w:rsidR="009302A4" w:rsidRPr="00EA091F" w14:paraId="11A75CBC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6E8" w14:textId="7AB26254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54" w:name="RANGE!A55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A53</w:t>
            </w:r>
            <w:bookmarkEnd w:id="54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0317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8E2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Vanderheiden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A., Harrison, L.,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Warshauer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J., Li, X., Adams-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Huet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Lingvay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I. (2016) Effect of adding liraglutide vs placebo to a high-dose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lnsulin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regimen in patients with type 2 diabetes: a randomized clinical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JAMA Internal Medicine,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176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(7), pp. 939-47.</w:t>
            </w:r>
          </w:p>
        </w:tc>
      </w:tr>
      <w:tr w:rsidR="009302A4" w:rsidRPr="00EA091F" w14:paraId="276A93E4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5C8E" w14:textId="4C671033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55" w:name="RANGE!A56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A54</w:t>
            </w:r>
            <w:bookmarkEnd w:id="55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9FA3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E0D9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Wilding, J. P. H., Woo, V., Soler, N. G., Pahor, A., Sugg,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Rohwedder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K., Parikh, S. and Dapagliflozin 006 Study, G. (2012) Long-term efficacy of dapagliflozin in patients with type 2 diabetes mellitus receiving high doses of insulin: a randomized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Annals of Internal Medicine,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156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(6), pp. 405-U50.</w:t>
            </w:r>
          </w:p>
        </w:tc>
      </w:tr>
      <w:tr w:rsidR="009302A4" w:rsidRPr="00EA091F" w14:paraId="43F0CD6C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4800" w14:textId="737BB5E3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56" w:name="RANGE!A57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A55</w:t>
            </w:r>
            <w:bookmarkEnd w:id="56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0E5A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712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Wilding, J. P., Charpentier, G., Hollander, P., Gonzalez-Galvez, G., Mathieu, C.,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Vercruysse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F.,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Usiskin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K., Law, G., Black, 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Canovatchel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W.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Meininger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 (2013) Efficacy and safety of canagliflozin in patients with type 2 diabetes mellitus inadequately controlled with metformin and sulphonylurea: a randomised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International Journal of Clinical Practice,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67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(12), pp. 1267-82.</w:t>
            </w:r>
          </w:p>
        </w:tc>
      </w:tr>
      <w:tr w:rsidR="009302A4" w:rsidRPr="00EA091F" w14:paraId="0FA5400A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8EAA" w14:textId="4A664DFA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57" w:name="RANGE!A58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A56</w:t>
            </w:r>
            <w:bookmarkEnd w:id="57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CED9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26B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Wit, H. M., Vervoort, G. M., Jansen, H.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Grauw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W. J., Galan, B. E. and Tack, C. J. (2014) Liraglutide reverses pronounced insulin-associated weight gain, improves glycaemic control and decreases insulin dose in patients with type 2 diabetes: a 26 week, randomised clinical trial (ELEGANT).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Diabetologia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57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(9), pp. 1812-1819.</w:t>
            </w:r>
          </w:p>
        </w:tc>
      </w:tr>
      <w:tr w:rsidR="009302A4" w:rsidRPr="00EA091F" w14:paraId="0C51310D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B33" w14:textId="33231C79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58" w:name="RANGE!A59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A57</w:t>
            </w:r>
            <w:bookmarkEnd w:id="58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3CE1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460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Wysham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C., Blevins, T., Arakaki, R., Colon, G., Garcia, P.,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Atisso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Kuhstoss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D. and Lakshmanan, M. (2014) Efficacy and safety of dulaglutide added onto pioglitazone and metformin versus exenatide in type 2 diabetes in a randomized controlled trial (AWARD-1).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37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(8), pp. 2159-2167.</w:t>
            </w:r>
          </w:p>
        </w:tc>
      </w:tr>
      <w:tr w:rsidR="009302A4" w:rsidRPr="00EA091F" w14:paraId="2D6A3666" w14:textId="77777777" w:rsidTr="00274510">
        <w:trPr>
          <w:trHeight w:val="30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869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FD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16A9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Blonde, L., Patel, C.,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Bookhart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B., Pfeifer, M., Chen, Y.W. and Wu, B., 2018. A real-world analysis of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glycemic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control among patients with type 2 diabetes treated with canagliflozin versus dapagliflozin. Current medical research and opinion, 34(6), pp.1143-1152.</w:t>
            </w:r>
          </w:p>
        </w:tc>
      </w:tr>
      <w:tr w:rsidR="009302A4" w:rsidRPr="00EA091F" w14:paraId="6C8418BC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BB33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lastRenderedPageBreak/>
              <w:t>B2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6CB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1FD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Buysman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E.K.,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Sikirica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M.V., Thayer, S.W., Bogart, M., DuCharme, M.C. and Joshi, A.V., 2018. Real-world comparison of treatment patterns and effectiveness of albiglutide and liraglutide. Journal of comparative effectiveness research, 7(2), pp.89-100.</w:t>
            </w:r>
          </w:p>
        </w:tc>
      </w:tr>
      <w:tr w:rsidR="009302A4" w:rsidRPr="00EA091F" w14:paraId="12D92C68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DC7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4203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3313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Fadini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G.P.,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Bonora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Lapolla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Fattor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Morpurgo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P.S.,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Simioni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N.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Avogaro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A., 2019. Comparative effectiveness of exenatide once‐weekly versus liraglutide in routine clinical practice: A retrospective multicentre study and meta‐analysis of observational studies. Diabetes, obesity &amp; metabolism, 21(5), p.1255.</w:t>
            </w:r>
          </w:p>
        </w:tc>
      </w:tr>
      <w:tr w:rsidR="009302A4" w:rsidRPr="00EA091F" w14:paraId="34D22523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56B7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8885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839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Saunders, W.B., Nguyen, H.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Kalsekar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I., 2016. Real-world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glycemic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outcomes in patients with type 2 diabetes initiating exenatide once weekly and liraglutide once daily: a retrospective cohort study. Diabetes, metabolic syndrome and obesity: targets and therapy, 9, p.217.</w:t>
            </w:r>
          </w:p>
        </w:tc>
      </w:tr>
      <w:tr w:rsidR="009302A4" w:rsidRPr="00EA091F" w14:paraId="35D97CC6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6C8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704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FC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Unni, S.,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Wittbrodt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E., Ma,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Schauerhamer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M., Hurd, J., Ruiz‐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Negrón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N. and McAdam‐Marx, C., 2018. Comparative effectiveness of once‐weekly glucagon‐like peptide‐1 receptor agonists with regard to 6‐month glycaemic control and weight outcomes in patients with type 2 diabetes. Diabetes, Obesity and Metabolism, 20(2), pp.468-473.</w:t>
            </w:r>
          </w:p>
        </w:tc>
      </w:tr>
      <w:tr w:rsidR="009302A4" w:rsidRPr="00EA091F" w14:paraId="611521B8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3B7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0E1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2B6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Jassim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Z.,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Elajez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Khudair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I., Al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Anany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R. and Al-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Adawi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R.M., 2019. Efficacy and safety of once daily liraglutide versus twice daily exenatide in type 2 diabetic patients in Qatar: an observational study. Journal of Pharmaceutical Health Services Research, 10(1), pp.73-80.</w:t>
            </w:r>
          </w:p>
        </w:tc>
      </w:tr>
      <w:tr w:rsidR="009302A4" w:rsidRPr="00EA091F" w14:paraId="3D339492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7321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5FF3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D88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Mody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R., Huang, Q., Yu, M., Zhao, R., Patel, H.,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Grabner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Landó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L.F., 2019. Adherence, persistence, glycaemic control and costs among patients with type 2 diabetes initiating dulaglutide compared with liraglutide or exenatide once weekly at 12‐month follow‐up in a real‐world setting in the United States. Diabetes, obesity &amp; metabolism, 21(4), p.920.</w:t>
            </w:r>
          </w:p>
        </w:tc>
      </w:tr>
      <w:tr w:rsidR="009302A4" w:rsidRPr="00EA091F" w14:paraId="2B313AAA" w14:textId="77777777" w:rsidTr="00BC5954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D7785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b/>
                <w:bCs/>
                <w:sz w:val="14"/>
                <w:szCs w:val="14"/>
                <w:lang w:eastAsia="en-GB"/>
              </w:rPr>
              <w:t>52 weeks (+- 8 weeks) only</w:t>
            </w:r>
          </w:p>
        </w:tc>
      </w:tr>
      <w:tr w:rsidR="009302A4" w:rsidRPr="00EA091F" w14:paraId="52833AA6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C2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59" w:name="RANGE!A68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C1</w:t>
            </w:r>
            <w:bookmarkEnd w:id="59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C3A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A42D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Ahmann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Capehorn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Charpentier, G.,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Dotta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F., Henkel, E.,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Lingvay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I., Holst, A. G., Annett, M. P.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Aroda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V. R. (2018) Efficacy and safety of once-weekly semaglutide versus exenatide ER in subjects with type 2 diabetes (SUSTAIN 3): a 56-week, open-label, randomized clinical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41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(2), pp. 258-266.</w:t>
            </w:r>
          </w:p>
        </w:tc>
      </w:tr>
      <w:tr w:rsidR="009302A4" w:rsidRPr="00EA091F" w14:paraId="6175101A" w14:textId="77777777" w:rsidTr="00274510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627" w14:textId="2FD8D4D1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60" w:name="RANGE!A69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C2</w:t>
            </w:r>
            <w:bookmarkEnd w:id="60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377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FAD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Jabbour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S. A., Frias, J. P., Hardy, E., Ahmed, A., Wang, H.,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Ohman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P.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Guja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C. (2018) Safety and efficacy of exenatide once weekly plus dapagliflozin once daily versus exenatide or dapagliflozin alone in patients with type 2 diabetes inadequately controlled with metformin monotherapy: 52-week results of the DURATION-8 randomized controlled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41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(10), pp. 2136-2146.</w:t>
            </w:r>
          </w:p>
        </w:tc>
      </w:tr>
      <w:tr w:rsidR="009302A4" w:rsidRPr="00EA091F" w14:paraId="7BF099A9" w14:textId="77777777" w:rsidTr="00274510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99E3" w14:textId="738FD34B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61" w:name="RANGE!A70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C3</w:t>
            </w:r>
            <w:bookmarkEnd w:id="61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2E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E9A8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Matthaei, S., Bowering, K.,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Rohwedder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K., Sugg, J., Parikh, S.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Johnsson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E. (2015) Durability and tolerability of dapagliflozin over 52-weeks as add-on to metformin and sulphonylurea in type 2 diabetes.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17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(11), pp. 1075-1084.</w:t>
            </w:r>
          </w:p>
        </w:tc>
      </w:tr>
      <w:tr w:rsidR="009302A4" w:rsidRPr="00EA091F" w14:paraId="1BF153FC" w14:textId="77777777" w:rsidTr="00811E84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DB1C" w14:textId="000CE9FB" w:rsidR="009302A4" w:rsidRPr="00EA091F" w:rsidRDefault="009302A4" w:rsidP="00274510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62" w:name="RANGE!A71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C4</w:t>
            </w:r>
            <w:bookmarkEnd w:id="62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9E9C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8D8E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Nauck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 A., Stewart, M. W., Perkins, C., Jones-Leone, A., Yang, F., Perry, C., Reinhardt, R. R. and Rendell, M. (2016) Efficacy and safety of once-weekly GLP-1 receptor agonist albiglutide (HARMONY 2): 52 week primary endpoint results from a randomised, placebo-controlled trial in patients with type 2 diabetes mellitus inadequately controlled with diet and exercise.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Diabetologia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59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(2), pp. 266-274.</w:t>
            </w:r>
          </w:p>
        </w:tc>
      </w:tr>
      <w:tr w:rsidR="009302A4" w:rsidRPr="00EA091F" w14:paraId="0DD8A2F5" w14:textId="77777777" w:rsidTr="00811E84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A465" w14:textId="32171C13" w:rsidR="009302A4" w:rsidRPr="00EA091F" w:rsidRDefault="009302A4" w:rsidP="00274510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63" w:name="RANGE!A72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C5</w:t>
            </w:r>
            <w:bookmarkEnd w:id="63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72DD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364A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Neal,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Perkovic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V., de Zeeuw, D., Mahaffey, K. W., Fulcher, G., Ways, K., Desai, M., Shaw, W., Capuano, G., Alba, M., Jiang, J.,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Vercruysse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F.,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Meininger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G. and Matthews, D. (2015) Efficacy and safety of canagliflozin, an inhibitor of sodium-glucose cotransporter 2, when used in conjunction with insulin therapy in patients with type 2 diabetes.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 Care,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38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(3), pp. 403-11.</w:t>
            </w:r>
          </w:p>
        </w:tc>
      </w:tr>
      <w:tr w:rsidR="009302A4" w:rsidRPr="00EA091F" w14:paraId="0D54969E" w14:textId="77777777" w:rsidTr="00811E84">
        <w:trPr>
          <w:trHeight w:val="102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54F7" w14:textId="7D29E4DD" w:rsidR="009302A4" w:rsidRPr="00EA091F" w:rsidRDefault="009302A4" w:rsidP="00274510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64" w:name="RANGE!A73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lastRenderedPageBreak/>
              <w:t>C6</w:t>
            </w:r>
            <w:bookmarkEnd w:id="64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57E8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2065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Reusch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J., Stewart, M. W., Perkins, C.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Cirkel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D. T., Ye, J., Perry, C. R., Reinhardt, R. R. and Bode, B. W. (2014) Efficacy and safety of once-weekly glucagon-like peptide 1 receptor agonist albiglutide (HARMONY 1 trial): 52-week primary endpoint results from a randomized, double-blind, placebo-controlled trial in patients with type 2 diabetes mellitus not controlled on pioglitazone, with or without metformin.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Diabetes, Obesity and Metabolism,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16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(12), pp. 1257-64.</w:t>
            </w:r>
          </w:p>
        </w:tc>
      </w:tr>
      <w:tr w:rsidR="009302A4" w:rsidRPr="00EA091F" w14:paraId="0F5C561B" w14:textId="77777777" w:rsidTr="00811E84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D4C3" w14:textId="78056B2F" w:rsidR="009302A4" w:rsidRPr="00EA091F" w:rsidRDefault="009302A4" w:rsidP="00274510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bookmarkStart w:id="65" w:name="RANGE!A74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C7</w:t>
            </w:r>
            <w:bookmarkEnd w:id="65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FA8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382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Roden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Merker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L., Christiansen, A. V., Roux, F.,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Salsali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A., Kim, G., Stella, P.,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Woerle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H. J. and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Broedl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U. C. (2015) Safety, tolerability and effects on cardiometabolic risk factors of empagliflozin monotherapy in drug-naïve patients with type 2 diabetes: a double-blind extension of a phase III randomized controlled trial.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Cardiovascular Diabetology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</w:t>
            </w:r>
            <w:r w:rsidRPr="00EA091F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14</w:t>
            </w: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p. 154.</w:t>
            </w:r>
          </w:p>
        </w:tc>
      </w:tr>
      <w:tr w:rsidR="009302A4" w:rsidRPr="00EA091F" w14:paraId="2DB3009C" w14:textId="77777777" w:rsidTr="00811E84">
        <w:trPr>
          <w:trHeight w:val="81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0D04" w14:textId="77777777" w:rsidR="009302A4" w:rsidRPr="00EA091F" w:rsidRDefault="009302A4" w:rsidP="00274510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5008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D3A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Feher, M., Vega-Hernandez, G.,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Mocevic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E.,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Buysse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Myland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, M., Power, G.S., Husemoen, L.L.N., Kim, J. and Witte, D.R., 2017. Effectiveness of liraglutide and lixisenatide in the treatment of type 2 diabetes: real-world evidence from The Health Improvement Network (THIN) database in the United Kingdom. Diabetes therapy, 8(2), pp.417-431.</w:t>
            </w:r>
          </w:p>
        </w:tc>
      </w:tr>
      <w:tr w:rsidR="009302A4" w:rsidRPr="00EA091F" w14:paraId="1D555540" w14:textId="77777777" w:rsidTr="00811E84">
        <w:trPr>
          <w:trHeight w:val="612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21C9" w14:textId="77777777" w:rsidR="009302A4" w:rsidRPr="00EA091F" w:rsidRDefault="009302A4" w:rsidP="00274510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D1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FF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B4D0" w14:textId="77777777" w:rsidR="009302A4" w:rsidRPr="00EA091F" w:rsidRDefault="009302A4" w:rsidP="00BC5954">
            <w:pPr>
              <w:spacing w:after="0" w:line="48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McAdam-Marx, C., Nguyen, H.,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Schauerhamer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M.B.,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Singhal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, M., Unni, S., Ye, X. and Cobden, D., 2016. </w:t>
            </w:r>
            <w:proofErr w:type="spellStart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>Glycemic</w:t>
            </w:r>
            <w:proofErr w:type="spellEnd"/>
            <w:r w:rsidRPr="00EA091F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 control and weight outcomes for exenatide once weekly versus liraglutide in patients with type 2 diabetes: a 1-year retrospective cohort analysis. Clinical therapeutics, 38(12), pp.2642-2651.</w:t>
            </w:r>
          </w:p>
        </w:tc>
      </w:tr>
      <w:tr w:rsidR="00274510" w:rsidRPr="00EA091F" w14:paraId="73B1FD51" w14:textId="77777777" w:rsidTr="00274510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FE8F98" w14:textId="77777777" w:rsidR="00274510" w:rsidRPr="00811E84" w:rsidRDefault="00274510" w:rsidP="00BC5954">
            <w:pPr>
              <w:spacing w:after="0" w:line="480" w:lineRule="auto"/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</w:pPr>
            <w:r w:rsidRPr="00811E84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Abbreviations: OBS, Observational; RCT, Randomised Controlled Trial.</w:t>
            </w:r>
          </w:p>
          <w:p w14:paraId="6229ABD5" w14:textId="523E6BD0" w:rsidR="00274510" w:rsidRPr="00811E84" w:rsidRDefault="00274510" w:rsidP="00BC5954">
            <w:pPr>
              <w:spacing w:after="0" w:line="480" w:lineRule="auto"/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</w:pPr>
            <w:r w:rsidRPr="00811E84">
              <w:rPr>
                <w:rFonts w:eastAsia="Times New Roman" w:cstheme="minorHAnsi"/>
                <w:i/>
                <w:iCs/>
                <w:sz w:val="14"/>
                <w:szCs w:val="14"/>
                <w:lang w:eastAsia="en-GB"/>
              </w:rPr>
              <w:t>Note: Reference index is assigned to each included study to reference throughout the manuscript.</w:t>
            </w:r>
          </w:p>
        </w:tc>
      </w:tr>
    </w:tbl>
    <w:p w14:paraId="6DB428E0" w14:textId="77777777" w:rsidR="009302A4" w:rsidRPr="00EA091F" w:rsidRDefault="009302A4" w:rsidP="009302A4">
      <w:pPr>
        <w:spacing w:line="480" w:lineRule="auto"/>
      </w:pPr>
    </w:p>
    <w:p w14:paraId="33911528" w14:textId="372B54E3" w:rsidR="009302A4" w:rsidRDefault="009302A4">
      <w:r>
        <w:br w:type="page"/>
      </w:r>
    </w:p>
    <w:p w14:paraId="01D57E88" w14:textId="77777777" w:rsidR="009302A4" w:rsidRPr="00EA091F" w:rsidRDefault="009302A4" w:rsidP="009302A4">
      <w:pPr>
        <w:pStyle w:val="Heading2"/>
        <w:spacing w:line="480" w:lineRule="auto"/>
        <w:rPr>
          <w:color w:val="auto"/>
        </w:rPr>
      </w:pPr>
      <w:bookmarkStart w:id="66" w:name="_Ref96609990"/>
      <w:r w:rsidRPr="00EA091F">
        <w:rPr>
          <w:color w:val="auto"/>
        </w:rPr>
        <w:lastRenderedPageBreak/>
        <w:t>Appendix 3</w:t>
      </w:r>
      <w:bookmarkEnd w:id="66"/>
    </w:p>
    <w:p w14:paraId="276D39A3" w14:textId="6DC7504E" w:rsidR="00296EE9" w:rsidRDefault="009302A4" w:rsidP="00811E84">
      <w:pPr>
        <w:spacing w:line="480" w:lineRule="auto"/>
      </w:pPr>
      <w:r w:rsidRPr="00EA091F">
        <w:t xml:space="preserve">Table of data extracted </w:t>
      </w:r>
      <w:r w:rsidR="00811E84">
        <w:t>from</w:t>
      </w:r>
      <w:r w:rsidRPr="00EA091F">
        <w:t xml:space="preserve"> studies </w:t>
      </w:r>
      <w:r w:rsidR="00811E84">
        <w:t xml:space="preserve">included </w:t>
      </w:r>
      <w:r w:rsidRPr="00EA091F">
        <w:t>in the network meta-analysis</w:t>
      </w:r>
      <w:r w:rsidR="00811E84">
        <w:t>. The columns represent the following infor</w:t>
      </w:r>
      <w:r w:rsidR="00652B9D">
        <w:t>m</w:t>
      </w:r>
      <w:r w:rsidR="00811E84">
        <w:t>ation</w:t>
      </w:r>
      <w:r w:rsidR="00274510">
        <w:t xml:space="preserve">: </w:t>
      </w:r>
    </w:p>
    <w:p w14:paraId="028DA84C" w14:textId="1A8E8877" w:rsidR="00274510" w:rsidRDefault="00274510" w:rsidP="00296EE9">
      <w:pPr>
        <w:pStyle w:val="ListParagraph"/>
        <w:numPr>
          <w:ilvl w:val="0"/>
          <w:numId w:val="13"/>
        </w:numPr>
        <w:spacing w:line="480" w:lineRule="auto"/>
      </w:pPr>
      <w:r>
        <w:t xml:space="preserve">Reference index refers to the study specific reference defined </w:t>
      </w:r>
      <w:r w:rsidR="00652B9D">
        <w:t xml:space="preserve">in </w:t>
      </w:r>
      <w:r>
        <w:t>Appendix 2</w:t>
      </w:r>
    </w:p>
    <w:p w14:paraId="385EF9B8" w14:textId="505DB58E" w:rsidR="00921029" w:rsidRDefault="00921029" w:rsidP="00296EE9">
      <w:pPr>
        <w:pStyle w:val="ListParagraph"/>
        <w:numPr>
          <w:ilvl w:val="0"/>
          <w:numId w:val="13"/>
        </w:numPr>
        <w:spacing w:line="480" w:lineRule="auto"/>
      </w:pPr>
      <w:r>
        <w:t>First author refers to first author surname of the published study</w:t>
      </w:r>
    </w:p>
    <w:p w14:paraId="360ADC95" w14:textId="19A28DF0" w:rsidR="00921029" w:rsidRDefault="00921029" w:rsidP="00296EE9">
      <w:pPr>
        <w:pStyle w:val="ListParagraph"/>
        <w:numPr>
          <w:ilvl w:val="0"/>
          <w:numId w:val="13"/>
        </w:numPr>
        <w:spacing w:line="480" w:lineRule="auto"/>
      </w:pPr>
      <w:r>
        <w:t xml:space="preserve">Study </w:t>
      </w:r>
      <w:r w:rsidR="00362D39">
        <w:t>type reported</w:t>
      </w:r>
      <w:r>
        <w:t xml:space="preserve"> as either randomised controlled trial (RCT) or observational study (OBS)</w:t>
      </w:r>
    </w:p>
    <w:p w14:paraId="0C2BF3B4" w14:textId="74900D94" w:rsidR="00795A19" w:rsidRDefault="00795A19" w:rsidP="00296EE9">
      <w:pPr>
        <w:pStyle w:val="ListParagraph"/>
        <w:numPr>
          <w:ilvl w:val="0"/>
          <w:numId w:val="13"/>
        </w:numPr>
        <w:spacing w:line="480" w:lineRule="auto"/>
      </w:pPr>
      <w:r>
        <w:t xml:space="preserve"> Treatment details medication used in each arm</w:t>
      </w:r>
    </w:p>
    <w:p w14:paraId="3D7CBFF5" w14:textId="3C124CDF" w:rsidR="00296EE9" w:rsidRDefault="00296EE9" w:rsidP="00296EE9">
      <w:pPr>
        <w:pStyle w:val="ListParagraph"/>
        <w:numPr>
          <w:ilvl w:val="0"/>
          <w:numId w:val="13"/>
        </w:numPr>
        <w:spacing w:line="480" w:lineRule="auto"/>
      </w:pPr>
      <w:r>
        <w:t xml:space="preserve">N = Number of individuals randomised to </w:t>
      </w:r>
      <w:r w:rsidR="00652B9D">
        <w:t xml:space="preserve">each </w:t>
      </w:r>
      <w:r>
        <w:t>treatment arm</w:t>
      </w:r>
    </w:p>
    <w:p w14:paraId="105A2A27" w14:textId="7FA383B3" w:rsidR="00296EE9" w:rsidRPr="00EA091F" w:rsidRDefault="00A23402" w:rsidP="00C72195">
      <w:pPr>
        <w:pStyle w:val="ListParagraph"/>
        <w:numPr>
          <w:ilvl w:val="0"/>
          <w:numId w:val="13"/>
        </w:numPr>
        <w:spacing w:line="480" w:lineRule="auto"/>
      </w:pPr>
      <w:r>
        <w:t>Glycated haemoglobin (</w:t>
      </w:r>
      <w:r w:rsidR="00296EE9">
        <w:t>HbA1c</w:t>
      </w:r>
      <w:r>
        <w:t>)</w:t>
      </w:r>
      <w:r w:rsidR="00296EE9">
        <w:t xml:space="preserve">, measured as %, reported as either mean change from baseline (standard error) within the treatment arms or </w:t>
      </w:r>
      <w:r w:rsidR="00652B9D">
        <w:t xml:space="preserve">the difference in the </w:t>
      </w:r>
      <w:r w:rsidR="00296EE9">
        <w:t>mean change from baseline (standard error) between treatment arms</w:t>
      </w:r>
      <w:r w:rsidR="00652B9D">
        <w:t>,</w:t>
      </w:r>
      <w:r w:rsidR="00296EE9">
        <w:t xml:space="preserve"> which is </w:t>
      </w:r>
      <w:r w:rsidR="00241121">
        <w:t xml:space="preserve">then </w:t>
      </w:r>
      <w:r w:rsidR="00296EE9">
        <w:t>used in the NMA models</w:t>
      </w:r>
    </w:p>
    <w:tbl>
      <w:tblPr>
        <w:tblW w:w="7150" w:type="dxa"/>
        <w:jc w:val="center"/>
        <w:tblLook w:val="04A0" w:firstRow="1" w:lastRow="0" w:firstColumn="1" w:lastColumn="0" w:noHBand="0" w:noVBand="1"/>
      </w:tblPr>
      <w:tblGrid>
        <w:gridCol w:w="1191"/>
        <w:gridCol w:w="1191"/>
        <w:gridCol w:w="1192"/>
        <w:gridCol w:w="1192"/>
        <w:gridCol w:w="1192"/>
        <w:gridCol w:w="1192"/>
      </w:tblGrid>
      <w:tr w:rsidR="009302A4" w:rsidRPr="00EA091F" w14:paraId="44B4D1D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319C1" w14:textId="64DED524" w:rsidR="009302A4" w:rsidRPr="00EA091F" w:rsidRDefault="009302A4" w:rsidP="0065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Reference</w:t>
            </w:r>
            <w:r w:rsidR="00DF08C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index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FFE9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First Author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7D6D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Study type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95E5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Treatment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58CB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44981" w14:textId="21C202BF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HbA1c </w:t>
            </w:r>
            <w:r w:rsidR="00296EE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[</w:t>
            </w:r>
            <w:r w:rsidRPr="00EA09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  <w:r w:rsidR="00296EE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] (standard error)</w:t>
            </w:r>
          </w:p>
        </w:tc>
      </w:tr>
      <w:tr w:rsidR="009302A4" w:rsidRPr="00EA091F" w14:paraId="723FD13F" w14:textId="77777777" w:rsidTr="00BC5954">
        <w:trPr>
          <w:trHeight w:val="110"/>
          <w:jc w:val="center"/>
        </w:trPr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7E25E1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24 weeks</w:t>
            </w:r>
          </w:p>
        </w:tc>
      </w:tr>
      <w:tr w:rsidR="009302A4" w:rsidRPr="00EA091F" w14:paraId="78BC907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4FA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A32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Ahmann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52C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66B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A2A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321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-0.11 (0.07)</w:t>
            </w:r>
          </w:p>
        </w:tc>
      </w:tr>
      <w:tr w:rsidR="009302A4" w:rsidRPr="00EA091F" w14:paraId="3E647FCB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207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3D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71B2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7FC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8F8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D0E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-1.30 (0.07)</w:t>
            </w:r>
          </w:p>
        </w:tc>
      </w:tr>
      <w:tr w:rsidR="009302A4" w:rsidRPr="00EA091F" w14:paraId="01A1CD2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5FF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830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Ahren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D73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6F3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4BB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E1A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-0.40 (0.08)</w:t>
            </w:r>
          </w:p>
        </w:tc>
      </w:tr>
      <w:tr w:rsidR="009302A4" w:rsidRPr="00EA091F" w14:paraId="38FFD54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5D8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E00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A6B5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62D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B4E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6B4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-0.85 (0.10)</w:t>
            </w:r>
          </w:p>
        </w:tc>
      </w:tr>
      <w:tr w:rsidR="009302A4" w:rsidRPr="00EA091F" w14:paraId="2EA6EB4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744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D60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Bailey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013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953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361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008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-0.30 (0.07)</w:t>
            </w:r>
          </w:p>
        </w:tc>
      </w:tr>
      <w:tr w:rsidR="009302A4" w:rsidRPr="00EA091F" w14:paraId="251ABDA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9B8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3B0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537A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5F6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352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C9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-0.77 (0.10)</w:t>
            </w:r>
          </w:p>
        </w:tc>
      </w:tr>
      <w:tr w:rsidR="009302A4" w:rsidRPr="00EA091F" w14:paraId="324D7A7A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964C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6B2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Bailey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6B2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72E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F92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9EE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0.02 (0.12)</w:t>
            </w:r>
          </w:p>
        </w:tc>
      </w:tr>
      <w:tr w:rsidR="009302A4" w:rsidRPr="00EA091F" w14:paraId="512D187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788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D31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03B9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B42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6EB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834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-0.98 (0.17)</w:t>
            </w:r>
          </w:p>
        </w:tc>
      </w:tr>
      <w:tr w:rsidR="009302A4" w:rsidRPr="00EA091F" w14:paraId="23232FA5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FF5E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727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Blevins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2D1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3CC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5B3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F40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-0.90 (0.10)</w:t>
            </w:r>
          </w:p>
        </w:tc>
      </w:tr>
      <w:tr w:rsidR="009302A4" w:rsidRPr="00EA091F" w14:paraId="036AA38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9FE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A43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19F7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EAD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8A0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30D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-1.60 (0.10)</w:t>
            </w:r>
          </w:p>
        </w:tc>
      </w:tr>
      <w:tr w:rsidR="009302A4" w:rsidRPr="00EA091F" w14:paraId="163521D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B8A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8CE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Bode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302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A89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102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9E1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-0.03 (0.06)</w:t>
            </w:r>
          </w:p>
        </w:tc>
      </w:tr>
      <w:tr w:rsidR="009302A4" w:rsidRPr="00EA091F" w14:paraId="565692B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ED30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CD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0FD9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BF7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CANA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049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A57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-0.66 (0.09)</w:t>
            </w:r>
          </w:p>
        </w:tc>
      </w:tr>
      <w:tr w:rsidR="009302A4" w:rsidRPr="00EA091F" w14:paraId="3539B24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417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DEF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Bolli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DC8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505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607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1E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-0.42 (0.10)</w:t>
            </w:r>
          </w:p>
        </w:tc>
      </w:tr>
      <w:tr w:rsidR="009302A4" w:rsidRPr="00EA091F" w14:paraId="243EFA16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9E3D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FEA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526B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9A9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F31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C3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-0.88 (0.14)</w:t>
            </w:r>
          </w:p>
        </w:tc>
      </w:tr>
      <w:tr w:rsidR="009302A4" w:rsidRPr="00EA091F" w14:paraId="3ACAC00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F1F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422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Buse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20A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0AF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B7D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6E7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0.12 (0.09)</w:t>
            </w:r>
          </w:p>
        </w:tc>
      </w:tr>
      <w:tr w:rsidR="009302A4" w:rsidRPr="00EA091F" w14:paraId="78A1E38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8CE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552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29A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01B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DD6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0E3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-0.66 (0.16)</w:t>
            </w:r>
          </w:p>
        </w:tc>
      </w:tr>
      <w:tr w:rsidR="009302A4" w:rsidRPr="00EA091F" w14:paraId="4F63A80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495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A1B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Buse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CC5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9CC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FA9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C9A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-1.04 (0.09)</w:t>
            </w:r>
          </w:p>
        </w:tc>
      </w:tr>
      <w:tr w:rsidR="009302A4" w:rsidRPr="00EA091F" w14:paraId="28D683E6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F82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A67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79C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2DE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B8A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979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-1.74 (0.09)</w:t>
            </w:r>
          </w:p>
        </w:tc>
      </w:tr>
      <w:tr w:rsidR="009302A4" w:rsidRPr="00EA091F" w14:paraId="0698CA52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C97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11C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Buse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C05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49D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38C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390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562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-1.28 (0.05)</w:t>
            </w:r>
          </w:p>
        </w:tc>
      </w:tr>
      <w:tr w:rsidR="009302A4" w:rsidRPr="00EA091F" w14:paraId="6DBFB73F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66F7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697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5A5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E3B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28E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386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8AC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-1.48 (0.05)</w:t>
            </w:r>
          </w:p>
        </w:tc>
      </w:tr>
      <w:tr w:rsidR="009302A4" w:rsidRPr="00EA091F" w14:paraId="121927A6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E15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F28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Buse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BFA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E2E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6A9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5AF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-0.79 (0.08)</w:t>
            </w:r>
          </w:p>
        </w:tc>
      </w:tr>
      <w:tr w:rsidR="009302A4" w:rsidRPr="00EA091F" w14:paraId="27FBD822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B91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5A2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9036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662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77E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E10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-1.12 (0.08)</w:t>
            </w:r>
          </w:p>
        </w:tc>
      </w:tr>
      <w:tr w:rsidR="009302A4" w:rsidRPr="00EA091F" w14:paraId="171B5C5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5D3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61D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Dagogo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8B4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637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2CD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098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-0.09 (0.05)</w:t>
            </w:r>
          </w:p>
        </w:tc>
      </w:tr>
      <w:tr w:rsidR="009302A4" w:rsidRPr="00EA091F" w14:paraId="4A0706E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126B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9A3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185A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35D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ERTU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8B8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440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-0.82 (0.10)</w:t>
            </w:r>
          </w:p>
        </w:tc>
      </w:tr>
      <w:tr w:rsidR="009302A4" w:rsidRPr="00EA091F" w14:paraId="580F97FD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FB80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0F8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DeFronzo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751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F50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4A5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7B5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0.10 (0.10)</w:t>
            </w:r>
          </w:p>
        </w:tc>
      </w:tr>
      <w:tr w:rsidR="009302A4" w:rsidRPr="00EA091F" w14:paraId="0EF05B12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A78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4E4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56D5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FD1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979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80C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-0.60 (0.14)</w:t>
            </w:r>
          </w:p>
        </w:tc>
      </w:tr>
      <w:tr w:rsidR="009302A4" w:rsidRPr="00EA091F" w14:paraId="4BE6C29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7B4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614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Drucker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1FD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F5B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1DF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2DD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-1.87 (0.08)</w:t>
            </w:r>
          </w:p>
        </w:tc>
      </w:tr>
      <w:tr w:rsidR="009302A4" w:rsidRPr="00EA091F" w14:paraId="7E1CC8A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C04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22F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EFA3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29D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E17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9EC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-1.54 (0.08)</w:t>
            </w:r>
          </w:p>
        </w:tc>
      </w:tr>
      <w:tr w:rsidR="009302A4" w:rsidRPr="00EA091F" w14:paraId="30CC26B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B8F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816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Dungan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13F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FD1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FEF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949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-1.42 (0.05)</w:t>
            </w:r>
          </w:p>
        </w:tc>
      </w:tr>
      <w:tr w:rsidR="009302A4" w:rsidRPr="00EA091F" w14:paraId="57BE72AB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507A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F3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BF58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3A1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0A6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DD6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-1.36 (0.05)</w:t>
            </w:r>
          </w:p>
        </w:tc>
      </w:tr>
      <w:tr w:rsidR="009302A4" w:rsidRPr="00EA091F" w14:paraId="5E2D1BD2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DC7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B2F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Dungan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C9F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8B2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43A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851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-0.10 (0.14)</w:t>
            </w:r>
          </w:p>
        </w:tc>
      </w:tr>
      <w:tr w:rsidR="009302A4" w:rsidRPr="00EA091F" w14:paraId="7F2FB0F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3E4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E5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D44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884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A3E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AF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-1.40 (0.08)</w:t>
            </w:r>
          </w:p>
        </w:tc>
      </w:tr>
      <w:tr w:rsidR="009302A4" w:rsidRPr="00EA091F" w14:paraId="19B46AC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85F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276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Ferrannini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2EE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377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EC5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79F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-0.23 (0.10)</w:t>
            </w:r>
          </w:p>
        </w:tc>
      </w:tr>
      <w:tr w:rsidR="009302A4" w:rsidRPr="00EA091F" w14:paraId="20086835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160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C37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B445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9C5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ED2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278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B23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-0.81 (0.11)</w:t>
            </w:r>
          </w:p>
        </w:tc>
      </w:tr>
      <w:tr w:rsidR="009302A4" w:rsidRPr="00EA091F" w14:paraId="71111CE2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81A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1B0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Forst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9E7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A9E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9E3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C23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-0.26 (0.07)</w:t>
            </w:r>
          </w:p>
        </w:tc>
      </w:tr>
      <w:tr w:rsidR="009302A4" w:rsidRPr="00EA091F" w14:paraId="7904929D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06E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C9F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5CC6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19C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CANA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DF4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30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-0.96 (0.10)</w:t>
            </w:r>
          </w:p>
        </w:tc>
      </w:tr>
      <w:tr w:rsidR="009302A4" w:rsidRPr="00EA091F" w14:paraId="7B8C6F3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82C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DBF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Frias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899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166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AEB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744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-1.39 (0.09)</w:t>
            </w:r>
          </w:p>
        </w:tc>
      </w:tr>
      <w:tr w:rsidR="009302A4" w:rsidRPr="00EA091F" w14:paraId="198B175B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30C8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AEB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B2C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AC8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FC2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207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-1.60 (0.10)</w:t>
            </w:r>
          </w:p>
        </w:tc>
      </w:tr>
      <w:tr w:rsidR="009302A4" w:rsidRPr="00EA091F" w14:paraId="4A5EA735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BBD8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91C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Gadde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44F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DBB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F99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BDF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-0.40 (0.19)</w:t>
            </w:r>
          </w:p>
        </w:tc>
      </w:tr>
      <w:tr w:rsidR="009302A4" w:rsidRPr="00EA091F" w14:paraId="0BC4A99D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823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37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000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0AE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AA1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401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-1.13 (0.11)</w:t>
            </w:r>
          </w:p>
        </w:tc>
      </w:tr>
      <w:tr w:rsidR="009302A4" w:rsidRPr="00EA091F" w14:paraId="393D740B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BB2E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B4C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Guja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A36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D5A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223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860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-0.23 (0.08)</w:t>
            </w:r>
          </w:p>
        </w:tc>
      </w:tr>
      <w:tr w:rsidR="009302A4" w:rsidRPr="00EA091F" w14:paraId="5DC6371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9A33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1B7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EC6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1D3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4F5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1CC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-0.96 (0.08)</w:t>
            </w:r>
          </w:p>
        </w:tc>
      </w:tr>
      <w:tr w:rsidR="009302A4" w:rsidRPr="00EA091F" w14:paraId="53A81AB9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17F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728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Henry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C08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848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3E6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218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-0.45 (0.10)</w:t>
            </w:r>
          </w:p>
        </w:tc>
      </w:tr>
      <w:tr w:rsidR="009302A4" w:rsidRPr="00EA091F" w14:paraId="4B8FB7E5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0D9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04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86D6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6BF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TAS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299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3C8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-1.38 (0.13)</w:t>
            </w:r>
          </w:p>
        </w:tc>
      </w:tr>
      <w:tr w:rsidR="009302A4" w:rsidRPr="00EA091F" w14:paraId="36F13136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B68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B62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Hollander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D11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A67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084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73B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-0.09 (0.06)</w:t>
            </w:r>
          </w:p>
        </w:tc>
      </w:tr>
      <w:tr w:rsidR="009302A4" w:rsidRPr="00EA091F" w14:paraId="7C27214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B68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ADE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9F54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266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TAS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B21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7F3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-0.81 (0.06)</w:t>
            </w:r>
          </w:p>
        </w:tc>
      </w:tr>
      <w:tr w:rsidR="009302A4" w:rsidRPr="00EA091F" w14:paraId="0F811176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4E3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FD6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Häring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6B2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574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B53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732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-0.17 (0.05)</w:t>
            </w:r>
          </w:p>
        </w:tc>
      </w:tr>
      <w:tr w:rsidR="009302A4" w:rsidRPr="00EA091F" w14:paraId="2B5ED4D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863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446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9A4F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8F9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EMPA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1A8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66F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-0.80 (0.07)</w:t>
            </w:r>
          </w:p>
        </w:tc>
      </w:tr>
      <w:tr w:rsidR="009302A4" w:rsidRPr="00EA091F" w14:paraId="70AC653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18E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F7A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Kovacs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F82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35D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E67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9AD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-0.11 (0.07)</w:t>
            </w:r>
          </w:p>
        </w:tc>
      </w:tr>
      <w:tr w:rsidR="009302A4" w:rsidRPr="00EA091F" w14:paraId="7DBEF47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44B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35F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685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E23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EMPA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909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535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-0.66 (0.10)</w:t>
            </w:r>
          </w:p>
        </w:tc>
      </w:tr>
      <w:tr w:rsidR="009302A4" w:rsidRPr="00EA091F" w14:paraId="31A76A68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4953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B30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Lavalle</w:t>
            </w:r>
            <w:proofErr w:type="spellEnd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-González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C8E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730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DDA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86F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-0.17 (0.06)</w:t>
            </w:r>
          </w:p>
        </w:tc>
      </w:tr>
      <w:tr w:rsidR="009302A4" w:rsidRPr="00EA091F" w14:paraId="0367671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F11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135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C08E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DA2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CANA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0D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735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E51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-0.86 (0.06)</w:t>
            </w:r>
          </w:p>
        </w:tc>
      </w:tr>
      <w:tr w:rsidR="009302A4" w:rsidRPr="00EA091F" w14:paraId="17D97DF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98E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58F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Lind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CCE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C8C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6F9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A4C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-0.42 (0.12)</w:t>
            </w:r>
          </w:p>
        </w:tc>
      </w:tr>
      <w:tr w:rsidR="009302A4" w:rsidRPr="00EA091F" w14:paraId="421133C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9F5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415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838D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67E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EA4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AF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-1.54 (0.11)</w:t>
            </w:r>
          </w:p>
        </w:tc>
      </w:tr>
      <w:tr w:rsidR="009302A4" w:rsidRPr="00EA091F" w14:paraId="2DB4A4F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590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C97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Lingvay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B4D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CD0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C04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76D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-0.05 (0.08)</w:t>
            </w:r>
          </w:p>
        </w:tc>
      </w:tr>
      <w:tr w:rsidR="009302A4" w:rsidRPr="00EA091F" w14:paraId="2A8B422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8A0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8F5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605B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70E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32B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BC5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-1.09 (0.16)</w:t>
            </w:r>
          </w:p>
        </w:tc>
      </w:tr>
      <w:tr w:rsidR="009302A4" w:rsidRPr="00EA091F" w14:paraId="134E1E89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699C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600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Liutkus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8B8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3B0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F02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F0F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-0.10 (0.23)</w:t>
            </w:r>
          </w:p>
        </w:tc>
      </w:tr>
      <w:tr w:rsidR="009302A4" w:rsidRPr="00EA091F" w14:paraId="09841F4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6349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E3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E22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EE2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D95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6E3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-0.84 (0.20)</w:t>
            </w:r>
          </w:p>
        </w:tc>
      </w:tr>
      <w:tr w:rsidR="009302A4" w:rsidRPr="00EA091F" w14:paraId="29276279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9EB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6CE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Ludvik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0B1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6E4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D25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15F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-0.54 (0.06)</w:t>
            </w:r>
          </w:p>
        </w:tc>
      </w:tr>
      <w:tr w:rsidR="009302A4" w:rsidRPr="00EA091F" w14:paraId="21464F39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893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A8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486A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E68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584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8A9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-1.28 (0.09)</w:t>
            </w:r>
          </w:p>
        </w:tc>
      </w:tr>
      <w:tr w:rsidR="009302A4" w:rsidRPr="00EA091F" w14:paraId="26A809F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071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C3F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Matthaei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65D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24B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C6D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123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-0.17 (0.07)</w:t>
            </w:r>
          </w:p>
        </w:tc>
      </w:tr>
      <w:tr w:rsidR="009302A4" w:rsidRPr="00EA091F" w14:paraId="45970E8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22D1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346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69B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A03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91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CA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-0.86 (0.07)</w:t>
            </w:r>
          </w:p>
        </w:tc>
      </w:tr>
      <w:tr w:rsidR="009302A4" w:rsidRPr="00EA091F" w14:paraId="782595E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314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008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Moretto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408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0E9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ED1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0EE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-0.20 (0.10)</w:t>
            </w:r>
          </w:p>
        </w:tc>
      </w:tr>
      <w:tr w:rsidR="009302A4" w:rsidRPr="00EA091F" w14:paraId="3016B48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448F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C60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F162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F33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BB8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2FF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-0.80 (0.14)</w:t>
            </w:r>
          </w:p>
        </w:tc>
      </w:tr>
      <w:tr w:rsidR="009302A4" w:rsidRPr="00EA091F" w14:paraId="762C53B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C78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59E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Nauck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3D3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77E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04D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46B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0.03 (0.07)</w:t>
            </w:r>
          </w:p>
        </w:tc>
      </w:tr>
      <w:tr w:rsidR="009302A4" w:rsidRPr="00EA091F" w14:paraId="69E2F00F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51A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BA7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C9DD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CEF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D5F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1E8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-1.12 (0.08)</w:t>
            </w:r>
          </w:p>
        </w:tc>
      </w:tr>
      <w:tr w:rsidR="009302A4" w:rsidRPr="00EA091F" w14:paraId="6D4F6CF9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6E4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6DA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Nauck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0FF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3E4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624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AC3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-1.24 (0.07)</w:t>
            </w:r>
          </w:p>
        </w:tc>
      </w:tr>
      <w:tr w:rsidR="009302A4" w:rsidRPr="00EA091F" w14:paraId="4335FA88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8DD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FF1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40AF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702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A98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231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-1.81 (0.06)</w:t>
            </w:r>
          </w:p>
        </w:tc>
      </w:tr>
      <w:tr w:rsidR="009302A4" w:rsidRPr="00EA091F" w14:paraId="3569819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1BE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623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Pinget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88E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1D9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5C7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161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B61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-0.34 (0.10)</w:t>
            </w:r>
          </w:p>
        </w:tc>
      </w:tr>
      <w:tr w:rsidR="009302A4" w:rsidRPr="00EA091F" w14:paraId="0F5FA046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634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EB8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E930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C62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BFB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27B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-0.90 (0.09)</w:t>
            </w:r>
          </w:p>
        </w:tc>
      </w:tr>
      <w:tr w:rsidR="009302A4" w:rsidRPr="00EA091F" w14:paraId="73E9C7A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4514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1C4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Pratley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E4C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9DA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ALB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F71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A7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-0.78 (0.05)</w:t>
            </w:r>
          </w:p>
        </w:tc>
      </w:tr>
      <w:tr w:rsidR="009302A4" w:rsidRPr="00EA091F" w14:paraId="2928EAE6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4BF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93E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CA9B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4CF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689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DED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-0.99 (0.05)</w:t>
            </w:r>
          </w:p>
        </w:tc>
      </w:tr>
      <w:tr w:rsidR="009302A4" w:rsidRPr="00EA091F" w14:paraId="67AE45F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38A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E98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Raz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ED3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EC2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B06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07E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-0.09 (0.07)</w:t>
            </w:r>
          </w:p>
        </w:tc>
      </w:tr>
      <w:tr w:rsidR="009302A4" w:rsidRPr="00EA091F" w14:paraId="06497DA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F0A2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91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DF45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3F2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TAS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498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A1A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-1.10 (0.09)</w:t>
            </w:r>
          </w:p>
        </w:tc>
      </w:tr>
      <w:tr w:rsidR="009302A4" w:rsidRPr="00EA091F" w14:paraId="48F4609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5185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00A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Riddle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814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314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11E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FC9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-0.40 (0.10)</w:t>
            </w:r>
          </w:p>
        </w:tc>
      </w:tr>
      <w:tr w:rsidR="009302A4" w:rsidRPr="00EA091F" w14:paraId="34ECD795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EB0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10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B8A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430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542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82F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-0.70 (0.10)</w:t>
            </w:r>
          </w:p>
        </w:tc>
      </w:tr>
      <w:tr w:rsidR="009302A4" w:rsidRPr="00EA091F" w14:paraId="2A4B75B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3C2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99E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Riddle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345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B5B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16D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ABB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-0.40 (0.10)</w:t>
            </w:r>
          </w:p>
        </w:tc>
      </w:tr>
      <w:tr w:rsidR="009302A4" w:rsidRPr="00EA091F" w14:paraId="5A482EF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2A1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B5C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C7A5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E6C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02A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21F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-0.70 (0.10)</w:t>
            </w:r>
          </w:p>
        </w:tc>
      </w:tr>
      <w:tr w:rsidR="009302A4" w:rsidRPr="00EA091F" w14:paraId="002F682F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F4CD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B9E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Rodbard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201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F30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C62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099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-0.10 (0.09)</w:t>
            </w:r>
          </w:p>
        </w:tc>
      </w:tr>
      <w:tr w:rsidR="009302A4" w:rsidRPr="00EA091F" w14:paraId="713425D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787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93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9585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056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SEM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247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61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-1.60 (0.13)</w:t>
            </w:r>
          </w:p>
        </w:tc>
      </w:tr>
      <w:tr w:rsidR="009302A4" w:rsidRPr="00EA091F" w14:paraId="6D7ACC7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F8D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9DF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Rodbard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B27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547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811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8AC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-0.01 (0.12)</w:t>
            </w:r>
          </w:p>
        </w:tc>
      </w:tr>
      <w:tr w:rsidR="009302A4" w:rsidRPr="00EA091F" w14:paraId="7D86DC8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5CC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01A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8D2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825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CANA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476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4DC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-0.91 (0.12)</w:t>
            </w:r>
          </w:p>
        </w:tc>
      </w:tr>
      <w:tr w:rsidR="009302A4" w:rsidRPr="00EA091F" w14:paraId="50C7A0F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D53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015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Roden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365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188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793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225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0.08 (0.05)</w:t>
            </w:r>
          </w:p>
        </w:tc>
      </w:tr>
      <w:tr w:rsidR="009302A4" w:rsidRPr="00EA091F" w14:paraId="038DBEA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81E3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298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157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0C8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EMPA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B24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A8C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-0.72 (0.07)</w:t>
            </w:r>
          </w:p>
        </w:tc>
      </w:tr>
      <w:tr w:rsidR="009302A4" w:rsidRPr="00EA091F" w14:paraId="7712523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6BBF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DE2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Rosenstock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96B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E40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F28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89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-0.42 (0.08)</w:t>
            </w:r>
          </w:p>
        </w:tc>
      </w:tr>
      <w:tr w:rsidR="009302A4" w:rsidRPr="00EA091F" w14:paraId="36E333CB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062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023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FD34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8C1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D37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CA1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-0.89 (0.11)</w:t>
            </w:r>
          </w:p>
        </w:tc>
      </w:tr>
      <w:tr w:rsidR="009302A4" w:rsidRPr="00EA091F" w14:paraId="3377476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BF3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BF2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Rosenstock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4C1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A67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EF7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E8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0.00 (0.08)</w:t>
            </w:r>
          </w:p>
        </w:tc>
      </w:tr>
      <w:tr w:rsidR="009302A4" w:rsidRPr="00EA091F" w14:paraId="4361CE0F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036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6C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D4C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CA4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ERTU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94D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CA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-0.80 (0.07)</w:t>
            </w:r>
          </w:p>
        </w:tc>
      </w:tr>
      <w:tr w:rsidR="009302A4" w:rsidRPr="00EA091F" w14:paraId="72B2CA5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E94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C5E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Rosenstock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F8B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A7E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27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274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55E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-0.10 (0.07)</w:t>
            </w:r>
          </w:p>
        </w:tc>
      </w:tr>
      <w:tr w:rsidR="009302A4" w:rsidRPr="00EA091F" w14:paraId="614FE94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71F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51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5CC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F48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13B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24C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-0.85 (0.06)</w:t>
            </w:r>
          </w:p>
        </w:tc>
      </w:tr>
      <w:tr w:rsidR="009302A4" w:rsidRPr="00EA091F" w14:paraId="0289633A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E91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FBF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Rosenstock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106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61E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536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373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502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-0.98 (0.08)</w:t>
            </w:r>
          </w:p>
        </w:tc>
      </w:tr>
      <w:tr w:rsidR="009302A4" w:rsidRPr="00EA091F" w14:paraId="7629577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05BF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1AC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5C38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9EB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TAS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D28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776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958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-1.28 (0.12)</w:t>
            </w:r>
          </w:p>
        </w:tc>
      </w:tr>
      <w:tr w:rsidR="009302A4" w:rsidRPr="00EA091F" w14:paraId="1253025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709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20E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Rosenstock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575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B15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9B5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3E8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-0.96 (0.05)</w:t>
            </w:r>
          </w:p>
        </w:tc>
      </w:tr>
      <w:tr w:rsidR="009302A4" w:rsidRPr="00EA091F" w14:paraId="671276C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4F2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3D5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7A09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7FC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3E0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5DA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-0.79 (0.05)</w:t>
            </w:r>
          </w:p>
        </w:tc>
      </w:tr>
      <w:tr w:rsidR="009302A4" w:rsidRPr="00EA091F" w14:paraId="0E2CC7E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2835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319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Russell-Jones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7D0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C72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5F6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3D9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-0.24 (0.11)</w:t>
            </w:r>
          </w:p>
        </w:tc>
      </w:tr>
      <w:tr w:rsidR="009302A4" w:rsidRPr="00EA091F" w14:paraId="203D9EA6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16D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46D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D002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E83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74C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EF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-1.33 (0.09)</w:t>
            </w:r>
          </w:p>
        </w:tc>
      </w:tr>
      <w:tr w:rsidR="009302A4" w:rsidRPr="00EA091F" w14:paraId="39C15F2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183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4AD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Softeland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428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8ED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42F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EEF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0.14 (0.09)</w:t>
            </w:r>
          </w:p>
        </w:tc>
      </w:tr>
      <w:tr w:rsidR="009302A4" w:rsidRPr="00EA091F" w14:paraId="1D53BB19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AC0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BC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8550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21F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EMPA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84C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BEE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-0.61 (0.11)</w:t>
            </w:r>
          </w:p>
        </w:tc>
      </w:tr>
      <w:tr w:rsidR="009302A4" w:rsidRPr="00EA091F" w14:paraId="0698761A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5D2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E44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Sorli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519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5F6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DAA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DEE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-0.02 (0.10)</w:t>
            </w:r>
          </w:p>
        </w:tc>
      </w:tr>
      <w:tr w:rsidR="009302A4" w:rsidRPr="00EA091F" w14:paraId="79CAE0A8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74A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D14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F74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882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SEM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1C4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864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-1.50 (0.14)</w:t>
            </w:r>
          </w:p>
        </w:tc>
      </w:tr>
      <w:tr w:rsidR="009302A4" w:rsidRPr="00EA091F" w14:paraId="795A131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7F1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C11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Stenlöf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4F7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5B1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CA3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192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5F2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0.14 (0.07)</w:t>
            </w:r>
          </w:p>
        </w:tc>
      </w:tr>
      <w:tr w:rsidR="009302A4" w:rsidRPr="00EA091F" w14:paraId="4AE7E17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B601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A98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2D6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C8D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CANA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C6F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392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4DF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-0.90 (0.09)</w:t>
            </w:r>
          </w:p>
        </w:tc>
      </w:tr>
      <w:tr w:rsidR="009302A4" w:rsidRPr="00EA091F" w14:paraId="66A927CD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080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4CD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Terra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7CF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294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A9C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19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0.20 (0.09)</w:t>
            </w:r>
          </w:p>
        </w:tc>
      </w:tr>
      <w:tr w:rsidR="009302A4" w:rsidRPr="00EA091F" w14:paraId="224F7175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8D48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8FA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ACB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A40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ERTU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F5B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184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-0.87 (0.12)</w:t>
            </w:r>
          </w:p>
        </w:tc>
      </w:tr>
      <w:tr w:rsidR="009302A4" w:rsidRPr="00EA091F" w14:paraId="6F029872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586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BC3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Vanderheiden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5E6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4A4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2EA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B02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0.00 (0.20)</w:t>
            </w:r>
          </w:p>
        </w:tc>
      </w:tr>
      <w:tr w:rsidR="009302A4" w:rsidRPr="00EA091F" w14:paraId="6DDC009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2F0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ACE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4069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C6D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505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0DD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-0.90 (0.23)</w:t>
            </w:r>
          </w:p>
        </w:tc>
      </w:tr>
      <w:tr w:rsidR="009302A4" w:rsidRPr="00EA091F" w14:paraId="04D9CB2D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750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140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Wilding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C24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16E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A3B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75E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-0.13 (0.08)</w:t>
            </w:r>
          </w:p>
        </w:tc>
      </w:tr>
      <w:tr w:rsidR="009302A4" w:rsidRPr="00EA091F" w14:paraId="1C34A3D5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24B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354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74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46E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CANA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C62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C58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-0.95 (0.11)</w:t>
            </w:r>
          </w:p>
        </w:tc>
      </w:tr>
      <w:tr w:rsidR="009302A4" w:rsidRPr="00EA091F" w14:paraId="0CAAEB86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DDE2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15E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Wilding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0EB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476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657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78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-0.39 (0.10)</w:t>
            </w:r>
          </w:p>
        </w:tc>
      </w:tr>
      <w:tr w:rsidR="009302A4" w:rsidRPr="00EA091F" w14:paraId="2474F2F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32B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A74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867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7E9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ED2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D4A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-0.92 (0.14)</w:t>
            </w:r>
          </w:p>
        </w:tc>
      </w:tr>
      <w:tr w:rsidR="009302A4" w:rsidRPr="00EA091F" w14:paraId="6B5D938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C1D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6CF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Wit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709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CB5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AB1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525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0.01 (0.12)</w:t>
            </w:r>
          </w:p>
        </w:tc>
      </w:tr>
      <w:tr w:rsidR="009302A4" w:rsidRPr="00EA091F" w14:paraId="075F1042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52E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429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5E5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394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755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493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-0.77 (0.11)</w:t>
            </w:r>
          </w:p>
        </w:tc>
      </w:tr>
      <w:tr w:rsidR="009302A4" w:rsidRPr="00EA091F" w14:paraId="724DA4E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689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BCE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Wysham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9F5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93E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0EF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D6F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-0.46 (0.08)</w:t>
            </w:r>
          </w:p>
        </w:tc>
      </w:tr>
      <w:tr w:rsidR="009302A4" w:rsidRPr="00EA091F" w14:paraId="1174220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97C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2B6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9352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766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F71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276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93C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-0.99 (0.06)</w:t>
            </w:r>
          </w:p>
        </w:tc>
      </w:tr>
      <w:tr w:rsidR="009302A4" w:rsidRPr="00EA091F" w14:paraId="40A31A3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1D8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F75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B845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DA5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6E4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559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F4E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-1.40 (0.09)</w:t>
            </w:r>
          </w:p>
        </w:tc>
      </w:tr>
      <w:tr w:rsidR="009302A4" w:rsidRPr="00EA091F" w14:paraId="57D40155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7C0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lastRenderedPageBreak/>
              <w:t>B1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26C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Blonde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B0D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576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CANA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853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ADA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Reference</w:t>
            </w:r>
          </w:p>
        </w:tc>
      </w:tr>
      <w:tr w:rsidR="009302A4" w:rsidRPr="00EA091F" w14:paraId="1C0D55A8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FFC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6B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58D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0EC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0C1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846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-0.26 (0.09)</w:t>
            </w:r>
          </w:p>
        </w:tc>
      </w:tr>
      <w:tr w:rsidR="009302A4" w:rsidRPr="00EA091F" w14:paraId="70BDA88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CE6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D3A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Buysman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9B2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760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ALB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4B4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64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-1.00 (0.11)</w:t>
            </w:r>
          </w:p>
        </w:tc>
      </w:tr>
      <w:tr w:rsidR="009302A4" w:rsidRPr="00EA091F" w14:paraId="6ED8A84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59D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8C6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62ED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DC3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F3B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5CC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-1.00 (0.10)</w:t>
            </w:r>
          </w:p>
        </w:tc>
      </w:tr>
      <w:tr w:rsidR="009302A4" w:rsidRPr="00EA091F" w14:paraId="792C6AE8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031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0AE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Fadini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656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107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615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45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-0.70 (0.07)</w:t>
            </w:r>
          </w:p>
        </w:tc>
      </w:tr>
      <w:tr w:rsidR="009302A4" w:rsidRPr="00EA091F" w14:paraId="46623AE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31C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787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2649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6DF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DC4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120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-0.70 (0.05)</w:t>
            </w:r>
          </w:p>
        </w:tc>
      </w:tr>
      <w:tr w:rsidR="009302A4" w:rsidRPr="00EA091F" w14:paraId="3FE2E70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876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D36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Saunders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181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FAC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942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3E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-0.64 (0.05)</w:t>
            </w:r>
          </w:p>
        </w:tc>
      </w:tr>
      <w:tr w:rsidR="009302A4" w:rsidRPr="00EA091F" w14:paraId="0DFF7E5B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D90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11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DAA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D73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7D7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3283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CE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-0.65 (0.02)</w:t>
            </w:r>
          </w:p>
        </w:tc>
      </w:tr>
      <w:tr w:rsidR="009302A4" w:rsidRPr="00EA091F" w14:paraId="3AFE872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1F0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612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Unni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BFD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291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ALB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3C7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6F8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-0.60 (0.13)</w:t>
            </w:r>
          </w:p>
        </w:tc>
      </w:tr>
      <w:tr w:rsidR="009302A4" w:rsidRPr="00EA091F" w14:paraId="6D085A2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C4D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8AB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EFDD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D98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437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140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-0.60 (0.11)</w:t>
            </w:r>
          </w:p>
        </w:tc>
      </w:tr>
      <w:tr w:rsidR="009302A4" w:rsidRPr="00EA091F" w14:paraId="7EA4B649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8AA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AFB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DBF8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B20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96D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2133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063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-0.50 (0.03)</w:t>
            </w:r>
          </w:p>
        </w:tc>
      </w:tr>
      <w:tr w:rsidR="009302A4" w:rsidRPr="00EA091F" w14:paraId="5D44DE1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F8D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46B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Jassim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C8E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FBE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6B3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F8F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0.10 (0.17)</w:t>
            </w:r>
          </w:p>
        </w:tc>
      </w:tr>
      <w:tr w:rsidR="009302A4" w:rsidRPr="00EA091F" w14:paraId="2D35F37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FC3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AEB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07FC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366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B77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B32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-0.21 (0.18)</w:t>
            </w:r>
          </w:p>
        </w:tc>
      </w:tr>
      <w:tr w:rsidR="009302A4" w:rsidRPr="00EA091F" w14:paraId="2A32D898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96E8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EC2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Mody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C6C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5B2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8EE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31E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-1.10 (0.08)</w:t>
            </w:r>
          </w:p>
        </w:tc>
      </w:tr>
      <w:tr w:rsidR="009302A4" w:rsidRPr="00EA091F" w14:paraId="5359175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F8F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DD7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399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19D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8EC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F05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-0.86 (0.08)</w:t>
            </w:r>
          </w:p>
        </w:tc>
      </w:tr>
      <w:tr w:rsidR="009302A4" w:rsidRPr="00EA091F" w14:paraId="676E13C2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475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7DB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Mody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F76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CBF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44A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66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-1.15 (0.10)</w:t>
            </w:r>
          </w:p>
        </w:tc>
      </w:tr>
      <w:tr w:rsidR="009302A4" w:rsidRPr="00EA091F" w14:paraId="46F38E4F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DC9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C0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EEB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7D5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BC9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7B6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-0.92 (0.10)</w:t>
            </w:r>
          </w:p>
        </w:tc>
      </w:tr>
      <w:tr w:rsidR="009302A4" w:rsidRPr="00EA091F" w14:paraId="0B126795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7449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312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Hussein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101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470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CANA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8BC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CF4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-0.93 (0.16)</w:t>
            </w:r>
          </w:p>
        </w:tc>
      </w:tr>
      <w:tr w:rsidR="009302A4" w:rsidRPr="00EA091F" w14:paraId="694710AB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669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8AA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C91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703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A13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117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-1.05 (0.08)</w:t>
            </w:r>
          </w:p>
        </w:tc>
      </w:tr>
      <w:tr w:rsidR="009302A4" w:rsidRPr="00EA091F" w14:paraId="1AA5F8E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556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04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864C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CC6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EMPA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61F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26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-1.21 (0.12)</w:t>
            </w:r>
          </w:p>
        </w:tc>
      </w:tr>
      <w:tr w:rsidR="009302A4" w:rsidRPr="00EA091F" w14:paraId="16B45EB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81D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2F3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B688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54A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4AE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B33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-0.83 (0.16)</w:t>
            </w:r>
          </w:p>
        </w:tc>
      </w:tr>
      <w:tr w:rsidR="009302A4" w:rsidRPr="00EA091F" w14:paraId="7274B209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321A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9E7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22A9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93E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A49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182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EE8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-0.50 (0.16)</w:t>
            </w:r>
          </w:p>
        </w:tc>
      </w:tr>
      <w:tr w:rsidR="009302A4" w:rsidRPr="00EA091F" w14:paraId="0FC286AF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080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62B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D736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085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9D4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F5D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-1.33 (0.22)</w:t>
            </w:r>
          </w:p>
        </w:tc>
      </w:tr>
      <w:tr w:rsidR="009302A4" w:rsidRPr="00EA091F" w14:paraId="2B3DA95D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91C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36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8A3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91B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CD8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A3A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-1.06 (0.22)</w:t>
            </w:r>
          </w:p>
        </w:tc>
      </w:tr>
      <w:tr w:rsidR="009302A4" w:rsidRPr="00EA091F" w14:paraId="28336BA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260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F0A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B726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FD5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49A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AF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-1.16 (0.08)</w:t>
            </w:r>
          </w:p>
        </w:tc>
      </w:tr>
      <w:tr w:rsidR="009302A4" w:rsidRPr="00EA091F" w14:paraId="1AD5DF5D" w14:textId="77777777" w:rsidTr="00BC5954">
        <w:trPr>
          <w:trHeight w:val="110"/>
          <w:jc w:val="center"/>
        </w:trPr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7B6CCA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52 weeks</w:t>
            </w:r>
          </w:p>
        </w:tc>
      </w:tr>
      <w:tr w:rsidR="009302A4" w:rsidRPr="00EA091F" w14:paraId="1A983EF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AB3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E17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Dagogo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DB4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804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86B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54D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0.02 (0.09)</w:t>
            </w:r>
          </w:p>
        </w:tc>
      </w:tr>
      <w:tr w:rsidR="009302A4" w:rsidRPr="00EA091F" w14:paraId="04C90AC8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12D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B3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02C5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07B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ERTU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1AF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95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-0.78 (0.11)</w:t>
            </w:r>
          </w:p>
        </w:tc>
      </w:tr>
      <w:tr w:rsidR="009302A4" w:rsidRPr="00EA091F" w14:paraId="0AB5B14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F598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2C5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Rosenstock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DEF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F12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866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662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-0.54 (0.08)</w:t>
            </w:r>
          </w:p>
        </w:tc>
      </w:tr>
      <w:tr w:rsidR="009302A4" w:rsidRPr="00EA091F" w14:paraId="610979B8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97D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4BF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3B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22A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B24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8A0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-1.10 (0.11)</w:t>
            </w:r>
          </w:p>
        </w:tc>
      </w:tr>
      <w:tr w:rsidR="009302A4" w:rsidRPr="00EA091F" w14:paraId="06C2FDD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5F8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EBF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Wilding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737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C62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11D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53B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0.01 (0.08)</w:t>
            </w:r>
          </w:p>
        </w:tc>
      </w:tr>
      <w:tr w:rsidR="009302A4" w:rsidRPr="00EA091F" w14:paraId="445962D2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9AF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D35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C557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6EE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CANA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54A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887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-0.85 (0.12)</w:t>
            </w:r>
          </w:p>
        </w:tc>
      </w:tr>
      <w:tr w:rsidR="009302A4" w:rsidRPr="00EA091F" w14:paraId="4D45892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0FC7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237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Wilding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7BF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EC7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C31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C52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-0.47 (0.10)</w:t>
            </w:r>
          </w:p>
        </w:tc>
      </w:tr>
      <w:tr w:rsidR="009302A4" w:rsidRPr="00EA091F" w14:paraId="5B3D621D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FC5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CD1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588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229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802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143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-0.98 (0.14)</w:t>
            </w:r>
          </w:p>
        </w:tc>
      </w:tr>
      <w:tr w:rsidR="009302A4" w:rsidRPr="00EA091F" w14:paraId="6C88015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CE2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4D7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Ahmann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D1A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BE5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F9E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EFA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-0.92 (0.06)</w:t>
            </w:r>
          </w:p>
        </w:tc>
      </w:tr>
      <w:tr w:rsidR="009302A4" w:rsidRPr="00EA091F" w14:paraId="43EFB9E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C77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7F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4AF6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965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SEM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1CD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40A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-1.55 (0.06)</w:t>
            </w:r>
          </w:p>
        </w:tc>
      </w:tr>
      <w:tr w:rsidR="009302A4" w:rsidRPr="00EA091F" w14:paraId="3649B2A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BDF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C8A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Jabbour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888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6EA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BA7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87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-1.23 (0.10)</w:t>
            </w:r>
          </w:p>
        </w:tc>
      </w:tr>
      <w:tr w:rsidR="009302A4" w:rsidRPr="00EA091F" w14:paraId="301D9449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016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1B9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5308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2D1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239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609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-1.38 (0.10)</w:t>
            </w:r>
          </w:p>
        </w:tc>
      </w:tr>
      <w:tr w:rsidR="009302A4" w:rsidRPr="00EA091F" w14:paraId="4EA0FD3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86C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DE2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Matthaei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783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1EC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148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931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-0.10 (0.10)</w:t>
            </w:r>
          </w:p>
        </w:tc>
      </w:tr>
      <w:tr w:rsidR="009302A4" w:rsidRPr="00EA091F" w14:paraId="77516438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30F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70B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CF0E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3D3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BEB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B0B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-0.80 (0.10)</w:t>
            </w:r>
          </w:p>
        </w:tc>
      </w:tr>
      <w:tr w:rsidR="009302A4" w:rsidRPr="00EA091F" w14:paraId="3D250A0B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A41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E7F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Nauck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A26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82E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016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C7AC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0.15 (0.10)</w:t>
            </w:r>
          </w:p>
        </w:tc>
      </w:tr>
      <w:tr w:rsidR="009302A4" w:rsidRPr="00EA091F" w14:paraId="45D29E9F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2BE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F1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893E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0FF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ALB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C40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355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-0.79 (0.14)</w:t>
            </w:r>
          </w:p>
        </w:tc>
      </w:tr>
      <w:tr w:rsidR="009302A4" w:rsidRPr="00EA091F" w14:paraId="63C68407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222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738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Neal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E19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B4F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7B29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690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A62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0.03 (0.04)</w:t>
            </w:r>
          </w:p>
        </w:tc>
      </w:tr>
      <w:tr w:rsidR="009302A4" w:rsidRPr="00EA091F" w14:paraId="1327BE3C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FA9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BA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ACE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C6B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CANA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C75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1382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7B8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-0.62 (0.06)</w:t>
            </w:r>
          </w:p>
        </w:tc>
      </w:tr>
      <w:tr w:rsidR="009302A4" w:rsidRPr="00EA091F" w14:paraId="48890CFD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9CA6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C91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Reusch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9B0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438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09D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FE2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-0.05 (0.07)</w:t>
            </w:r>
          </w:p>
        </w:tc>
      </w:tr>
      <w:tr w:rsidR="009302A4" w:rsidRPr="00EA091F" w14:paraId="7DDA4609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123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91D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5C6A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25A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ALB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34A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0BB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-0.80 (0.07)</w:t>
            </w:r>
          </w:p>
        </w:tc>
      </w:tr>
      <w:tr w:rsidR="009302A4" w:rsidRPr="00EA091F" w14:paraId="75191106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C51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42D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Roden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234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RCT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0C5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PLA/SC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3BE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F66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0.09 (0.05)</w:t>
            </w:r>
          </w:p>
        </w:tc>
      </w:tr>
      <w:tr w:rsidR="009302A4" w:rsidRPr="00EA091F" w14:paraId="6F72B036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041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02B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9CFF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AD0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EMPA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40A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653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-0.76 (0.07)</w:t>
            </w:r>
          </w:p>
        </w:tc>
      </w:tr>
      <w:tr w:rsidR="009302A4" w:rsidRPr="00EA091F" w14:paraId="7C7E0A8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F64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334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Faher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D03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8D2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A30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578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19A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Reference</w:t>
            </w:r>
          </w:p>
        </w:tc>
      </w:tr>
      <w:tr w:rsidR="009302A4" w:rsidRPr="00EA091F" w14:paraId="67005C9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4FC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FC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B4A2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B0E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3FB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1736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543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0.30 (0.14)</w:t>
            </w:r>
          </w:p>
        </w:tc>
      </w:tr>
      <w:tr w:rsidR="009302A4" w:rsidRPr="00EA091F" w14:paraId="0EC5B8E5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8631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B2E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McAdam-Marx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557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47F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909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808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0A3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-0.37 (0.08)</w:t>
            </w:r>
          </w:p>
        </w:tc>
      </w:tr>
      <w:tr w:rsidR="009302A4" w:rsidRPr="00EA091F" w14:paraId="7BC7809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DA9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16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7933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5D4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4F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4333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1EE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-0.37 (0.09)</w:t>
            </w:r>
          </w:p>
        </w:tc>
      </w:tr>
      <w:tr w:rsidR="009302A4" w:rsidRPr="00EA091F" w14:paraId="136A4595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229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B1A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Jassim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3ED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61C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D42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D95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0.08 (0.19)</w:t>
            </w:r>
          </w:p>
        </w:tc>
      </w:tr>
      <w:tr w:rsidR="009302A4" w:rsidRPr="00EA091F" w14:paraId="5EBDF9A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255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6DFE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EFD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111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C6F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FE9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1.40 (1.60)</w:t>
            </w:r>
          </w:p>
        </w:tc>
      </w:tr>
      <w:tr w:rsidR="009302A4" w:rsidRPr="00EA091F" w14:paraId="5F81479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EDC0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9F8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Mody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292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9E75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B2B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585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EF0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-3.13 (0.07)</w:t>
            </w:r>
          </w:p>
        </w:tc>
      </w:tr>
      <w:tr w:rsidR="009302A4" w:rsidRPr="00EA091F" w14:paraId="49549131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5AB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4E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86A9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EC0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418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585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A27D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-2.92 (0.07)</w:t>
            </w:r>
          </w:p>
        </w:tc>
      </w:tr>
      <w:tr w:rsidR="009302A4" w:rsidRPr="00EA091F" w14:paraId="1EEF0BD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E15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B7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869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Mody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53B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FC1B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57D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EB7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-3.24 (0.09)</w:t>
            </w:r>
          </w:p>
        </w:tc>
      </w:tr>
      <w:tr w:rsidR="009302A4" w:rsidRPr="00EA091F" w14:paraId="480D9F30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5E17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7A4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2BDE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CC5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5C7A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35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-2.92 (0.09)</w:t>
            </w:r>
          </w:p>
        </w:tc>
      </w:tr>
      <w:tr w:rsidR="009302A4" w:rsidRPr="00EA091F" w14:paraId="27FB8153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DFC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ED3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Hussein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B80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OBS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0A6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CANA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240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38D8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-1.01 (0.19)</w:t>
            </w:r>
          </w:p>
        </w:tc>
      </w:tr>
      <w:tr w:rsidR="009302A4" w:rsidRPr="00EA091F" w14:paraId="326E2012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123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73C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1CAA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864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DAPA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CDC0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F992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-1.19 (0.09)</w:t>
            </w:r>
          </w:p>
        </w:tc>
      </w:tr>
      <w:tr w:rsidR="009302A4" w:rsidRPr="00EA091F" w14:paraId="388D8158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17B3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FA9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D836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698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EMPA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6A8B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60C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-1.26 (0.15)</w:t>
            </w:r>
          </w:p>
        </w:tc>
      </w:tr>
      <w:tr w:rsidR="009302A4" w:rsidRPr="00EA091F" w14:paraId="75F9E544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D8A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1D5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6B11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3F52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proofErr w:type="spellStart"/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ExBID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05F4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415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-0.76 (0.24)</w:t>
            </w:r>
          </w:p>
        </w:tc>
      </w:tr>
      <w:tr w:rsidR="009302A4" w:rsidRPr="00EA091F" w14:paraId="5CB652EB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52EC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CE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D9C4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2679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A38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8AD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-0.54 (0.20)</w:t>
            </w:r>
          </w:p>
        </w:tc>
      </w:tr>
      <w:tr w:rsidR="009302A4" w:rsidRPr="00EA091F" w14:paraId="175A35BF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7ED44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391F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37EC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348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DUL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BFB7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8A73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-1.02 (0.30)</w:t>
            </w:r>
          </w:p>
        </w:tc>
      </w:tr>
      <w:tr w:rsidR="009302A4" w:rsidRPr="00EA091F" w14:paraId="63F89C4A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C9D4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86AA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EC9E" w14:textId="77777777" w:rsidR="009302A4" w:rsidRPr="00EA091F" w:rsidRDefault="009302A4" w:rsidP="00BC595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076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ExQW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F19F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12D1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-0.90 (0.27)</w:t>
            </w:r>
          </w:p>
        </w:tc>
      </w:tr>
      <w:tr w:rsidR="009302A4" w:rsidRPr="00EA091F" w14:paraId="62A2A85E" w14:textId="77777777" w:rsidTr="00BC5954">
        <w:trPr>
          <w:trHeight w:val="11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09DD8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454F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B637D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48640" w14:textId="77777777" w:rsidR="009302A4" w:rsidRPr="00EA091F" w:rsidRDefault="009302A4" w:rsidP="00BC5954">
            <w:pPr>
              <w:spacing w:after="0" w:line="48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LIR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4F45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D406" w14:textId="77777777" w:rsidR="009302A4" w:rsidRPr="00EA091F" w:rsidRDefault="009302A4" w:rsidP="00BC5954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-1.01 (0.11)</w:t>
            </w:r>
          </w:p>
        </w:tc>
      </w:tr>
      <w:tr w:rsidR="009302A4" w:rsidRPr="00EA091F" w14:paraId="57948425" w14:textId="77777777" w:rsidTr="00BC5954">
        <w:trPr>
          <w:trHeight w:val="110"/>
          <w:jc w:val="center"/>
        </w:trPr>
        <w:tc>
          <w:tcPr>
            <w:tcW w:w="7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1536" w14:textId="2AF01661" w:rsidR="009302A4" w:rsidRPr="00EA091F" w:rsidRDefault="009302A4" w:rsidP="00C72195">
            <w:pPr>
              <w:spacing w:after="0" w:line="48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EA091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Abbreviations:</w:t>
            </w:r>
            <w:r w:rsidRPr="00EA091F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EA091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PLA/SC, Placebo/Standard Care; CANA, Canagliflozin;  DAPA, Dapagliflozin; EMPA, </w:t>
            </w:r>
            <w:proofErr w:type="spellStart"/>
            <w:r w:rsidRPr="00EA091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lastRenderedPageBreak/>
              <w:t>Empagliflozin</w:t>
            </w:r>
            <w:proofErr w:type="spellEnd"/>
            <w:r w:rsidRPr="00EA091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; ERTU, </w:t>
            </w:r>
            <w:proofErr w:type="spellStart"/>
            <w:r w:rsidRPr="00EA091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Ertugliflozin</w:t>
            </w:r>
            <w:proofErr w:type="spellEnd"/>
            <w:r w:rsidRPr="00EA091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; </w:t>
            </w:r>
            <w:proofErr w:type="spellStart"/>
            <w:r w:rsidRPr="00EA091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ExBID</w:t>
            </w:r>
            <w:proofErr w:type="spellEnd"/>
            <w:r w:rsidRPr="00EA091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A091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Exenatide</w:t>
            </w:r>
            <w:proofErr w:type="spellEnd"/>
            <w:r w:rsidRPr="00EA091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 Twice Daily; LIX, Lixisenatide; ALB, Albiglutide; DUL, Dulaglutide; ExQW,  Exenatide Once Weekly; LIR, Liraglutide; SEM, Semaglutide; TAS, Taspoglutide</w:t>
            </w:r>
            <w:r w:rsidR="006F27A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; OBS, Observational; RCT, Randomised Controlled Trial.</w:t>
            </w:r>
          </w:p>
        </w:tc>
      </w:tr>
      <w:bookmarkEnd w:id="0"/>
    </w:tbl>
    <w:p w14:paraId="51FDB12A" w14:textId="77777777" w:rsidR="000857F2" w:rsidRPr="000F522F" w:rsidRDefault="000857F2" w:rsidP="00C22D3C"/>
    <w:sectPr w:rsidR="000857F2" w:rsidRPr="000F522F" w:rsidSect="009050C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D0ADA" w14:textId="77777777" w:rsidR="00AF7727" w:rsidRDefault="00AF7727" w:rsidP="00F01A4E">
      <w:pPr>
        <w:spacing w:after="0" w:line="240" w:lineRule="auto"/>
      </w:pPr>
      <w:r>
        <w:separator/>
      </w:r>
    </w:p>
  </w:endnote>
  <w:endnote w:type="continuationSeparator" w:id="0">
    <w:p w14:paraId="3D0B1EFF" w14:textId="77777777" w:rsidR="00AF7727" w:rsidRDefault="00AF7727" w:rsidP="00F0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970258"/>
      <w:docPartObj>
        <w:docPartGallery w:val="Page Numbers (Bottom of Page)"/>
        <w:docPartUnique/>
      </w:docPartObj>
    </w:sdtPr>
    <w:sdtEndPr/>
    <w:sdtContent>
      <w:p w14:paraId="33A31028" w14:textId="1B09141E" w:rsidR="00F01A4E" w:rsidRDefault="00F01A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0CA">
          <w:rPr>
            <w:noProof/>
          </w:rPr>
          <w:t>15</w:t>
        </w:r>
        <w:r>
          <w:fldChar w:fldCharType="end"/>
        </w:r>
      </w:p>
    </w:sdtContent>
  </w:sdt>
  <w:p w14:paraId="437556C0" w14:textId="77777777" w:rsidR="00F01A4E" w:rsidRDefault="00F01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39933" w14:textId="77777777" w:rsidR="00AF7727" w:rsidRDefault="00AF7727" w:rsidP="00F01A4E">
      <w:pPr>
        <w:spacing w:after="0" w:line="240" w:lineRule="auto"/>
      </w:pPr>
      <w:r>
        <w:separator/>
      </w:r>
    </w:p>
  </w:footnote>
  <w:footnote w:type="continuationSeparator" w:id="0">
    <w:p w14:paraId="2E27FB6C" w14:textId="77777777" w:rsidR="00AF7727" w:rsidRDefault="00AF7727" w:rsidP="00F0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254"/>
    <w:multiLevelType w:val="hybridMultilevel"/>
    <w:tmpl w:val="EA6C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1BCA"/>
    <w:multiLevelType w:val="hybridMultilevel"/>
    <w:tmpl w:val="952C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0E47"/>
    <w:multiLevelType w:val="hybridMultilevel"/>
    <w:tmpl w:val="C17A008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39C4879"/>
    <w:multiLevelType w:val="hybridMultilevel"/>
    <w:tmpl w:val="13724ED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FC19D6"/>
    <w:multiLevelType w:val="hybridMultilevel"/>
    <w:tmpl w:val="F53E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61698"/>
    <w:multiLevelType w:val="hybridMultilevel"/>
    <w:tmpl w:val="5672A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D0247"/>
    <w:multiLevelType w:val="hybridMultilevel"/>
    <w:tmpl w:val="2554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03CC9"/>
    <w:multiLevelType w:val="hybridMultilevel"/>
    <w:tmpl w:val="FE34B0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B5366"/>
    <w:multiLevelType w:val="hybridMultilevel"/>
    <w:tmpl w:val="DC16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441B3"/>
    <w:multiLevelType w:val="hybridMultilevel"/>
    <w:tmpl w:val="52F6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B43CE"/>
    <w:multiLevelType w:val="hybridMultilevel"/>
    <w:tmpl w:val="F1BE98A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7A781FAF"/>
    <w:multiLevelType w:val="hybridMultilevel"/>
    <w:tmpl w:val="14AC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51FCD"/>
    <w:multiLevelType w:val="hybridMultilevel"/>
    <w:tmpl w:val="760C3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73"/>
    <w:rsid w:val="00071202"/>
    <w:rsid w:val="000857F2"/>
    <w:rsid w:val="000E4BFB"/>
    <w:rsid w:val="000F522F"/>
    <w:rsid w:val="0011491D"/>
    <w:rsid w:val="001E17FC"/>
    <w:rsid w:val="00241121"/>
    <w:rsid w:val="00274510"/>
    <w:rsid w:val="00296EE9"/>
    <w:rsid w:val="00362D39"/>
    <w:rsid w:val="003E27BB"/>
    <w:rsid w:val="00510A40"/>
    <w:rsid w:val="005E3B59"/>
    <w:rsid w:val="00652B9D"/>
    <w:rsid w:val="006B0373"/>
    <w:rsid w:val="006F27AD"/>
    <w:rsid w:val="006F3EEC"/>
    <w:rsid w:val="00795A19"/>
    <w:rsid w:val="00802679"/>
    <w:rsid w:val="00811E84"/>
    <w:rsid w:val="00836ED9"/>
    <w:rsid w:val="009050CA"/>
    <w:rsid w:val="00921029"/>
    <w:rsid w:val="009302A4"/>
    <w:rsid w:val="00961EA1"/>
    <w:rsid w:val="00A07E3B"/>
    <w:rsid w:val="00A23402"/>
    <w:rsid w:val="00AF7727"/>
    <w:rsid w:val="00C22D3C"/>
    <w:rsid w:val="00C72195"/>
    <w:rsid w:val="00D3686C"/>
    <w:rsid w:val="00DF08C7"/>
    <w:rsid w:val="00EA31D4"/>
    <w:rsid w:val="00EF500D"/>
    <w:rsid w:val="00F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A4"/>
  </w:style>
  <w:style w:type="paragraph" w:styleId="Heading1">
    <w:name w:val="heading 1"/>
    <w:basedOn w:val="Normal"/>
    <w:next w:val="Normal"/>
    <w:link w:val="Heading1Char"/>
    <w:uiPriority w:val="9"/>
    <w:qFormat/>
    <w:rsid w:val="006B0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0373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0373"/>
    <w:rPr>
      <w:rFonts w:asciiTheme="majorHAnsi" w:eastAsiaTheme="majorEastAsia" w:hAnsiTheme="majorHAnsi" w:cstheme="majorBidi"/>
      <w:b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B037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037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B037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B0373"/>
    <w:rPr>
      <w:rFonts w:ascii="Calibri" w:hAnsi="Calibri"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6B037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B03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B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3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73"/>
  </w:style>
  <w:style w:type="paragraph" w:styleId="Footer">
    <w:name w:val="footer"/>
    <w:basedOn w:val="Normal"/>
    <w:link w:val="FooterChar"/>
    <w:uiPriority w:val="99"/>
    <w:unhideWhenUsed/>
    <w:rsid w:val="006B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73"/>
  </w:style>
  <w:style w:type="paragraph" w:styleId="Revision">
    <w:name w:val="Revision"/>
    <w:hidden/>
    <w:uiPriority w:val="99"/>
    <w:semiHidden/>
    <w:rsid w:val="006B0373"/>
    <w:pPr>
      <w:spacing w:after="0" w:line="240" w:lineRule="auto"/>
    </w:pPr>
  </w:style>
  <w:style w:type="paragraph" w:customStyle="1" w:styleId="Default">
    <w:name w:val="Default"/>
    <w:rsid w:val="006B0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A4"/>
  </w:style>
  <w:style w:type="paragraph" w:styleId="Heading1">
    <w:name w:val="heading 1"/>
    <w:basedOn w:val="Normal"/>
    <w:next w:val="Normal"/>
    <w:link w:val="Heading1Char"/>
    <w:uiPriority w:val="9"/>
    <w:qFormat/>
    <w:rsid w:val="006B0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0373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0373"/>
    <w:rPr>
      <w:rFonts w:asciiTheme="majorHAnsi" w:eastAsiaTheme="majorEastAsia" w:hAnsiTheme="majorHAnsi" w:cstheme="majorBidi"/>
      <w:b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B037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037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B037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B0373"/>
    <w:rPr>
      <w:rFonts w:ascii="Calibri" w:hAnsi="Calibri"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6B037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B03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B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3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73"/>
  </w:style>
  <w:style w:type="paragraph" w:styleId="Footer">
    <w:name w:val="footer"/>
    <w:basedOn w:val="Normal"/>
    <w:link w:val="FooterChar"/>
    <w:uiPriority w:val="99"/>
    <w:unhideWhenUsed/>
    <w:rsid w:val="006B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73"/>
  </w:style>
  <w:style w:type="paragraph" w:styleId="Revision">
    <w:name w:val="Revision"/>
    <w:hidden/>
    <w:uiPriority w:val="99"/>
    <w:semiHidden/>
    <w:rsid w:val="006B0373"/>
    <w:pPr>
      <w:spacing w:after="0" w:line="240" w:lineRule="auto"/>
    </w:pPr>
  </w:style>
  <w:style w:type="paragraph" w:customStyle="1" w:styleId="Default">
    <w:name w:val="Default"/>
    <w:rsid w:val="006B0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Hussein, Humaira</dc:creator>
  <cp:keywords/>
  <dc:description/>
  <cp:lastModifiedBy>E746164</cp:lastModifiedBy>
  <cp:revision>7</cp:revision>
  <dcterms:created xsi:type="dcterms:W3CDTF">2023-03-22T17:36:00Z</dcterms:created>
  <dcterms:modified xsi:type="dcterms:W3CDTF">2023-04-17T11:02:00Z</dcterms:modified>
</cp:coreProperties>
</file>