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5035" w14:textId="23D8BA1C" w:rsidR="000D1762" w:rsidRDefault="000D1762" w:rsidP="000D1762">
      <w:pPr>
        <w:pStyle w:val="Heading1"/>
        <w:rPr>
          <w:lang w:val="en-US"/>
        </w:rPr>
      </w:pPr>
      <w:r w:rsidRPr="000D1762">
        <w:rPr>
          <w:lang w:val="en-US"/>
        </w:rPr>
        <w:t xml:space="preserve">Uncertainty and sensitivity analysis </w:t>
      </w:r>
    </w:p>
    <w:p w14:paraId="1D051DB1" w14:textId="3DC22009" w:rsidR="0088785C" w:rsidRPr="0088785C" w:rsidRDefault="00415112" w:rsidP="00356D50">
      <w:pPr>
        <w:spacing w:line="480" w:lineRule="auto"/>
        <w:jc w:val="both"/>
        <w:rPr>
          <w:lang w:val="en-US"/>
        </w:rPr>
      </w:pPr>
      <w:r>
        <w:rPr>
          <w:lang w:val="en-US"/>
        </w:rPr>
        <w:t>Detailed p</w:t>
      </w:r>
      <w:r w:rsidR="00E65A65">
        <w:rPr>
          <w:lang w:val="en-US"/>
        </w:rPr>
        <w:t xml:space="preserve">arameter estimates used in the model </w:t>
      </w:r>
      <w:proofErr w:type="gramStart"/>
      <w:r w:rsidR="00E65A65">
        <w:rPr>
          <w:lang w:val="en-US"/>
        </w:rPr>
        <w:t>are presented</w:t>
      </w:r>
      <w:proofErr w:type="gramEnd"/>
      <w:r w:rsidR="00E65A65">
        <w:rPr>
          <w:lang w:val="en-US"/>
        </w:rPr>
        <w:t xml:space="preserve"> in table S1.</w:t>
      </w:r>
      <w:r w:rsidR="009807EF">
        <w:rPr>
          <w:lang w:val="en-US"/>
        </w:rPr>
        <w:t xml:space="preserve"> </w:t>
      </w:r>
      <w:r w:rsidR="00356D50">
        <w:rPr>
          <w:lang w:val="en-US"/>
        </w:rPr>
        <w:t xml:space="preserve">QALY-estimates for year one were calculated taking the average of the QALY-estimates measured at baseline and the </w:t>
      </w:r>
      <w:proofErr w:type="gramStart"/>
      <w:r w:rsidR="00356D50">
        <w:rPr>
          <w:lang w:val="en-US"/>
        </w:rPr>
        <w:t>12 month</w:t>
      </w:r>
      <w:proofErr w:type="gramEnd"/>
      <w:r w:rsidR="00356D50">
        <w:rPr>
          <w:lang w:val="en-US"/>
        </w:rPr>
        <w:t xml:space="preserve"> follow-up. QALY-estimates for year two </w:t>
      </w:r>
      <w:proofErr w:type="gramStart"/>
      <w:r w:rsidR="00356D50">
        <w:rPr>
          <w:lang w:val="en-US"/>
        </w:rPr>
        <w:t>were based</w:t>
      </w:r>
      <w:proofErr w:type="gramEnd"/>
      <w:r w:rsidR="00356D50">
        <w:rPr>
          <w:lang w:val="en-US"/>
        </w:rPr>
        <w:t xml:space="preserve"> on the average of the 12-month follow-up and the 24-month follow-up. </w:t>
      </w:r>
      <w:bookmarkStart w:id="0" w:name="_GoBack"/>
      <w:bookmarkEnd w:id="0"/>
    </w:p>
    <w:p w14:paraId="556748A9" w14:textId="75F943A9" w:rsidR="0088785C" w:rsidRPr="0088785C" w:rsidRDefault="0088785C" w:rsidP="0088785C">
      <w:pPr>
        <w:pStyle w:val="Caption"/>
        <w:keepNext/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</w:pPr>
      <w:r w:rsidRPr="0088785C"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  <w:t xml:space="preserve">Table </w:t>
      </w:r>
      <w:r w:rsidR="009807EF"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  <w:t>S</w:t>
      </w:r>
      <w:r w:rsidRPr="0088785C"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  <w:fldChar w:fldCharType="begin"/>
      </w:r>
      <w:r w:rsidRPr="0088785C"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  <w:instrText xml:space="preserve"> SEQ Tabell \* ARABIC </w:instrText>
      </w:r>
      <w:r w:rsidRPr="0088785C"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  <w:fldChar w:fldCharType="separate"/>
      </w:r>
      <w:r w:rsidRPr="0088785C"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  <w:t>1</w:t>
      </w:r>
      <w:r w:rsidRPr="0088785C"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  <w:fldChar w:fldCharType="end"/>
      </w:r>
      <w:r w:rsidRPr="00625593"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  <w:t>.</w:t>
      </w:r>
      <w:r w:rsidR="00E65A65" w:rsidRPr="00625593">
        <w:rPr>
          <w:rFonts w:eastAsiaTheme="minorEastAsia"/>
          <w:b/>
          <w:i w:val="0"/>
          <w:iCs w:val="0"/>
          <w:color w:val="auto"/>
          <w:sz w:val="20"/>
          <w:szCs w:val="22"/>
          <w:lang w:val="en-US"/>
        </w:rPr>
        <w:t xml:space="preserve"> Parameter estimates used in the model.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2830"/>
      </w:tblGrid>
      <w:tr w:rsidR="00916673" w:rsidRPr="00C40787" w14:paraId="54BF8680" w14:textId="77777777" w:rsidTr="00C71299">
        <w:tc>
          <w:tcPr>
            <w:tcW w:w="2547" w:type="dxa"/>
          </w:tcPr>
          <w:p w14:paraId="6CD04EF2" w14:textId="34AE897C" w:rsidR="00916673" w:rsidRPr="00796E77" w:rsidRDefault="00916673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Parameter</w:t>
            </w:r>
          </w:p>
        </w:tc>
        <w:tc>
          <w:tcPr>
            <w:tcW w:w="1843" w:type="dxa"/>
          </w:tcPr>
          <w:p w14:paraId="0E719D31" w14:textId="3F639634" w:rsidR="00916673" w:rsidRPr="00796E77" w:rsidRDefault="00916673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Mean</w:t>
            </w:r>
          </w:p>
        </w:tc>
        <w:tc>
          <w:tcPr>
            <w:tcW w:w="1842" w:type="dxa"/>
          </w:tcPr>
          <w:p w14:paraId="37A81D45" w14:textId="15475B51" w:rsidR="00916673" w:rsidRPr="00796E77" w:rsidRDefault="00916673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Std. Error</w:t>
            </w:r>
          </w:p>
        </w:tc>
        <w:tc>
          <w:tcPr>
            <w:tcW w:w="2830" w:type="dxa"/>
          </w:tcPr>
          <w:p w14:paraId="4777A9F2" w14:textId="5679AB47" w:rsidR="00916673" w:rsidRPr="00796E77" w:rsidRDefault="00916673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Distribution in the probabilistic analysis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</w:p>
        </w:tc>
      </w:tr>
      <w:tr w:rsidR="00E12B42" w14:paraId="50C0AC12" w14:textId="77777777" w:rsidTr="00796E77">
        <w:tc>
          <w:tcPr>
            <w:tcW w:w="9062" w:type="dxa"/>
            <w:gridSpan w:val="4"/>
          </w:tcPr>
          <w:p w14:paraId="693FD44E" w14:textId="168D5529" w:rsidR="00E12B42" w:rsidRPr="00796E77" w:rsidRDefault="00E12B42" w:rsidP="00916673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sv-SE"/>
              </w:rPr>
              <w:t>Comprehensive Geriatric Assessment</w:t>
            </w:r>
          </w:p>
        </w:tc>
      </w:tr>
      <w:tr w:rsidR="00916673" w14:paraId="7AD4CF00" w14:textId="77777777" w:rsidTr="00C71299">
        <w:tc>
          <w:tcPr>
            <w:tcW w:w="2547" w:type="dxa"/>
          </w:tcPr>
          <w:p w14:paraId="5297B151" w14:textId="0E1447B6" w:rsidR="00916673" w:rsidRPr="00796E77" w:rsidRDefault="00916673" w:rsidP="00916673">
            <w:pPr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  <w:t>Year 1</w:t>
            </w:r>
          </w:p>
        </w:tc>
        <w:tc>
          <w:tcPr>
            <w:tcW w:w="1843" w:type="dxa"/>
          </w:tcPr>
          <w:p w14:paraId="207A61F2" w14:textId="77777777" w:rsidR="00916673" w:rsidRPr="00796E77" w:rsidRDefault="00916673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120C3B83" w14:textId="77777777" w:rsidR="00916673" w:rsidRPr="00796E77" w:rsidRDefault="00916673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7A53C5B6" w14:textId="77777777" w:rsidR="00916673" w:rsidRPr="00796E77" w:rsidRDefault="00916673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916673" w14:paraId="2D38D182" w14:textId="77777777" w:rsidTr="00C71299">
        <w:tc>
          <w:tcPr>
            <w:tcW w:w="2547" w:type="dxa"/>
          </w:tcPr>
          <w:p w14:paraId="511624D1" w14:textId="4BDC349F" w:rsidR="00916673" w:rsidRPr="00796E77" w:rsidRDefault="00E12B42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Primary Health care</w:t>
            </w:r>
          </w:p>
        </w:tc>
        <w:tc>
          <w:tcPr>
            <w:tcW w:w="1843" w:type="dxa"/>
          </w:tcPr>
          <w:p w14:paraId="598F3C77" w14:textId="0523FC03" w:rsidR="00916673" w:rsidRPr="00796E77" w:rsidRDefault="00E12B42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</w:t>
            </w:r>
            <w:r w:rsid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672 €</w:t>
            </w:r>
          </w:p>
        </w:tc>
        <w:tc>
          <w:tcPr>
            <w:tcW w:w="1842" w:type="dxa"/>
          </w:tcPr>
          <w:p w14:paraId="670F9990" w14:textId="5C9312BD" w:rsidR="00916673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199 €</w:t>
            </w:r>
          </w:p>
        </w:tc>
        <w:tc>
          <w:tcPr>
            <w:tcW w:w="2830" w:type="dxa"/>
          </w:tcPr>
          <w:p w14:paraId="5C831E93" w14:textId="76D358FC" w:rsidR="00916673" w:rsidRPr="00796E77" w:rsidRDefault="00796E77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71, 224)</w:t>
            </w:r>
          </w:p>
        </w:tc>
      </w:tr>
      <w:tr w:rsidR="00916673" w14:paraId="32A89385" w14:textId="77777777" w:rsidTr="00C71299">
        <w:tc>
          <w:tcPr>
            <w:tcW w:w="2547" w:type="dxa"/>
          </w:tcPr>
          <w:p w14:paraId="77CA3579" w14:textId="4E2E89ED" w:rsidR="00916673" w:rsidRPr="00796E77" w:rsidRDefault="00E12B42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Ambulatory geriatric care</w:t>
            </w:r>
          </w:p>
        </w:tc>
        <w:tc>
          <w:tcPr>
            <w:tcW w:w="1843" w:type="dxa"/>
          </w:tcPr>
          <w:p w14:paraId="23726D94" w14:textId="5087A00F" w:rsidR="00916673" w:rsidRPr="00796E77" w:rsidRDefault="00E12B42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</w:t>
            </w:r>
            <w:r w:rsid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366 €</w:t>
            </w:r>
          </w:p>
        </w:tc>
        <w:tc>
          <w:tcPr>
            <w:tcW w:w="1842" w:type="dxa"/>
          </w:tcPr>
          <w:p w14:paraId="77E27BBD" w14:textId="409E8987" w:rsidR="00916673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127 €</w:t>
            </w:r>
          </w:p>
        </w:tc>
        <w:tc>
          <w:tcPr>
            <w:tcW w:w="2830" w:type="dxa"/>
          </w:tcPr>
          <w:p w14:paraId="46B1EB9C" w14:textId="2509A845" w:rsidR="00916673" w:rsidRPr="00796E77" w:rsidRDefault="00796E77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(345, 65)</w:t>
            </w:r>
          </w:p>
        </w:tc>
      </w:tr>
      <w:tr w:rsidR="00916673" w14:paraId="0E435EC5" w14:textId="77777777" w:rsidTr="00C71299">
        <w:tc>
          <w:tcPr>
            <w:tcW w:w="2547" w:type="dxa"/>
          </w:tcPr>
          <w:p w14:paraId="0830129D" w14:textId="79B250B5" w:rsidR="00916673" w:rsidRPr="00796E77" w:rsidRDefault="00E12B42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91667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Other ambulatory care</w:t>
            </w:r>
          </w:p>
        </w:tc>
        <w:tc>
          <w:tcPr>
            <w:tcW w:w="1843" w:type="dxa"/>
          </w:tcPr>
          <w:p w14:paraId="3746B47A" w14:textId="1517345A" w:rsidR="00916673" w:rsidRPr="00796E77" w:rsidRDefault="00E12B42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</w:t>
            </w:r>
            <w:r w:rsid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38</w:t>
            </w:r>
            <w:r w:rsidR="008245B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</w:t>
            </w: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€</w:t>
            </w:r>
          </w:p>
        </w:tc>
        <w:tc>
          <w:tcPr>
            <w:tcW w:w="1842" w:type="dxa"/>
          </w:tcPr>
          <w:p w14:paraId="2E8682F0" w14:textId="229F57A4" w:rsidR="00916673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230 €</w:t>
            </w:r>
          </w:p>
        </w:tc>
        <w:tc>
          <w:tcPr>
            <w:tcW w:w="2830" w:type="dxa"/>
          </w:tcPr>
          <w:p w14:paraId="795A0A20" w14:textId="7E89281E" w:rsidR="00916673" w:rsidRPr="00796E77" w:rsidRDefault="00796E77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(107, 211)</w:t>
            </w:r>
          </w:p>
        </w:tc>
      </w:tr>
      <w:tr w:rsidR="00916673" w14:paraId="457F78D0" w14:textId="77777777" w:rsidTr="00C71299">
        <w:tc>
          <w:tcPr>
            <w:tcW w:w="2547" w:type="dxa"/>
          </w:tcPr>
          <w:p w14:paraId="499769D5" w14:textId="07A5AF4D" w:rsidR="00916673" w:rsidRPr="00796E77" w:rsidRDefault="00E12B42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91667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Inpatient care</w:t>
            </w:r>
          </w:p>
        </w:tc>
        <w:tc>
          <w:tcPr>
            <w:tcW w:w="1843" w:type="dxa"/>
          </w:tcPr>
          <w:p w14:paraId="50C3E80B" w14:textId="6873A2BA" w:rsidR="00916673" w:rsidRPr="00796E77" w:rsidRDefault="00E12B42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4</w:t>
            </w:r>
            <w:r w:rsid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152 €</w:t>
            </w:r>
          </w:p>
        </w:tc>
        <w:tc>
          <w:tcPr>
            <w:tcW w:w="1842" w:type="dxa"/>
          </w:tcPr>
          <w:p w14:paraId="06A9DBC5" w14:textId="51F55649" w:rsidR="00916673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601 €</w:t>
            </w:r>
          </w:p>
        </w:tc>
        <w:tc>
          <w:tcPr>
            <w:tcW w:w="2830" w:type="dxa"/>
          </w:tcPr>
          <w:p w14:paraId="3D60CC04" w14:textId="6ED50AEB" w:rsidR="00916673" w:rsidRPr="00796E77" w:rsidRDefault="00796E77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(48, 825)</w:t>
            </w:r>
          </w:p>
        </w:tc>
      </w:tr>
      <w:tr w:rsidR="00916673" w14:paraId="79D24981" w14:textId="77777777" w:rsidTr="00C71299">
        <w:tc>
          <w:tcPr>
            <w:tcW w:w="2547" w:type="dxa"/>
          </w:tcPr>
          <w:p w14:paraId="464AA8B7" w14:textId="0B1EA595" w:rsidR="00916673" w:rsidRPr="00796E77" w:rsidRDefault="00E12B42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Municipal services</w:t>
            </w:r>
          </w:p>
        </w:tc>
        <w:tc>
          <w:tcPr>
            <w:tcW w:w="1843" w:type="dxa"/>
          </w:tcPr>
          <w:p w14:paraId="39375690" w14:textId="37369E80" w:rsidR="00916673" w:rsidRPr="00796E77" w:rsidRDefault="00E12B42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8</w:t>
            </w:r>
            <w:r w:rsid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875 €</w:t>
            </w:r>
          </w:p>
        </w:tc>
        <w:tc>
          <w:tcPr>
            <w:tcW w:w="1842" w:type="dxa"/>
          </w:tcPr>
          <w:p w14:paraId="1B00A33D" w14:textId="1861EAAE" w:rsidR="00916673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284 €</w:t>
            </w:r>
          </w:p>
        </w:tc>
        <w:tc>
          <w:tcPr>
            <w:tcW w:w="2830" w:type="dxa"/>
          </w:tcPr>
          <w:p w14:paraId="0283153C" w14:textId="7E10DBAB" w:rsidR="00916673" w:rsidRPr="00796E77" w:rsidRDefault="00796E77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(48, 1758)</w:t>
            </w:r>
          </w:p>
        </w:tc>
      </w:tr>
      <w:tr w:rsidR="00916673" w14:paraId="28D92202" w14:textId="77777777" w:rsidTr="00C71299">
        <w:tc>
          <w:tcPr>
            <w:tcW w:w="2547" w:type="dxa"/>
          </w:tcPr>
          <w:p w14:paraId="135AC83D" w14:textId="77777777" w:rsidR="00916673" w:rsidRPr="00796E77" w:rsidRDefault="00916673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</w:tcPr>
          <w:p w14:paraId="1CC085A2" w14:textId="77777777" w:rsidR="00916673" w:rsidRPr="00796E77" w:rsidRDefault="00916673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20D3578B" w14:textId="77777777" w:rsidR="00916673" w:rsidRPr="00796E77" w:rsidRDefault="00916673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66D2321B" w14:textId="77777777" w:rsidR="00916673" w:rsidRPr="00796E77" w:rsidRDefault="00916673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E12B42" w14:paraId="5C93F3C9" w14:textId="77777777" w:rsidTr="00C71299">
        <w:tc>
          <w:tcPr>
            <w:tcW w:w="2547" w:type="dxa"/>
          </w:tcPr>
          <w:p w14:paraId="6E8EA152" w14:textId="304A98BC" w:rsidR="00E12B42" w:rsidRPr="00796E77" w:rsidRDefault="00E12B42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Mortality</w:t>
            </w:r>
          </w:p>
        </w:tc>
        <w:tc>
          <w:tcPr>
            <w:tcW w:w="1843" w:type="dxa"/>
          </w:tcPr>
          <w:p w14:paraId="70CFADAA" w14:textId="7AD2FF09" w:rsidR="00E12B42" w:rsidRPr="00796E77" w:rsidRDefault="009430A9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0.12</w:t>
            </w:r>
          </w:p>
        </w:tc>
        <w:tc>
          <w:tcPr>
            <w:tcW w:w="1842" w:type="dxa"/>
          </w:tcPr>
          <w:p w14:paraId="6A463BBB" w14:textId="5CE4C606" w:rsidR="00E12B42" w:rsidRPr="00796E77" w:rsidRDefault="009430A9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0.02</w:t>
            </w:r>
          </w:p>
        </w:tc>
        <w:tc>
          <w:tcPr>
            <w:tcW w:w="2830" w:type="dxa"/>
          </w:tcPr>
          <w:p w14:paraId="236E6135" w14:textId="7A819185" w:rsidR="00E12B42" w:rsidRPr="00796E77" w:rsidRDefault="00796E77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</w:t>
            </w:r>
            <w:r w:rsidR="009430A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(24, 184)</w:t>
            </w:r>
          </w:p>
        </w:tc>
      </w:tr>
      <w:tr w:rsidR="00E12B42" w14:paraId="68620A90" w14:textId="77777777" w:rsidTr="00C71299">
        <w:tc>
          <w:tcPr>
            <w:tcW w:w="2547" w:type="dxa"/>
          </w:tcPr>
          <w:p w14:paraId="6F0EC866" w14:textId="77777777" w:rsidR="00E12B42" w:rsidRPr="00796E77" w:rsidRDefault="00E12B42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</w:tcPr>
          <w:p w14:paraId="252AF0CF" w14:textId="77777777" w:rsidR="00E12B42" w:rsidRPr="00796E77" w:rsidRDefault="00E12B42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7B65037F" w14:textId="77777777" w:rsidR="00E12B42" w:rsidRPr="00796E77" w:rsidRDefault="00E12B42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6D441838" w14:textId="77777777" w:rsidR="00E12B42" w:rsidRPr="00796E77" w:rsidRDefault="00E12B42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E12B42" w14:paraId="2F438758" w14:textId="77777777" w:rsidTr="00C71299">
        <w:tc>
          <w:tcPr>
            <w:tcW w:w="2547" w:type="dxa"/>
          </w:tcPr>
          <w:p w14:paraId="00A64E3D" w14:textId="1BE8EB2B" w:rsidR="00E12B42" w:rsidRPr="00796E77" w:rsidRDefault="00E12B42" w:rsidP="00916673">
            <w:pPr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  <w:t>Year 2</w:t>
            </w:r>
          </w:p>
        </w:tc>
        <w:tc>
          <w:tcPr>
            <w:tcW w:w="1843" w:type="dxa"/>
          </w:tcPr>
          <w:p w14:paraId="07142313" w14:textId="77777777" w:rsidR="00E12B42" w:rsidRPr="00796E77" w:rsidRDefault="00E12B42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2A924A20" w14:textId="77777777" w:rsidR="00E12B42" w:rsidRPr="00796E77" w:rsidRDefault="00E12B42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493271C6" w14:textId="77777777" w:rsidR="00E12B42" w:rsidRPr="00796E77" w:rsidRDefault="00E12B42" w:rsidP="0091667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796E77" w14:paraId="04A0AE46" w14:textId="77777777" w:rsidTr="00C71299">
        <w:tc>
          <w:tcPr>
            <w:tcW w:w="2547" w:type="dxa"/>
          </w:tcPr>
          <w:p w14:paraId="41B30E08" w14:textId="3810AB1F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Primary Health care</w:t>
            </w:r>
          </w:p>
        </w:tc>
        <w:tc>
          <w:tcPr>
            <w:tcW w:w="1843" w:type="dxa"/>
          </w:tcPr>
          <w:p w14:paraId="0D2E1BB5" w14:textId="456B61AD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1 256 €</w:t>
            </w:r>
          </w:p>
        </w:tc>
        <w:tc>
          <w:tcPr>
            <w:tcW w:w="1842" w:type="dxa"/>
          </w:tcPr>
          <w:p w14:paraId="3CE99737" w14:textId="67BAAB96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135 €</w:t>
            </w:r>
          </w:p>
        </w:tc>
        <w:tc>
          <w:tcPr>
            <w:tcW w:w="2830" w:type="dxa"/>
          </w:tcPr>
          <w:p w14:paraId="685AF61D" w14:textId="67C82A87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(87, 137)</w:t>
            </w:r>
          </w:p>
        </w:tc>
      </w:tr>
      <w:tr w:rsidR="00796E77" w14:paraId="3FBD1437" w14:textId="77777777" w:rsidTr="00C71299">
        <w:tc>
          <w:tcPr>
            <w:tcW w:w="2547" w:type="dxa"/>
          </w:tcPr>
          <w:p w14:paraId="68AD456B" w14:textId="72819EEC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Ambulatory geriatric care</w:t>
            </w:r>
          </w:p>
        </w:tc>
        <w:tc>
          <w:tcPr>
            <w:tcW w:w="1843" w:type="dxa"/>
          </w:tcPr>
          <w:p w14:paraId="5A4D14A4" w14:textId="438F0722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2 302 €</w:t>
            </w:r>
          </w:p>
        </w:tc>
        <w:tc>
          <w:tcPr>
            <w:tcW w:w="1842" w:type="dxa"/>
          </w:tcPr>
          <w:p w14:paraId="5A1DB5FD" w14:textId="6680E23A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160 €</w:t>
            </w:r>
          </w:p>
        </w:tc>
        <w:tc>
          <w:tcPr>
            <w:tcW w:w="2830" w:type="dxa"/>
          </w:tcPr>
          <w:p w14:paraId="40DB7FA8" w14:textId="05145D2E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(206, 106)</w:t>
            </w:r>
          </w:p>
        </w:tc>
      </w:tr>
      <w:tr w:rsidR="00796E77" w14:paraId="2229DC2D" w14:textId="77777777" w:rsidTr="00C71299">
        <w:tc>
          <w:tcPr>
            <w:tcW w:w="2547" w:type="dxa"/>
          </w:tcPr>
          <w:p w14:paraId="5E1494AE" w14:textId="71BABBB1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91667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Other ambulatory care</w:t>
            </w:r>
          </w:p>
        </w:tc>
        <w:tc>
          <w:tcPr>
            <w:tcW w:w="1843" w:type="dxa"/>
          </w:tcPr>
          <w:p w14:paraId="5698C9ED" w14:textId="611182A9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1 708 €</w:t>
            </w:r>
          </w:p>
        </w:tc>
        <w:tc>
          <w:tcPr>
            <w:tcW w:w="1842" w:type="dxa"/>
          </w:tcPr>
          <w:p w14:paraId="3E876675" w14:textId="33FEE54C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138 €</w:t>
            </w:r>
          </w:p>
        </w:tc>
        <w:tc>
          <w:tcPr>
            <w:tcW w:w="2830" w:type="dxa"/>
          </w:tcPr>
          <w:p w14:paraId="6B727CC7" w14:textId="330CC91E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(152, 106)</w:t>
            </w:r>
          </w:p>
        </w:tc>
      </w:tr>
      <w:tr w:rsidR="00796E77" w14:paraId="73525199" w14:textId="77777777" w:rsidTr="00C71299">
        <w:tc>
          <w:tcPr>
            <w:tcW w:w="2547" w:type="dxa"/>
          </w:tcPr>
          <w:p w14:paraId="72741A7A" w14:textId="23BF6E2A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91667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Inpatient care</w:t>
            </w:r>
          </w:p>
        </w:tc>
        <w:tc>
          <w:tcPr>
            <w:tcW w:w="1843" w:type="dxa"/>
          </w:tcPr>
          <w:p w14:paraId="6B28ADDC" w14:textId="77CE6907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3 582 €</w:t>
            </w:r>
          </w:p>
        </w:tc>
        <w:tc>
          <w:tcPr>
            <w:tcW w:w="1842" w:type="dxa"/>
          </w:tcPr>
          <w:p w14:paraId="12A2AE5C" w14:textId="12387DB7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648 €</w:t>
            </w:r>
          </w:p>
        </w:tc>
        <w:tc>
          <w:tcPr>
            <w:tcW w:w="2830" w:type="dxa"/>
          </w:tcPr>
          <w:p w14:paraId="0607C662" w14:textId="1A1801D6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(31, 1111)</w:t>
            </w:r>
          </w:p>
        </w:tc>
      </w:tr>
      <w:tr w:rsidR="00796E77" w14:paraId="7E0B592A" w14:textId="77777777" w:rsidTr="00C71299">
        <w:tc>
          <w:tcPr>
            <w:tcW w:w="2547" w:type="dxa"/>
          </w:tcPr>
          <w:p w14:paraId="235BF47F" w14:textId="01F1F44A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Municipal services</w:t>
            </w:r>
          </w:p>
        </w:tc>
        <w:tc>
          <w:tcPr>
            <w:tcW w:w="1843" w:type="dxa"/>
          </w:tcPr>
          <w:p w14:paraId="19BF6263" w14:textId="287D16FF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10 146 €</w:t>
            </w:r>
          </w:p>
        </w:tc>
        <w:tc>
          <w:tcPr>
            <w:tcW w:w="1842" w:type="dxa"/>
          </w:tcPr>
          <w:p w14:paraId="5E2E36EC" w14:textId="237D6462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1 644 €</w:t>
            </w:r>
          </w:p>
        </w:tc>
        <w:tc>
          <w:tcPr>
            <w:tcW w:w="2830" w:type="dxa"/>
          </w:tcPr>
          <w:p w14:paraId="2DFDD619" w14:textId="3DAE5A53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</w:t>
            </w:r>
            <w:r w:rsidR="00C7129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(38, 2524)</w:t>
            </w:r>
          </w:p>
        </w:tc>
      </w:tr>
      <w:tr w:rsidR="00796E77" w14:paraId="77D4D6C5" w14:textId="77777777" w:rsidTr="00C71299">
        <w:tc>
          <w:tcPr>
            <w:tcW w:w="2547" w:type="dxa"/>
          </w:tcPr>
          <w:p w14:paraId="0223868B" w14:textId="77777777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</w:tcPr>
          <w:p w14:paraId="27ED469C" w14:textId="77777777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54BA866C" w14:textId="77777777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12C3AD1C" w14:textId="77777777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796E77" w14:paraId="42448213" w14:textId="77777777" w:rsidTr="00C71299">
        <w:tc>
          <w:tcPr>
            <w:tcW w:w="2547" w:type="dxa"/>
          </w:tcPr>
          <w:p w14:paraId="25675D2F" w14:textId="60E51B08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Mortality</w:t>
            </w:r>
          </w:p>
        </w:tc>
        <w:tc>
          <w:tcPr>
            <w:tcW w:w="1843" w:type="dxa"/>
          </w:tcPr>
          <w:p w14:paraId="096E8AC7" w14:textId="11C5D625" w:rsidR="00796E77" w:rsidRPr="00796E77" w:rsidRDefault="009430A9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0.08</w:t>
            </w:r>
          </w:p>
        </w:tc>
        <w:tc>
          <w:tcPr>
            <w:tcW w:w="1842" w:type="dxa"/>
          </w:tcPr>
          <w:p w14:paraId="70CE9855" w14:textId="7BC836A8" w:rsidR="00796E77" w:rsidRPr="00796E77" w:rsidRDefault="009430A9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0.02</w:t>
            </w:r>
          </w:p>
        </w:tc>
        <w:tc>
          <w:tcPr>
            <w:tcW w:w="2830" w:type="dxa"/>
          </w:tcPr>
          <w:p w14:paraId="40B6DCE1" w14:textId="69C801A9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</w:t>
            </w:r>
            <w:r w:rsidR="009430A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 (15, 169)</w:t>
            </w:r>
          </w:p>
        </w:tc>
      </w:tr>
      <w:tr w:rsidR="00C91F98" w14:paraId="17238EAA" w14:textId="77777777" w:rsidTr="00C71299">
        <w:tc>
          <w:tcPr>
            <w:tcW w:w="2547" w:type="dxa"/>
          </w:tcPr>
          <w:p w14:paraId="0C256241" w14:textId="77777777" w:rsidR="00C91F98" w:rsidRPr="00796E77" w:rsidRDefault="00C91F98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</w:tcPr>
          <w:p w14:paraId="1137009A" w14:textId="77777777" w:rsidR="00C91F98" w:rsidRPr="00796E77" w:rsidRDefault="00C91F98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061ED523" w14:textId="77777777" w:rsidR="00C91F98" w:rsidRPr="00796E77" w:rsidRDefault="00C91F98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67E3543D" w14:textId="77777777" w:rsidR="00C91F98" w:rsidRPr="00796E77" w:rsidRDefault="00C91F98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796E77" w14:paraId="23FF7278" w14:textId="77777777" w:rsidTr="00C71299">
        <w:tc>
          <w:tcPr>
            <w:tcW w:w="2547" w:type="dxa"/>
          </w:tcPr>
          <w:p w14:paraId="698C9568" w14:textId="5ACFB7DE" w:rsidR="00796E77" w:rsidRPr="00C91F98" w:rsidRDefault="00C91F98" w:rsidP="00796E77">
            <w:pPr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</w:pPr>
            <w:r w:rsidRPr="00C91F98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  <w:t>QALY-weights</w:t>
            </w:r>
          </w:p>
        </w:tc>
        <w:tc>
          <w:tcPr>
            <w:tcW w:w="1843" w:type="dxa"/>
          </w:tcPr>
          <w:p w14:paraId="514C94F7" w14:textId="77777777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01FBADF0" w14:textId="77777777" w:rsidR="00796E77" w:rsidRPr="00796E77" w:rsidRDefault="00796E77" w:rsidP="00796E77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2F4C7A60" w14:textId="77777777" w:rsidR="00796E77" w:rsidRPr="00796E77" w:rsidRDefault="00796E77" w:rsidP="00796E7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C91F98" w14:paraId="40DCCBE3" w14:textId="77777777" w:rsidTr="00C71299">
        <w:tc>
          <w:tcPr>
            <w:tcW w:w="2547" w:type="dxa"/>
          </w:tcPr>
          <w:p w14:paraId="574F53C2" w14:textId="68AE853B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Baseline</w:t>
            </w:r>
          </w:p>
        </w:tc>
        <w:tc>
          <w:tcPr>
            <w:tcW w:w="1843" w:type="dxa"/>
          </w:tcPr>
          <w:p w14:paraId="194D162A" w14:textId="0A3A2485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0.62</w:t>
            </w:r>
          </w:p>
        </w:tc>
        <w:tc>
          <w:tcPr>
            <w:tcW w:w="1842" w:type="dxa"/>
          </w:tcPr>
          <w:p w14:paraId="3D58172F" w14:textId="7397ADFF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0.02</w:t>
            </w:r>
          </w:p>
        </w:tc>
        <w:tc>
          <w:tcPr>
            <w:tcW w:w="2830" w:type="dxa"/>
          </w:tcPr>
          <w:p w14:paraId="777E3C50" w14:textId="75956E4A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 (272, 169</w:t>
            </w:r>
            <w:r w:rsidR="006F2C5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)</w:t>
            </w:r>
          </w:p>
        </w:tc>
      </w:tr>
      <w:tr w:rsidR="00C91F98" w14:paraId="58074804" w14:textId="77777777" w:rsidTr="00C71299">
        <w:tc>
          <w:tcPr>
            <w:tcW w:w="2547" w:type="dxa"/>
          </w:tcPr>
          <w:p w14:paraId="609A056A" w14:textId="660323C8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12 month follow-up</w:t>
            </w:r>
          </w:p>
        </w:tc>
        <w:tc>
          <w:tcPr>
            <w:tcW w:w="1843" w:type="dxa"/>
          </w:tcPr>
          <w:p w14:paraId="0FCE9FB5" w14:textId="21808B39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0.62</w:t>
            </w:r>
          </w:p>
        </w:tc>
        <w:tc>
          <w:tcPr>
            <w:tcW w:w="1842" w:type="dxa"/>
          </w:tcPr>
          <w:p w14:paraId="04D1A153" w14:textId="5B69BBD5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0.03</w:t>
            </w:r>
          </w:p>
        </w:tc>
        <w:tc>
          <w:tcPr>
            <w:tcW w:w="2830" w:type="dxa"/>
          </w:tcPr>
          <w:p w14:paraId="792693F6" w14:textId="0257C814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 (228, 140)</w:t>
            </w:r>
          </w:p>
        </w:tc>
      </w:tr>
      <w:tr w:rsidR="00C91F98" w14:paraId="6DE3D910" w14:textId="77777777" w:rsidTr="00C71299">
        <w:tc>
          <w:tcPr>
            <w:tcW w:w="2547" w:type="dxa"/>
          </w:tcPr>
          <w:p w14:paraId="64D3A11C" w14:textId="7CA357BE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24 month follow-up</w:t>
            </w:r>
          </w:p>
        </w:tc>
        <w:tc>
          <w:tcPr>
            <w:tcW w:w="1843" w:type="dxa"/>
          </w:tcPr>
          <w:p w14:paraId="25D8A9AE" w14:textId="216A01DF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0.60</w:t>
            </w:r>
          </w:p>
        </w:tc>
        <w:tc>
          <w:tcPr>
            <w:tcW w:w="1842" w:type="dxa"/>
          </w:tcPr>
          <w:p w14:paraId="03F25161" w14:textId="7AD69D80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0.03</w:t>
            </w:r>
          </w:p>
        </w:tc>
        <w:tc>
          <w:tcPr>
            <w:tcW w:w="2830" w:type="dxa"/>
          </w:tcPr>
          <w:p w14:paraId="0228AF90" w14:textId="1665415F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 (227, 151)</w:t>
            </w:r>
          </w:p>
        </w:tc>
      </w:tr>
      <w:tr w:rsidR="00C91F98" w14:paraId="0544B573" w14:textId="77777777" w:rsidTr="00C71299">
        <w:tc>
          <w:tcPr>
            <w:tcW w:w="2547" w:type="dxa"/>
          </w:tcPr>
          <w:p w14:paraId="3C4DBC63" w14:textId="77777777" w:rsidR="00C91F98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</w:tcPr>
          <w:p w14:paraId="0D410732" w14:textId="77777777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12BDCBDA" w14:textId="77777777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16423700" w14:textId="77777777" w:rsidR="00C91F98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C91F98" w14:paraId="5C922384" w14:textId="77777777" w:rsidTr="00796E77">
        <w:tc>
          <w:tcPr>
            <w:tcW w:w="9062" w:type="dxa"/>
            <w:gridSpan w:val="4"/>
          </w:tcPr>
          <w:p w14:paraId="4586B9C9" w14:textId="1696B4B1" w:rsidR="00C91F98" w:rsidRPr="00796E77" w:rsidRDefault="00C91F98" w:rsidP="00C91F98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sv-SE"/>
              </w:rPr>
              <w:t>Usual care</w:t>
            </w:r>
          </w:p>
        </w:tc>
      </w:tr>
      <w:tr w:rsidR="00C91F98" w14:paraId="54BC47DF" w14:textId="77777777" w:rsidTr="00C71299">
        <w:tc>
          <w:tcPr>
            <w:tcW w:w="2547" w:type="dxa"/>
          </w:tcPr>
          <w:p w14:paraId="7E45DC25" w14:textId="07F5E7CA" w:rsidR="00C91F98" w:rsidRPr="00796E77" w:rsidRDefault="00C91F98" w:rsidP="00C91F98">
            <w:pPr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  <w:t>Year 1</w:t>
            </w:r>
          </w:p>
        </w:tc>
        <w:tc>
          <w:tcPr>
            <w:tcW w:w="1843" w:type="dxa"/>
          </w:tcPr>
          <w:p w14:paraId="591B63C9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0AD0090A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69F77123" w14:textId="7777777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C91F98" w14:paraId="22E14FEC" w14:textId="77777777" w:rsidTr="00C71299">
        <w:tc>
          <w:tcPr>
            <w:tcW w:w="2547" w:type="dxa"/>
          </w:tcPr>
          <w:p w14:paraId="0BFAEC38" w14:textId="7FC9F085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Primary Health care</w:t>
            </w:r>
          </w:p>
        </w:tc>
        <w:tc>
          <w:tcPr>
            <w:tcW w:w="1843" w:type="dxa"/>
          </w:tcPr>
          <w:p w14:paraId="3444D445" w14:textId="5CF80D29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1 957 €</w:t>
            </w:r>
          </w:p>
        </w:tc>
        <w:tc>
          <w:tcPr>
            <w:tcW w:w="1842" w:type="dxa"/>
          </w:tcPr>
          <w:p w14:paraId="4F90302F" w14:textId="40EFFAD4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209 €</w:t>
            </w:r>
          </w:p>
        </w:tc>
        <w:tc>
          <w:tcPr>
            <w:tcW w:w="2830" w:type="dxa"/>
          </w:tcPr>
          <w:p w14:paraId="69956219" w14:textId="0471B9E5" w:rsidR="00C91F98" w:rsidRPr="00796E77" w:rsidRDefault="00C91F98" w:rsidP="00C91F98">
            <w:pPr>
              <w:tabs>
                <w:tab w:val="center" w:pos="1307"/>
              </w:tabs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(88, 212)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ab/>
            </w:r>
          </w:p>
        </w:tc>
      </w:tr>
      <w:tr w:rsidR="00C91F98" w14:paraId="74B57559" w14:textId="77777777" w:rsidTr="00C71299">
        <w:tc>
          <w:tcPr>
            <w:tcW w:w="2547" w:type="dxa"/>
          </w:tcPr>
          <w:p w14:paraId="14CE50DF" w14:textId="011D0ABE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Ambulatory geriatric care</w:t>
            </w:r>
          </w:p>
        </w:tc>
        <w:tc>
          <w:tcPr>
            <w:tcW w:w="1843" w:type="dxa"/>
          </w:tcPr>
          <w:p w14:paraId="4A012C04" w14:textId="3E08D89E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1842" w:type="dxa"/>
          </w:tcPr>
          <w:p w14:paraId="2A02675A" w14:textId="6741247E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830" w:type="dxa"/>
          </w:tcPr>
          <w:p w14:paraId="3943AFA1" w14:textId="30C45922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 xml:space="preserve">Gamma </w:t>
            </w:r>
          </w:p>
        </w:tc>
      </w:tr>
      <w:tr w:rsidR="00C91F98" w14:paraId="1BFC1CA2" w14:textId="77777777" w:rsidTr="00C71299">
        <w:tc>
          <w:tcPr>
            <w:tcW w:w="2547" w:type="dxa"/>
          </w:tcPr>
          <w:p w14:paraId="043C8E6F" w14:textId="5231C834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91667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Other ambulatory care</w:t>
            </w:r>
          </w:p>
        </w:tc>
        <w:tc>
          <w:tcPr>
            <w:tcW w:w="1843" w:type="dxa"/>
          </w:tcPr>
          <w:p w14:paraId="2230FCD0" w14:textId="171E4D76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2 372 €</w:t>
            </w:r>
          </w:p>
        </w:tc>
        <w:tc>
          <w:tcPr>
            <w:tcW w:w="1842" w:type="dxa"/>
          </w:tcPr>
          <w:p w14:paraId="4C5F6BC9" w14:textId="4A41374C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336 €</w:t>
            </w:r>
          </w:p>
        </w:tc>
        <w:tc>
          <w:tcPr>
            <w:tcW w:w="2830" w:type="dxa"/>
          </w:tcPr>
          <w:p w14:paraId="03B6EF04" w14:textId="18373B24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(50, 451)</w:t>
            </w:r>
          </w:p>
        </w:tc>
      </w:tr>
      <w:tr w:rsidR="00C91F98" w14:paraId="312216F8" w14:textId="77777777" w:rsidTr="00C71299">
        <w:tc>
          <w:tcPr>
            <w:tcW w:w="2547" w:type="dxa"/>
          </w:tcPr>
          <w:p w14:paraId="1D68CC76" w14:textId="5ADA6109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91667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Inpatient care</w:t>
            </w:r>
          </w:p>
        </w:tc>
        <w:tc>
          <w:tcPr>
            <w:tcW w:w="1843" w:type="dxa"/>
          </w:tcPr>
          <w:p w14:paraId="58787FB1" w14:textId="72C89451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5 337 €</w:t>
            </w:r>
          </w:p>
        </w:tc>
        <w:tc>
          <w:tcPr>
            <w:tcW w:w="1842" w:type="dxa"/>
          </w:tcPr>
          <w:p w14:paraId="21C78551" w14:textId="068D33AE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698 €</w:t>
            </w:r>
          </w:p>
        </w:tc>
        <w:tc>
          <w:tcPr>
            <w:tcW w:w="2830" w:type="dxa"/>
          </w:tcPr>
          <w:p w14:paraId="7E5229FF" w14:textId="335A7EDA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(58, 865)</w:t>
            </w:r>
          </w:p>
        </w:tc>
      </w:tr>
      <w:tr w:rsidR="00C91F98" w14:paraId="7ABEB88F" w14:textId="77777777" w:rsidTr="00C71299">
        <w:tc>
          <w:tcPr>
            <w:tcW w:w="2547" w:type="dxa"/>
          </w:tcPr>
          <w:p w14:paraId="155CE402" w14:textId="06C97C0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Municipal services</w:t>
            </w:r>
          </w:p>
        </w:tc>
        <w:tc>
          <w:tcPr>
            <w:tcW w:w="1843" w:type="dxa"/>
          </w:tcPr>
          <w:p w14:paraId="27A3E2F7" w14:textId="4C226C43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7 335 €</w:t>
            </w:r>
          </w:p>
        </w:tc>
        <w:tc>
          <w:tcPr>
            <w:tcW w:w="1842" w:type="dxa"/>
          </w:tcPr>
          <w:p w14:paraId="5546E716" w14:textId="2905B78B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970 €</w:t>
            </w:r>
          </w:p>
        </w:tc>
        <w:tc>
          <w:tcPr>
            <w:tcW w:w="2830" w:type="dxa"/>
          </w:tcPr>
          <w:p w14:paraId="1C1C0A2A" w14:textId="11B959E9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(57, 1214)</w:t>
            </w:r>
          </w:p>
        </w:tc>
      </w:tr>
      <w:tr w:rsidR="00C91F98" w14:paraId="6C220B9C" w14:textId="77777777" w:rsidTr="00C71299">
        <w:tc>
          <w:tcPr>
            <w:tcW w:w="2547" w:type="dxa"/>
          </w:tcPr>
          <w:p w14:paraId="01BB34D9" w14:textId="7777777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</w:tcPr>
          <w:p w14:paraId="05E715B8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0D38DFC2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59ECCA84" w14:textId="7777777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C91F98" w14:paraId="68FC6573" w14:textId="77777777" w:rsidTr="00C71299">
        <w:tc>
          <w:tcPr>
            <w:tcW w:w="2547" w:type="dxa"/>
          </w:tcPr>
          <w:p w14:paraId="3C412D7F" w14:textId="1062037A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Mortality</w:t>
            </w:r>
          </w:p>
        </w:tc>
        <w:tc>
          <w:tcPr>
            <w:tcW w:w="1843" w:type="dxa"/>
          </w:tcPr>
          <w:p w14:paraId="2B7B246D" w14:textId="297B0BA9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0.14</w:t>
            </w:r>
          </w:p>
        </w:tc>
        <w:tc>
          <w:tcPr>
            <w:tcW w:w="1842" w:type="dxa"/>
          </w:tcPr>
          <w:p w14:paraId="2E31216C" w14:textId="2A8CA3E8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0.03</w:t>
            </w:r>
          </w:p>
        </w:tc>
        <w:tc>
          <w:tcPr>
            <w:tcW w:w="2830" w:type="dxa"/>
          </w:tcPr>
          <w:p w14:paraId="2DDBEC13" w14:textId="2E40D82E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 (24, 150)</w:t>
            </w:r>
          </w:p>
        </w:tc>
      </w:tr>
      <w:tr w:rsidR="00C91F98" w14:paraId="61FD9A81" w14:textId="77777777" w:rsidTr="00C71299">
        <w:tc>
          <w:tcPr>
            <w:tcW w:w="2547" w:type="dxa"/>
          </w:tcPr>
          <w:p w14:paraId="35CCD0BC" w14:textId="7777777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</w:tcPr>
          <w:p w14:paraId="0D707B9D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2F42FC2B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37D0D80F" w14:textId="7777777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C91F98" w14:paraId="0812E61F" w14:textId="77777777" w:rsidTr="00C71299">
        <w:tc>
          <w:tcPr>
            <w:tcW w:w="2547" w:type="dxa"/>
          </w:tcPr>
          <w:p w14:paraId="3ACB6A7A" w14:textId="3BD166E6" w:rsidR="00C91F98" w:rsidRPr="00796E77" w:rsidRDefault="00C91F98" w:rsidP="00C91F98">
            <w:pPr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  <w:t>Year 2</w:t>
            </w:r>
          </w:p>
        </w:tc>
        <w:tc>
          <w:tcPr>
            <w:tcW w:w="1843" w:type="dxa"/>
          </w:tcPr>
          <w:p w14:paraId="28C09FE4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00C2BD68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49E8EE83" w14:textId="7777777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C91F98" w14:paraId="37D142BE" w14:textId="77777777" w:rsidTr="00C71299">
        <w:tc>
          <w:tcPr>
            <w:tcW w:w="2547" w:type="dxa"/>
          </w:tcPr>
          <w:p w14:paraId="08C5806E" w14:textId="6B655C05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Primary Health care</w:t>
            </w:r>
          </w:p>
        </w:tc>
        <w:tc>
          <w:tcPr>
            <w:tcW w:w="1843" w:type="dxa"/>
          </w:tcPr>
          <w:p w14:paraId="1BDCA15A" w14:textId="1FE21526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1 670 €</w:t>
            </w:r>
          </w:p>
        </w:tc>
        <w:tc>
          <w:tcPr>
            <w:tcW w:w="1842" w:type="dxa"/>
          </w:tcPr>
          <w:p w14:paraId="7A26C5AB" w14:textId="6B3AAB80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195 €</w:t>
            </w:r>
          </w:p>
        </w:tc>
        <w:tc>
          <w:tcPr>
            <w:tcW w:w="2830" w:type="dxa"/>
          </w:tcPr>
          <w:p w14:paraId="3C7A385E" w14:textId="6FC3ED35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(73, 216)</w:t>
            </w:r>
          </w:p>
        </w:tc>
      </w:tr>
      <w:tr w:rsidR="00C91F98" w14:paraId="49A68A16" w14:textId="77777777" w:rsidTr="00C71299">
        <w:tc>
          <w:tcPr>
            <w:tcW w:w="2547" w:type="dxa"/>
          </w:tcPr>
          <w:p w14:paraId="083F84AC" w14:textId="2A881D2F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Ambulatory geriatric care</w:t>
            </w:r>
          </w:p>
        </w:tc>
        <w:tc>
          <w:tcPr>
            <w:tcW w:w="1843" w:type="dxa"/>
          </w:tcPr>
          <w:p w14:paraId="07D16559" w14:textId="4AF8509C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0.3 €</w:t>
            </w:r>
          </w:p>
        </w:tc>
        <w:tc>
          <w:tcPr>
            <w:tcW w:w="1842" w:type="dxa"/>
          </w:tcPr>
          <w:p w14:paraId="0729B6EA" w14:textId="50AB9EC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0.2 €</w:t>
            </w:r>
          </w:p>
        </w:tc>
        <w:tc>
          <w:tcPr>
            <w:tcW w:w="2830" w:type="dxa"/>
          </w:tcPr>
          <w:p w14:paraId="665AEF98" w14:textId="4F25E99C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(1, 2)</w:t>
            </w:r>
          </w:p>
        </w:tc>
      </w:tr>
      <w:tr w:rsidR="00C91F98" w14:paraId="20534176" w14:textId="77777777" w:rsidTr="00C71299">
        <w:tc>
          <w:tcPr>
            <w:tcW w:w="2547" w:type="dxa"/>
          </w:tcPr>
          <w:p w14:paraId="150C4F1A" w14:textId="42D4672B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91667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Other ambulatory care</w:t>
            </w:r>
          </w:p>
        </w:tc>
        <w:tc>
          <w:tcPr>
            <w:tcW w:w="1843" w:type="dxa"/>
          </w:tcPr>
          <w:p w14:paraId="14435B82" w14:textId="3828B28C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1876 €</w:t>
            </w:r>
          </w:p>
        </w:tc>
        <w:tc>
          <w:tcPr>
            <w:tcW w:w="1842" w:type="dxa"/>
          </w:tcPr>
          <w:p w14:paraId="771A5381" w14:textId="3D37403D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207 €</w:t>
            </w:r>
          </w:p>
        </w:tc>
        <w:tc>
          <w:tcPr>
            <w:tcW w:w="2830" w:type="dxa"/>
          </w:tcPr>
          <w:p w14:paraId="48026E6E" w14:textId="00B4F410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(82, 2179</w:t>
            </w:r>
            <w:r w:rsidR="006F2C5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)</w:t>
            </w:r>
          </w:p>
        </w:tc>
      </w:tr>
      <w:tr w:rsidR="00C91F98" w14:paraId="5996A287" w14:textId="77777777" w:rsidTr="00C71299">
        <w:tc>
          <w:tcPr>
            <w:tcW w:w="2547" w:type="dxa"/>
          </w:tcPr>
          <w:p w14:paraId="01599CB5" w14:textId="6986C751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91667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Inpatient care</w:t>
            </w:r>
          </w:p>
        </w:tc>
        <w:tc>
          <w:tcPr>
            <w:tcW w:w="1843" w:type="dxa"/>
          </w:tcPr>
          <w:p w14:paraId="65DD69F3" w14:textId="6BBD9C6A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4 110 €</w:t>
            </w:r>
          </w:p>
        </w:tc>
        <w:tc>
          <w:tcPr>
            <w:tcW w:w="1842" w:type="dxa"/>
          </w:tcPr>
          <w:p w14:paraId="7A3670D5" w14:textId="4DCD1549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546 €</w:t>
            </w:r>
          </w:p>
        </w:tc>
        <w:tc>
          <w:tcPr>
            <w:tcW w:w="2830" w:type="dxa"/>
          </w:tcPr>
          <w:p w14:paraId="159393B7" w14:textId="3903C1EF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(57, 6879</w:t>
            </w:r>
            <w:r w:rsidR="006F2C5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)</w:t>
            </w:r>
          </w:p>
        </w:tc>
      </w:tr>
      <w:tr w:rsidR="00C91F98" w14:paraId="5ECB77B0" w14:textId="77777777" w:rsidTr="00C71299">
        <w:tc>
          <w:tcPr>
            <w:tcW w:w="2547" w:type="dxa"/>
          </w:tcPr>
          <w:p w14:paraId="02E60716" w14:textId="72996170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lastRenderedPageBreak/>
              <w:t>Municipal services</w:t>
            </w:r>
          </w:p>
        </w:tc>
        <w:tc>
          <w:tcPr>
            <w:tcW w:w="1843" w:type="dxa"/>
          </w:tcPr>
          <w:p w14:paraId="4DAA9C00" w14:textId="348BA151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10 698 €</w:t>
            </w:r>
          </w:p>
        </w:tc>
        <w:tc>
          <w:tcPr>
            <w:tcW w:w="1842" w:type="dxa"/>
          </w:tcPr>
          <w:p w14:paraId="252F9102" w14:textId="27A2B32B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1 419 €</w:t>
            </w:r>
          </w:p>
        </w:tc>
        <w:tc>
          <w:tcPr>
            <w:tcW w:w="2830" w:type="dxa"/>
          </w:tcPr>
          <w:p w14:paraId="2CDABE83" w14:textId="3578DC1D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Gamma (57,1781)</w:t>
            </w:r>
          </w:p>
        </w:tc>
      </w:tr>
      <w:tr w:rsidR="00C91F98" w14:paraId="35A59601" w14:textId="77777777" w:rsidTr="00C71299">
        <w:tc>
          <w:tcPr>
            <w:tcW w:w="2547" w:type="dxa"/>
          </w:tcPr>
          <w:p w14:paraId="3EBB7B72" w14:textId="7777777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</w:tcPr>
          <w:p w14:paraId="397B9C75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562DF863" w14:textId="77777777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3C9EDD89" w14:textId="7777777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C91F98" w14:paraId="20A2AF31" w14:textId="77777777" w:rsidTr="00C71299">
        <w:tc>
          <w:tcPr>
            <w:tcW w:w="2547" w:type="dxa"/>
          </w:tcPr>
          <w:p w14:paraId="11AFECD6" w14:textId="1C27A7F2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796E7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Mortality</w:t>
            </w:r>
          </w:p>
        </w:tc>
        <w:tc>
          <w:tcPr>
            <w:tcW w:w="1843" w:type="dxa"/>
          </w:tcPr>
          <w:p w14:paraId="251D9201" w14:textId="4217A41D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0.15</w:t>
            </w:r>
          </w:p>
        </w:tc>
        <w:tc>
          <w:tcPr>
            <w:tcW w:w="1842" w:type="dxa"/>
          </w:tcPr>
          <w:p w14:paraId="7A76F60B" w14:textId="4C27C333" w:rsidR="00C91F98" w:rsidRPr="00796E77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0.03</w:t>
            </w:r>
          </w:p>
        </w:tc>
        <w:tc>
          <w:tcPr>
            <w:tcW w:w="2830" w:type="dxa"/>
          </w:tcPr>
          <w:p w14:paraId="40CA015A" w14:textId="0B472856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 (23, 127)</w:t>
            </w:r>
          </w:p>
        </w:tc>
      </w:tr>
      <w:tr w:rsidR="00C91F98" w14:paraId="120845BE" w14:textId="77777777" w:rsidTr="00C71299">
        <w:tc>
          <w:tcPr>
            <w:tcW w:w="2547" w:type="dxa"/>
          </w:tcPr>
          <w:p w14:paraId="23721A41" w14:textId="77777777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3" w:type="dxa"/>
          </w:tcPr>
          <w:p w14:paraId="6B6607A7" w14:textId="77777777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44407BEB" w14:textId="77777777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78DEAFB9" w14:textId="77777777" w:rsidR="00C91F98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C91F98" w14:paraId="38CF7BC9" w14:textId="77777777" w:rsidTr="00C71299">
        <w:tc>
          <w:tcPr>
            <w:tcW w:w="2547" w:type="dxa"/>
          </w:tcPr>
          <w:p w14:paraId="5CA153B5" w14:textId="326A1989" w:rsidR="00C91F98" w:rsidRPr="00796E77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 w:rsidRPr="00C91F98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sv-SE"/>
              </w:rPr>
              <w:t>QALY-weights</w:t>
            </w:r>
          </w:p>
        </w:tc>
        <w:tc>
          <w:tcPr>
            <w:tcW w:w="1843" w:type="dxa"/>
          </w:tcPr>
          <w:p w14:paraId="3415314E" w14:textId="77777777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842" w:type="dxa"/>
          </w:tcPr>
          <w:p w14:paraId="2C113C0D" w14:textId="77777777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830" w:type="dxa"/>
          </w:tcPr>
          <w:p w14:paraId="2C3999D6" w14:textId="77777777" w:rsidR="00C91F98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C91F98" w14:paraId="13ED571B" w14:textId="77777777" w:rsidTr="00C71299">
        <w:tc>
          <w:tcPr>
            <w:tcW w:w="2547" w:type="dxa"/>
          </w:tcPr>
          <w:p w14:paraId="5BAF3AD4" w14:textId="2AA71088" w:rsidR="00C91F98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Baseline</w:t>
            </w:r>
          </w:p>
        </w:tc>
        <w:tc>
          <w:tcPr>
            <w:tcW w:w="1843" w:type="dxa"/>
          </w:tcPr>
          <w:p w14:paraId="6C70CE39" w14:textId="4077F16C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0.63</w:t>
            </w:r>
          </w:p>
        </w:tc>
        <w:tc>
          <w:tcPr>
            <w:tcW w:w="1842" w:type="dxa"/>
          </w:tcPr>
          <w:p w14:paraId="3EA46089" w14:textId="47761A33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0.02</w:t>
            </w:r>
          </w:p>
        </w:tc>
        <w:tc>
          <w:tcPr>
            <w:tcW w:w="2830" w:type="dxa"/>
          </w:tcPr>
          <w:p w14:paraId="43183D1D" w14:textId="3868E58C" w:rsidR="00C91F98" w:rsidRPr="00D15006" w:rsidRDefault="00C91F98" w:rsidP="00C91F98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 (268, 1609</w:t>
            </w:r>
            <w:r w:rsidR="00A21E3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)</w:t>
            </w:r>
          </w:p>
        </w:tc>
      </w:tr>
      <w:tr w:rsidR="00C91F98" w14:paraId="7BAF2736" w14:textId="77777777" w:rsidTr="00C71299">
        <w:tc>
          <w:tcPr>
            <w:tcW w:w="2547" w:type="dxa"/>
          </w:tcPr>
          <w:p w14:paraId="13336AEC" w14:textId="6631FF08" w:rsidR="00C91F98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12 month follow-up</w:t>
            </w:r>
          </w:p>
        </w:tc>
        <w:tc>
          <w:tcPr>
            <w:tcW w:w="1843" w:type="dxa"/>
          </w:tcPr>
          <w:p w14:paraId="3699977B" w14:textId="598B405E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0.64</w:t>
            </w:r>
          </w:p>
        </w:tc>
        <w:tc>
          <w:tcPr>
            <w:tcW w:w="1842" w:type="dxa"/>
          </w:tcPr>
          <w:p w14:paraId="3D5528EB" w14:textId="6E6E8ADA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0.03</w:t>
            </w:r>
          </w:p>
        </w:tc>
        <w:tc>
          <w:tcPr>
            <w:tcW w:w="2830" w:type="dxa"/>
          </w:tcPr>
          <w:p w14:paraId="070F940B" w14:textId="017AA3CA" w:rsidR="00C91F98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 (208, 116)</w:t>
            </w:r>
          </w:p>
        </w:tc>
      </w:tr>
      <w:tr w:rsidR="00C91F98" w14:paraId="30A90B98" w14:textId="77777777" w:rsidTr="00C71299">
        <w:tc>
          <w:tcPr>
            <w:tcW w:w="2547" w:type="dxa"/>
          </w:tcPr>
          <w:p w14:paraId="44AAE873" w14:textId="602E9CC2" w:rsidR="00C91F98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24 month follow-up</w:t>
            </w:r>
          </w:p>
        </w:tc>
        <w:tc>
          <w:tcPr>
            <w:tcW w:w="1843" w:type="dxa"/>
          </w:tcPr>
          <w:p w14:paraId="6BA4621C" w14:textId="76BE4F80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0.62</w:t>
            </w:r>
          </w:p>
        </w:tc>
        <w:tc>
          <w:tcPr>
            <w:tcW w:w="1842" w:type="dxa"/>
          </w:tcPr>
          <w:p w14:paraId="1C54C050" w14:textId="5FD19FC8" w:rsidR="00C91F98" w:rsidRDefault="00C91F98" w:rsidP="00C91F98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0.03</w:t>
            </w:r>
          </w:p>
        </w:tc>
        <w:tc>
          <w:tcPr>
            <w:tcW w:w="2830" w:type="dxa"/>
          </w:tcPr>
          <w:p w14:paraId="7A628584" w14:textId="100D340E" w:rsidR="00C91F98" w:rsidRDefault="00C91F98" w:rsidP="00C91F98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Beta (171, 103)</w:t>
            </w:r>
          </w:p>
        </w:tc>
      </w:tr>
    </w:tbl>
    <w:p w14:paraId="2C6B4DFC" w14:textId="77777777" w:rsidR="00916673" w:rsidRPr="00916673" w:rsidRDefault="00916673" w:rsidP="00916673">
      <w:pPr>
        <w:rPr>
          <w:lang w:val="en-US"/>
        </w:rPr>
      </w:pPr>
    </w:p>
    <w:p w14:paraId="3A3ED061" w14:textId="6592C850" w:rsidR="00FB2B2A" w:rsidRPr="00916673" w:rsidRDefault="000D1762" w:rsidP="0088785C">
      <w:pPr>
        <w:spacing w:line="480" w:lineRule="auto"/>
        <w:jc w:val="both"/>
        <w:rPr>
          <w:lang w:val="en-US"/>
        </w:rPr>
      </w:pPr>
      <w:r w:rsidRPr="000D1762">
        <w:rPr>
          <w:lang w:val="en-US"/>
        </w:rPr>
        <w:t xml:space="preserve">Assumptions required </w:t>
      </w:r>
      <w:proofErr w:type="gramStart"/>
      <w:r w:rsidRPr="000D1762">
        <w:rPr>
          <w:lang w:val="en-US"/>
        </w:rPr>
        <w:t>to extrapolate</w:t>
      </w:r>
      <w:proofErr w:type="gramEnd"/>
      <w:r w:rsidRPr="000D1762">
        <w:rPr>
          <w:lang w:val="en-US"/>
        </w:rPr>
        <w:t xml:space="preserve"> parameters beyond the two years of trial follow-up, including the treatment effect of CGA, and different discount </w:t>
      </w:r>
      <w:r w:rsidR="0088785C">
        <w:rPr>
          <w:lang w:val="en-US"/>
        </w:rPr>
        <w:t>rates, were examined with one-way sensitivity analyses</w:t>
      </w:r>
      <w:r w:rsidRPr="000D1762">
        <w:rPr>
          <w:lang w:val="en-US"/>
        </w:rPr>
        <w:t xml:space="preserve">. </w:t>
      </w:r>
      <w:r w:rsidRPr="00916673">
        <w:rPr>
          <w:lang w:val="en-US"/>
        </w:rPr>
        <w:t xml:space="preserve">For example, the assumption of a lifelong treatment effect </w:t>
      </w:r>
      <w:proofErr w:type="gramStart"/>
      <w:r w:rsidRPr="00916673">
        <w:rPr>
          <w:lang w:val="en-US"/>
        </w:rPr>
        <w:t>was investigated</w:t>
      </w:r>
      <w:proofErr w:type="gramEnd"/>
      <w:r w:rsidRPr="00916673">
        <w:rPr>
          <w:lang w:val="en-US"/>
        </w:rPr>
        <w:t xml:space="preserve"> by running the model without any differences between the treatment strategies after two years. </w:t>
      </w:r>
      <w:r w:rsidR="0088785C" w:rsidRPr="0088785C">
        <w:rPr>
          <w:lang w:val="en-US"/>
        </w:rPr>
        <w:t xml:space="preserve">The results of investigating alternative scenarios </w:t>
      </w:r>
      <w:proofErr w:type="gramStart"/>
      <w:r w:rsidR="0088785C" w:rsidRPr="0088785C">
        <w:rPr>
          <w:lang w:val="en-US"/>
        </w:rPr>
        <w:t>are reported</w:t>
      </w:r>
      <w:proofErr w:type="gramEnd"/>
      <w:r w:rsidR="0088785C" w:rsidRPr="0088785C">
        <w:rPr>
          <w:lang w:val="en-US"/>
        </w:rPr>
        <w:t xml:space="preserve"> in </w:t>
      </w:r>
      <w:r w:rsidR="0088785C" w:rsidRPr="00356D50">
        <w:rPr>
          <w:lang w:val="en-US"/>
        </w:rPr>
        <w:t xml:space="preserve">table </w:t>
      </w:r>
      <w:r w:rsidR="009807EF" w:rsidRPr="00356D50">
        <w:rPr>
          <w:lang w:val="en-US"/>
        </w:rPr>
        <w:t>S</w:t>
      </w:r>
      <w:r w:rsidR="0088785C" w:rsidRPr="00356D50">
        <w:rPr>
          <w:lang w:val="en-US"/>
        </w:rPr>
        <w:t>2.</w:t>
      </w:r>
      <w:r w:rsidR="0088785C" w:rsidRPr="0088785C">
        <w:rPr>
          <w:lang w:val="en-US"/>
        </w:rPr>
        <w:t xml:space="preserve"> The sensitivity analyses show small differences in estimated cost-effectiveness, ranging from approximately </w:t>
      </w:r>
      <w:r w:rsidR="0088785C">
        <w:rPr>
          <w:lang w:val="en-US"/>
        </w:rPr>
        <w:t>45</w:t>
      </w:r>
      <w:r w:rsidR="0088785C" w:rsidRPr="0088785C">
        <w:rPr>
          <w:lang w:val="en-US"/>
        </w:rPr>
        <w:t xml:space="preserve"> 000 to </w:t>
      </w:r>
      <w:r w:rsidR="0088785C">
        <w:rPr>
          <w:lang w:val="en-US"/>
        </w:rPr>
        <w:t>49</w:t>
      </w:r>
      <w:r w:rsidR="0088785C" w:rsidRPr="0088785C">
        <w:rPr>
          <w:lang w:val="en-US"/>
        </w:rPr>
        <w:t xml:space="preserve"> 000 </w:t>
      </w:r>
      <w:r w:rsidR="0088785C">
        <w:rPr>
          <w:lang w:val="en-US"/>
        </w:rPr>
        <w:t>EUR</w:t>
      </w:r>
      <w:r w:rsidR="0088785C" w:rsidRPr="0088785C">
        <w:rPr>
          <w:lang w:val="en-US"/>
        </w:rPr>
        <w:t>. In scenario five when the treatment effect was set to zero after two years, both the incremental costs and the incremental QALYs decrease, although the impact on cost-effectiveness is small.</w:t>
      </w:r>
    </w:p>
    <w:p w14:paraId="4C729B68" w14:textId="62AB5AEB" w:rsidR="0088785C" w:rsidRPr="0088785C" w:rsidRDefault="0088785C" w:rsidP="0088785C">
      <w:pPr>
        <w:spacing w:before="240" w:after="0" w:line="480" w:lineRule="auto"/>
        <w:rPr>
          <w:rFonts w:eastAsiaTheme="minorEastAsia"/>
          <w:sz w:val="20"/>
          <w:lang w:val="en-US"/>
        </w:rPr>
      </w:pPr>
      <w:r w:rsidRPr="0088785C">
        <w:rPr>
          <w:rFonts w:eastAsiaTheme="minorEastAsia"/>
          <w:b/>
          <w:sz w:val="20"/>
          <w:lang w:val="en-US"/>
        </w:rPr>
        <w:t xml:space="preserve">Table </w:t>
      </w:r>
      <w:r w:rsidR="009807EF">
        <w:rPr>
          <w:rFonts w:eastAsiaTheme="minorEastAsia"/>
          <w:b/>
          <w:sz w:val="20"/>
          <w:lang w:val="en-US"/>
        </w:rPr>
        <w:t>S</w:t>
      </w:r>
      <w:r w:rsidRPr="0088785C">
        <w:rPr>
          <w:rFonts w:eastAsiaTheme="minorEastAsia"/>
          <w:b/>
          <w:sz w:val="20"/>
          <w:lang w:val="en-US"/>
        </w:rPr>
        <w:fldChar w:fldCharType="begin"/>
      </w:r>
      <w:r w:rsidRPr="0088785C">
        <w:rPr>
          <w:rFonts w:eastAsiaTheme="minorEastAsia"/>
          <w:b/>
          <w:sz w:val="20"/>
          <w:lang w:val="en-US"/>
        </w:rPr>
        <w:instrText xml:space="preserve"> SEQ Tabell \* ARABIC </w:instrText>
      </w:r>
      <w:r w:rsidRPr="0088785C">
        <w:rPr>
          <w:rFonts w:eastAsiaTheme="minorEastAsia"/>
          <w:b/>
          <w:sz w:val="20"/>
          <w:lang w:val="en-US"/>
        </w:rPr>
        <w:fldChar w:fldCharType="separate"/>
      </w:r>
      <w:r>
        <w:rPr>
          <w:rFonts w:eastAsiaTheme="minorEastAsia"/>
          <w:b/>
          <w:noProof/>
          <w:sz w:val="20"/>
          <w:lang w:val="en-US"/>
        </w:rPr>
        <w:t>2</w:t>
      </w:r>
      <w:r w:rsidRPr="0088785C">
        <w:rPr>
          <w:rFonts w:eastAsiaTheme="minorEastAsia"/>
          <w:b/>
          <w:sz w:val="20"/>
          <w:lang w:val="en-US"/>
        </w:rPr>
        <w:fldChar w:fldCharType="end"/>
      </w:r>
      <w:r w:rsidRPr="0088785C">
        <w:rPr>
          <w:rFonts w:eastAsiaTheme="minorEastAsia"/>
          <w:b/>
          <w:sz w:val="20"/>
          <w:lang w:val="en-US"/>
        </w:rPr>
        <w:t>.</w:t>
      </w:r>
      <w:r w:rsidRPr="0088785C">
        <w:rPr>
          <w:rFonts w:eastAsiaTheme="minorEastAsia"/>
          <w:sz w:val="20"/>
          <w:lang w:val="en-US"/>
        </w:rPr>
        <w:t xml:space="preserve"> </w:t>
      </w:r>
      <w:r w:rsidRPr="00625593">
        <w:rPr>
          <w:rFonts w:eastAsiaTheme="minorEastAsia"/>
          <w:b/>
          <w:sz w:val="20"/>
          <w:lang w:val="en-US"/>
        </w:rPr>
        <w:t>Results of sensitivity analyses</w:t>
      </w:r>
      <w:r w:rsidR="00E65A65" w:rsidRPr="00625593">
        <w:rPr>
          <w:rFonts w:eastAsiaTheme="minorEastAsia"/>
          <w:b/>
          <w:sz w:val="20"/>
          <w:lang w:val="en-US"/>
        </w:rPr>
        <w:t>.</w:t>
      </w: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2205"/>
        <w:gridCol w:w="1365"/>
        <w:gridCol w:w="1389"/>
        <w:gridCol w:w="1334"/>
        <w:gridCol w:w="1420"/>
        <w:gridCol w:w="1349"/>
      </w:tblGrid>
      <w:tr w:rsidR="000D1762" w:rsidRPr="00891B42" w14:paraId="4E82245A" w14:textId="77777777" w:rsidTr="00AB32E2">
        <w:trPr>
          <w:trHeight w:val="231"/>
          <w:jc w:val="center"/>
        </w:trPr>
        <w:tc>
          <w:tcPr>
            <w:tcW w:w="5000" w:type="pct"/>
            <w:gridSpan w:val="6"/>
            <w:noWrap/>
          </w:tcPr>
          <w:p w14:paraId="16CCEBE3" w14:textId="77777777" w:rsidR="000D1762" w:rsidRPr="00891B42" w:rsidRDefault="000D1762" w:rsidP="00AB32E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sv-SE"/>
              </w:rPr>
              <w:t>Sensitivity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sv-SE"/>
              </w:rPr>
              <w:t>analyse</w:t>
            </w:r>
            <w:r w:rsidRPr="00891B4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sv-SE"/>
              </w:rPr>
              <w:t>s</w:t>
            </w:r>
            <w:proofErr w:type="spellEnd"/>
          </w:p>
        </w:tc>
      </w:tr>
      <w:tr w:rsidR="000D1762" w14:paraId="0072A7B1" w14:textId="77777777" w:rsidTr="0088785C">
        <w:trPr>
          <w:trHeight w:val="224"/>
          <w:jc w:val="center"/>
        </w:trPr>
        <w:tc>
          <w:tcPr>
            <w:tcW w:w="1205" w:type="pct"/>
            <w:noWrap/>
          </w:tcPr>
          <w:p w14:paraId="71B97612" w14:textId="77777777" w:rsidR="000D1762" w:rsidRPr="00075C9E" w:rsidRDefault="000D1762" w:rsidP="00AB32E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 xml:space="preserve">Scenario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evaluated</w:t>
            </w:r>
            <w:proofErr w:type="spellEnd"/>
          </w:p>
        </w:tc>
        <w:tc>
          <w:tcPr>
            <w:tcW w:w="755" w:type="pct"/>
          </w:tcPr>
          <w:p w14:paraId="72F38786" w14:textId="77777777" w:rsidR="000D1762" w:rsidRPr="006A6BCF" w:rsidRDefault="000D1762" w:rsidP="00AB32E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69" w:type="pct"/>
            <w:noWrap/>
          </w:tcPr>
          <w:p w14:paraId="03A30A9B" w14:textId="53AA18E9" w:rsidR="000D1762" w:rsidRDefault="00261813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CGA</w:t>
            </w:r>
          </w:p>
        </w:tc>
        <w:tc>
          <w:tcPr>
            <w:tcW w:w="737" w:type="pct"/>
          </w:tcPr>
          <w:p w14:paraId="20DA9794" w14:textId="185AF27A" w:rsidR="000D1762" w:rsidRDefault="00FC7019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Usual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2618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care</w:t>
            </w:r>
            <w:proofErr w:type="spellEnd"/>
          </w:p>
        </w:tc>
        <w:tc>
          <w:tcPr>
            <w:tcW w:w="788" w:type="pct"/>
          </w:tcPr>
          <w:p w14:paraId="7CF5D63D" w14:textId="40ED1AAA" w:rsidR="000D1762" w:rsidRDefault="00261813" w:rsidP="00AB32E2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Incremental</w:t>
            </w:r>
            <w:proofErr w:type="spellEnd"/>
          </w:p>
        </w:tc>
        <w:tc>
          <w:tcPr>
            <w:tcW w:w="747" w:type="pct"/>
            <w:noWrap/>
            <w:vAlign w:val="center"/>
          </w:tcPr>
          <w:p w14:paraId="7E28DB51" w14:textId="6324C5E5" w:rsidR="000D1762" w:rsidRDefault="00261813" w:rsidP="00AB32E2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ICER</w:t>
            </w:r>
          </w:p>
        </w:tc>
      </w:tr>
      <w:tr w:rsidR="000D1762" w14:paraId="043D5C88" w14:textId="77777777" w:rsidTr="0088785C">
        <w:trPr>
          <w:trHeight w:val="224"/>
          <w:jc w:val="center"/>
        </w:trPr>
        <w:tc>
          <w:tcPr>
            <w:tcW w:w="1205" w:type="pct"/>
            <w:vMerge w:val="restart"/>
            <w:noWrap/>
          </w:tcPr>
          <w:p w14:paraId="4997EF1E" w14:textId="77777777" w:rsidR="000D1762" w:rsidRPr="000D1762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US" w:eastAsia="sv-SE"/>
              </w:rPr>
            </w:pPr>
            <w:r w:rsidRPr="000D176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1. Discount rate (cost and QALYs): 0%</w:t>
            </w:r>
          </w:p>
        </w:tc>
        <w:tc>
          <w:tcPr>
            <w:tcW w:w="755" w:type="pct"/>
          </w:tcPr>
          <w:p w14:paraId="64BD261E" w14:textId="77777777" w:rsidR="000D1762" w:rsidRPr="006A6BCF" w:rsidRDefault="000D1762" w:rsidP="00AB32E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Cost</w:t>
            </w:r>
            <w:proofErr w:type="spellEnd"/>
          </w:p>
        </w:tc>
        <w:tc>
          <w:tcPr>
            <w:tcW w:w="769" w:type="pct"/>
            <w:noWrap/>
          </w:tcPr>
          <w:p w14:paraId="476C387F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127 718</w:t>
            </w:r>
          </w:p>
        </w:tc>
        <w:tc>
          <w:tcPr>
            <w:tcW w:w="737" w:type="pct"/>
          </w:tcPr>
          <w:p w14:paraId="1DC033AF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98 073</w:t>
            </w:r>
          </w:p>
        </w:tc>
        <w:tc>
          <w:tcPr>
            <w:tcW w:w="788" w:type="pct"/>
          </w:tcPr>
          <w:p w14:paraId="718B885A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29 646</w:t>
            </w:r>
          </w:p>
        </w:tc>
        <w:tc>
          <w:tcPr>
            <w:tcW w:w="747" w:type="pct"/>
            <w:vMerge w:val="restart"/>
            <w:noWrap/>
            <w:vAlign w:val="center"/>
          </w:tcPr>
          <w:p w14:paraId="10FAE55A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44 811</w:t>
            </w:r>
          </w:p>
        </w:tc>
      </w:tr>
      <w:tr w:rsidR="000D1762" w14:paraId="1829D8C9" w14:textId="77777777" w:rsidTr="0088785C">
        <w:trPr>
          <w:trHeight w:val="224"/>
          <w:jc w:val="center"/>
        </w:trPr>
        <w:tc>
          <w:tcPr>
            <w:tcW w:w="1205" w:type="pct"/>
            <w:vMerge/>
            <w:noWrap/>
          </w:tcPr>
          <w:p w14:paraId="41136EAD" w14:textId="77777777" w:rsidR="000D1762" w:rsidRPr="00A27EA5" w:rsidRDefault="000D1762" w:rsidP="00AB32E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755" w:type="pct"/>
          </w:tcPr>
          <w:p w14:paraId="2189AF34" w14:textId="77777777" w:rsidR="000D1762" w:rsidRPr="006A6BCF" w:rsidRDefault="000D1762" w:rsidP="00AB32E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QALY</w:t>
            </w:r>
          </w:p>
        </w:tc>
        <w:tc>
          <w:tcPr>
            <w:tcW w:w="769" w:type="pct"/>
            <w:tcBorders>
              <w:bottom w:val="single" w:sz="4" w:space="0" w:color="BFBFBF" w:themeColor="background1" w:themeShade="BF"/>
            </w:tcBorders>
            <w:noWrap/>
          </w:tcPr>
          <w:p w14:paraId="3A1314E4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3.74</w:t>
            </w:r>
          </w:p>
        </w:tc>
        <w:tc>
          <w:tcPr>
            <w:tcW w:w="737" w:type="pct"/>
            <w:tcBorders>
              <w:bottom w:val="single" w:sz="4" w:space="0" w:color="BFBFBF" w:themeColor="background1" w:themeShade="BF"/>
            </w:tcBorders>
          </w:tcPr>
          <w:p w14:paraId="09152EBF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3.08</w:t>
            </w:r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</w:tcPr>
          <w:p w14:paraId="0CAF068B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 w:rsidRPr="00A73833">
              <w:rPr>
                <w:rFonts w:cstheme="minorHAnsi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747" w:type="pct"/>
            <w:vMerge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19ABBF8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1762" w14:paraId="317CFDB8" w14:textId="77777777" w:rsidTr="0088785C">
        <w:trPr>
          <w:trHeight w:val="224"/>
          <w:jc w:val="center"/>
        </w:trPr>
        <w:tc>
          <w:tcPr>
            <w:tcW w:w="1205" w:type="pct"/>
            <w:vMerge w:val="restart"/>
            <w:noWrap/>
          </w:tcPr>
          <w:p w14:paraId="186E59A2" w14:textId="77777777" w:rsidR="000D1762" w:rsidRPr="000D1762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US" w:eastAsia="sv-SE"/>
              </w:rPr>
            </w:pPr>
            <w:r w:rsidRPr="000D176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2. Discount rate (cost and QALYs): 5%</w:t>
            </w:r>
          </w:p>
        </w:tc>
        <w:tc>
          <w:tcPr>
            <w:tcW w:w="755" w:type="pct"/>
          </w:tcPr>
          <w:p w14:paraId="5C7161AF" w14:textId="77777777" w:rsidR="000D1762" w:rsidRPr="00A27EA5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Cost</w:t>
            </w:r>
            <w:proofErr w:type="spellEnd"/>
          </w:p>
        </w:tc>
        <w:tc>
          <w:tcPr>
            <w:tcW w:w="769" w:type="pct"/>
            <w:noWrap/>
          </w:tcPr>
          <w:p w14:paraId="04BD5B82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105 469</w:t>
            </w:r>
          </w:p>
        </w:tc>
        <w:tc>
          <w:tcPr>
            <w:tcW w:w="737" w:type="pct"/>
          </w:tcPr>
          <w:p w14:paraId="6F6C3109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83 395</w:t>
            </w:r>
          </w:p>
        </w:tc>
        <w:tc>
          <w:tcPr>
            <w:tcW w:w="788" w:type="pct"/>
          </w:tcPr>
          <w:p w14:paraId="24A229EC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22 073</w:t>
            </w:r>
          </w:p>
        </w:tc>
        <w:tc>
          <w:tcPr>
            <w:tcW w:w="747" w:type="pct"/>
            <w:vMerge w:val="restart"/>
            <w:noWrap/>
            <w:vAlign w:val="center"/>
          </w:tcPr>
          <w:p w14:paraId="7C2EFBC0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46 851</w:t>
            </w:r>
          </w:p>
        </w:tc>
      </w:tr>
      <w:tr w:rsidR="000D1762" w14:paraId="54F19993" w14:textId="77777777" w:rsidTr="0088785C">
        <w:trPr>
          <w:trHeight w:val="224"/>
          <w:jc w:val="center"/>
        </w:trPr>
        <w:tc>
          <w:tcPr>
            <w:tcW w:w="1205" w:type="pct"/>
            <w:vMerge/>
            <w:noWrap/>
          </w:tcPr>
          <w:p w14:paraId="231E572F" w14:textId="77777777" w:rsidR="000D1762" w:rsidRPr="00A27EA5" w:rsidRDefault="000D1762" w:rsidP="00AB32E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755" w:type="pct"/>
          </w:tcPr>
          <w:p w14:paraId="5E0369A8" w14:textId="77777777" w:rsidR="000D1762" w:rsidRPr="00A27EA5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QALY</w:t>
            </w:r>
          </w:p>
        </w:tc>
        <w:tc>
          <w:tcPr>
            <w:tcW w:w="769" w:type="pct"/>
            <w:tcBorders>
              <w:bottom w:val="single" w:sz="4" w:space="0" w:color="BFBFBF" w:themeColor="background1" w:themeShade="BF"/>
            </w:tcBorders>
            <w:noWrap/>
          </w:tcPr>
          <w:p w14:paraId="43F94C17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3.11</w:t>
            </w:r>
          </w:p>
        </w:tc>
        <w:tc>
          <w:tcPr>
            <w:tcW w:w="737" w:type="pct"/>
            <w:tcBorders>
              <w:bottom w:val="single" w:sz="4" w:space="0" w:color="BFBFBF" w:themeColor="background1" w:themeShade="BF"/>
            </w:tcBorders>
          </w:tcPr>
          <w:p w14:paraId="4DE8E413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2.64</w:t>
            </w:r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</w:tcPr>
          <w:p w14:paraId="7A827EF2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 w:rsidRPr="00A73833">
              <w:rPr>
                <w:rFonts w:cstheme="minorHAnsi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747" w:type="pct"/>
            <w:vMerge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B4D0624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1762" w14:paraId="28273428" w14:textId="77777777" w:rsidTr="0088785C">
        <w:trPr>
          <w:trHeight w:val="224"/>
          <w:jc w:val="center"/>
        </w:trPr>
        <w:tc>
          <w:tcPr>
            <w:tcW w:w="1205" w:type="pct"/>
            <w:vMerge w:val="restart"/>
            <w:noWrap/>
          </w:tcPr>
          <w:p w14:paraId="539D780A" w14:textId="77777777" w:rsidR="000D1762" w:rsidRPr="00A27EA5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 xml:space="preserve">3. </w:t>
            </w:r>
            <w:proofErr w:type="spellStart"/>
            <w:r w:rsidRPr="00A27EA5"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Increase</w:t>
            </w:r>
            <w:proofErr w:type="spellEnd"/>
            <w:r w:rsidRPr="00A27EA5"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27EA5"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of</w:t>
            </w:r>
            <w:proofErr w:type="spellEnd"/>
            <w:r w:rsidRPr="00A27EA5"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27EA5"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costs</w:t>
            </w:r>
            <w:proofErr w:type="spellEnd"/>
            <w:r w:rsidRPr="00A27EA5"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 xml:space="preserve"> (0.01%)</w:t>
            </w:r>
          </w:p>
        </w:tc>
        <w:tc>
          <w:tcPr>
            <w:tcW w:w="755" w:type="pct"/>
          </w:tcPr>
          <w:p w14:paraId="5B12F717" w14:textId="77777777" w:rsidR="000D1762" w:rsidRPr="00A27EA5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Cost</w:t>
            </w:r>
            <w:proofErr w:type="spellEnd"/>
          </w:p>
        </w:tc>
        <w:tc>
          <w:tcPr>
            <w:tcW w:w="769" w:type="pct"/>
            <w:noWrap/>
          </w:tcPr>
          <w:p w14:paraId="019E16EF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116 434</w:t>
            </w:r>
          </w:p>
        </w:tc>
        <w:tc>
          <w:tcPr>
            <w:tcW w:w="737" w:type="pct"/>
          </w:tcPr>
          <w:p w14:paraId="28E27FAE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90 621</w:t>
            </w:r>
          </w:p>
        </w:tc>
        <w:tc>
          <w:tcPr>
            <w:tcW w:w="788" w:type="pct"/>
          </w:tcPr>
          <w:p w14:paraId="1448FA2D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25 813</w:t>
            </w:r>
          </w:p>
        </w:tc>
        <w:tc>
          <w:tcPr>
            <w:tcW w:w="747" w:type="pct"/>
            <w:vMerge w:val="restart"/>
            <w:noWrap/>
            <w:vAlign w:val="center"/>
          </w:tcPr>
          <w:p w14:paraId="4EB245A9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48 102</w:t>
            </w:r>
          </w:p>
        </w:tc>
      </w:tr>
      <w:tr w:rsidR="000D1762" w14:paraId="772B7633" w14:textId="77777777" w:rsidTr="0088785C">
        <w:trPr>
          <w:trHeight w:val="224"/>
          <w:jc w:val="center"/>
        </w:trPr>
        <w:tc>
          <w:tcPr>
            <w:tcW w:w="1205" w:type="pct"/>
            <w:vMerge/>
            <w:noWrap/>
          </w:tcPr>
          <w:p w14:paraId="0308B6E8" w14:textId="77777777" w:rsidR="000D1762" w:rsidRPr="00A27EA5" w:rsidRDefault="000D1762" w:rsidP="00AB32E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755" w:type="pct"/>
          </w:tcPr>
          <w:p w14:paraId="005D83A1" w14:textId="77777777" w:rsidR="000D1762" w:rsidRPr="00A27EA5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QALY</w:t>
            </w:r>
          </w:p>
        </w:tc>
        <w:tc>
          <w:tcPr>
            <w:tcW w:w="769" w:type="pct"/>
            <w:tcBorders>
              <w:bottom w:val="single" w:sz="4" w:space="0" w:color="BFBFBF" w:themeColor="background1" w:themeShade="BF"/>
            </w:tcBorders>
            <w:noWrap/>
          </w:tcPr>
          <w:p w14:paraId="1E8F6473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3.33</w:t>
            </w:r>
          </w:p>
        </w:tc>
        <w:tc>
          <w:tcPr>
            <w:tcW w:w="737" w:type="pct"/>
            <w:tcBorders>
              <w:bottom w:val="single" w:sz="4" w:space="0" w:color="BFBFBF" w:themeColor="background1" w:themeShade="BF"/>
            </w:tcBorders>
          </w:tcPr>
          <w:p w14:paraId="7E0D59A6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2.80</w:t>
            </w:r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</w:tcPr>
          <w:p w14:paraId="613528FE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747" w:type="pct"/>
            <w:vMerge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F72837F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1762" w14:paraId="00FE4469" w14:textId="77777777" w:rsidTr="0088785C">
        <w:trPr>
          <w:trHeight w:val="224"/>
          <w:jc w:val="center"/>
        </w:trPr>
        <w:tc>
          <w:tcPr>
            <w:tcW w:w="1205" w:type="pct"/>
            <w:vMerge w:val="restart"/>
            <w:noWrap/>
            <w:vAlign w:val="bottom"/>
          </w:tcPr>
          <w:p w14:paraId="59628547" w14:textId="77777777" w:rsidR="000D1762" w:rsidRPr="000D1762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US" w:eastAsia="sv-SE"/>
              </w:rPr>
            </w:pPr>
            <w:r w:rsidRPr="000D176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4. No QALY decrement due to age</w:t>
            </w:r>
          </w:p>
        </w:tc>
        <w:tc>
          <w:tcPr>
            <w:tcW w:w="755" w:type="pct"/>
          </w:tcPr>
          <w:p w14:paraId="339FCD49" w14:textId="77777777" w:rsidR="000D1762" w:rsidRPr="00A27EA5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Cost</w:t>
            </w:r>
            <w:proofErr w:type="spellEnd"/>
          </w:p>
        </w:tc>
        <w:tc>
          <w:tcPr>
            <w:tcW w:w="769" w:type="pct"/>
            <w:noWrap/>
          </w:tcPr>
          <w:p w14:paraId="149330DB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113 327</w:t>
            </w:r>
          </w:p>
        </w:tc>
        <w:tc>
          <w:tcPr>
            <w:tcW w:w="737" w:type="pct"/>
          </w:tcPr>
          <w:p w14:paraId="6DC5F209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88 649</w:t>
            </w:r>
          </w:p>
        </w:tc>
        <w:tc>
          <w:tcPr>
            <w:tcW w:w="788" w:type="pct"/>
          </w:tcPr>
          <w:p w14:paraId="5DE3311D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24 678</w:t>
            </w:r>
          </w:p>
        </w:tc>
        <w:tc>
          <w:tcPr>
            <w:tcW w:w="747" w:type="pct"/>
            <w:vMerge w:val="restart"/>
            <w:noWrap/>
            <w:vAlign w:val="center"/>
          </w:tcPr>
          <w:p w14:paraId="6FE00A76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3833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4 790</w:t>
            </w:r>
          </w:p>
        </w:tc>
      </w:tr>
      <w:tr w:rsidR="000D1762" w14:paraId="33C271A5" w14:textId="77777777" w:rsidTr="0088785C">
        <w:trPr>
          <w:trHeight w:val="224"/>
          <w:jc w:val="center"/>
        </w:trPr>
        <w:tc>
          <w:tcPr>
            <w:tcW w:w="1205" w:type="pct"/>
            <w:vMerge/>
            <w:noWrap/>
            <w:vAlign w:val="bottom"/>
          </w:tcPr>
          <w:p w14:paraId="35932738" w14:textId="77777777" w:rsidR="000D1762" w:rsidRPr="00A73833" w:rsidRDefault="000D1762" w:rsidP="00AB32E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755" w:type="pct"/>
          </w:tcPr>
          <w:p w14:paraId="6954563A" w14:textId="77777777" w:rsidR="000D1762" w:rsidRPr="00A27EA5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QALY</w:t>
            </w:r>
          </w:p>
        </w:tc>
        <w:tc>
          <w:tcPr>
            <w:tcW w:w="769" w:type="pct"/>
            <w:tcBorders>
              <w:bottom w:val="single" w:sz="4" w:space="0" w:color="BFBFBF" w:themeColor="background1" w:themeShade="BF"/>
            </w:tcBorders>
            <w:noWrap/>
          </w:tcPr>
          <w:p w14:paraId="637CCDED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3.37</w:t>
            </w:r>
          </w:p>
        </w:tc>
        <w:tc>
          <w:tcPr>
            <w:tcW w:w="737" w:type="pct"/>
            <w:tcBorders>
              <w:bottom w:val="single" w:sz="4" w:space="0" w:color="BFBFBF" w:themeColor="background1" w:themeShade="BF"/>
            </w:tcBorders>
          </w:tcPr>
          <w:p w14:paraId="45F4FBA7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2.82</w:t>
            </w:r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</w:tcPr>
          <w:p w14:paraId="6267077D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 w:rsidRPr="00A73833">
              <w:rPr>
                <w:rFonts w:cstheme="minorHAnsi"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747" w:type="pct"/>
            <w:vMerge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5972DBD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1762" w14:paraId="096A7438" w14:textId="77777777" w:rsidTr="0088785C">
        <w:trPr>
          <w:trHeight w:val="224"/>
          <w:jc w:val="center"/>
        </w:trPr>
        <w:tc>
          <w:tcPr>
            <w:tcW w:w="1205" w:type="pct"/>
            <w:vMerge w:val="restart"/>
            <w:noWrap/>
          </w:tcPr>
          <w:p w14:paraId="458E9371" w14:textId="14ACA195" w:rsidR="000D1762" w:rsidRPr="000D1762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US" w:eastAsia="sv-SE"/>
              </w:rPr>
            </w:pPr>
            <w:r w:rsidRPr="000D176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sv-SE"/>
              </w:rPr>
              <w:t>5. Treatment effect set to 0 after 2 years</w:t>
            </w:r>
          </w:p>
        </w:tc>
        <w:tc>
          <w:tcPr>
            <w:tcW w:w="755" w:type="pct"/>
          </w:tcPr>
          <w:p w14:paraId="09BB415A" w14:textId="77777777" w:rsidR="000D1762" w:rsidRPr="00A27EA5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Cost</w:t>
            </w:r>
            <w:proofErr w:type="spellEnd"/>
          </w:p>
        </w:tc>
        <w:tc>
          <w:tcPr>
            <w:tcW w:w="769" w:type="pct"/>
            <w:noWrap/>
          </w:tcPr>
          <w:p w14:paraId="6FC6D15D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98 418</w:t>
            </w:r>
          </w:p>
        </w:tc>
        <w:tc>
          <w:tcPr>
            <w:tcW w:w="737" w:type="pct"/>
          </w:tcPr>
          <w:p w14:paraId="395ADB6A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88 649</w:t>
            </w:r>
          </w:p>
        </w:tc>
        <w:tc>
          <w:tcPr>
            <w:tcW w:w="788" w:type="pct"/>
          </w:tcPr>
          <w:p w14:paraId="6DA04A72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  <w:t>9 769</w:t>
            </w:r>
          </w:p>
        </w:tc>
        <w:tc>
          <w:tcPr>
            <w:tcW w:w="747" w:type="pct"/>
            <w:vMerge w:val="restart"/>
            <w:noWrap/>
            <w:vAlign w:val="center"/>
          </w:tcPr>
          <w:p w14:paraId="3954E88E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48 577</w:t>
            </w:r>
          </w:p>
        </w:tc>
      </w:tr>
      <w:tr w:rsidR="000D1762" w14:paraId="5A8A7B04" w14:textId="77777777" w:rsidTr="0088785C">
        <w:trPr>
          <w:trHeight w:val="224"/>
          <w:jc w:val="center"/>
        </w:trPr>
        <w:tc>
          <w:tcPr>
            <w:tcW w:w="1205" w:type="pct"/>
            <w:vMerge/>
            <w:noWrap/>
          </w:tcPr>
          <w:p w14:paraId="53F939A5" w14:textId="77777777" w:rsidR="000D1762" w:rsidRDefault="000D1762" w:rsidP="00AB32E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755" w:type="pct"/>
          </w:tcPr>
          <w:p w14:paraId="1B255CB7" w14:textId="77777777" w:rsidR="000D1762" w:rsidRPr="00A27EA5" w:rsidRDefault="000D1762" w:rsidP="00AB32E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6A6BC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QALY</w:t>
            </w:r>
          </w:p>
        </w:tc>
        <w:tc>
          <w:tcPr>
            <w:tcW w:w="769" w:type="pct"/>
            <w:tcBorders>
              <w:bottom w:val="single" w:sz="4" w:space="0" w:color="BFBFBF" w:themeColor="background1" w:themeShade="BF"/>
            </w:tcBorders>
            <w:noWrap/>
          </w:tcPr>
          <w:p w14:paraId="03628FEE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3.0</w:t>
            </w:r>
          </w:p>
        </w:tc>
        <w:tc>
          <w:tcPr>
            <w:tcW w:w="737" w:type="pct"/>
            <w:tcBorders>
              <w:bottom w:val="single" w:sz="4" w:space="0" w:color="BFBFBF" w:themeColor="background1" w:themeShade="BF"/>
            </w:tcBorders>
          </w:tcPr>
          <w:p w14:paraId="773860D2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  <w:t>2.80</w:t>
            </w:r>
          </w:p>
        </w:tc>
        <w:tc>
          <w:tcPr>
            <w:tcW w:w="788" w:type="pct"/>
            <w:tcBorders>
              <w:bottom w:val="single" w:sz="4" w:space="0" w:color="BFBFBF" w:themeColor="background1" w:themeShade="BF"/>
            </w:tcBorders>
          </w:tcPr>
          <w:p w14:paraId="48E73D71" w14:textId="77777777" w:rsidR="000D1762" w:rsidRDefault="000D1762" w:rsidP="00AB32E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747" w:type="pct"/>
            <w:vMerge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6A2CFA48" w14:textId="77777777" w:rsidR="000D1762" w:rsidRDefault="000D1762" w:rsidP="00AB32E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1762" w:rsidRPr="00FB2D96" w14:paraId="06572BC4" w14:textId="77777777" w:rsidTr="00AB32E2">
        <w:trPr>
          <w:trHeight w:val="2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noWrap/>
          </w:tcPr>
          <w:p w14:paraId="0D9E20A6" w14:textId="77777777" w:rsidR="000D1762" w:rsidRPr="00FB2D96" w:rsidRDefault="000D1762" w:rsidP="00AB3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176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US" w:eastAsia="sv-SE"/>
              </w:rPr>
              <w:t xml:space="preserve">QALY=Quality Adjusted Life Years. CGA=Comprehensive Geriatric Assessment. ICER=Incremental cost-effectiveness ratio.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20"/>
                <w:lang w:eastAsia="sv-SE"/>
              </w:rPr>
              <w:t>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v-SE"/>
              </w:rPr>
              <w:t xml:space="preserve">Municipal services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v-SE"/>
              </w:rPr>
              <w:t>includes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v-SE"/>
              </w:rPr>
              <w:t>home-help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v-SE"/>
              </w:rPr>
              <w:t xml:space="preserve"> services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v-SE"/>
              </w:rPr>
              <w:t>nursing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v-SE"/>
              </w:rPr>
              <w:t>home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v-SE"/>
              </w:rPr>
              <w:t>.</w:t>
            </w:r>
          </w:p>
        </w:tc>
      </w:tr>
    </w:tbl>
    <w:p w14:paraId="5936BF2A" w14:textId="77777777" w:rsidR="000D1762" w:rsidRDefault="000D1762"/>
    <w:sectPr w:rsidR="000D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B0"/>
    <w:rsid w:val="000D1762"/>
    <w:rsid w:val="000E3248"/>
    <w:rsid w:val="00261813"/>
    <w:rsid w:val="00356D50"/>
    <w:rsid w:val="00415112"/>
    <w:rsid w:val="00485226"/>
    <w:rsid w:val="005A34FA"/>
    <w:rsid w:val="00625593"/>
    <w:rsid w:val="006F2C54"/>
    <w:rsid w:val="007326FC"/>
    <w:rsid w:val="00796E77"/>
    <w:rsid w:val="00816F54"/>
    <w:rsid w:val="008245B3"/>
    <w:rsid w:val="0088785C"/>
    <w:rsid w:val="00916673"/>
    <w:rsid w:val="00923AB0"/>
    <w:rsid w:val="009430A9"/>
    <w:rsid w:val="009807EF"/>
    <w:rsid w:val="00A21E31"/>
    <w:rsid w:val="00A93432"/>
    <w:rsid w:val="00AB5712"/>
    <w:rsid w:val="00C03B4A"/>
    <w:rsid w:val="00C40787"/>
    <w:rsid w:val="00C71299"/>
    <w:rsid w:val="00C91F98"/>
    <w:rsid w:val="00D15006"/>
    <w:rsid w:val="00D9129F"/>
    <w:rsid w:val="00E12B42"/>
    <w:rsid w:val="00E16CB1"/>
    <w:rsid w:val="00E65A65"/>
    <w:rsid w:val="00F2790E"/>
    <w:rsid w:val="00F9013B"/>
    <w:rsid w:val="00FC61C4"/>
    <w:rsid w:val="00FC6E6D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87D4"/>
  <w15:chartTrackingRefBased/>
  <w15:docId w15:val="{91177333-CC57-440C-9A3B-D80B4A3C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7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1762"/>
    <w:pPr>
      <w:spacing w:after="200" w:line="240" w:lineRule="auto"/>
    </w:pPr>
    <w:rPr>
      <w:rFonts w:eastAsiaTheme="minorEastAsia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762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2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D1762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17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1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78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D50"/>
    <w:pPr>
      <w:spacing w:after="160"/>
    </w:pPr>
    <w:rPr>
      <w:rFonts w:eastAsiaTheme="minorHAnsi"/>
      <w:b/>
      <w:bCs/>
      <w:sz w:val="20"/>
      <w:szCs w:val="20"/>
      <w:lang w:val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D50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9E68-772C-4EC4-AE28-01989C38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Lundqvist</dc:creator>
  <cp:keywords/>
  <dc:description/>
  <cp:lastModifiedBy>Martina Lundqvist</cp:lastModifiedBy>
  <cp:revision>6</cp:revision>
  <dcterms:created xsi:type="dcterms:W3CDTF">2017-09-21T09:19:00Z</dcterms:created>
  <dcterms:modified xsi:type="dcterms:W3CDTF">2017-12-15T13:18:00Z</dcterms:modified>
</cp:coreProperties>
</file>