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AF" w:rsidRPr="00A126A2" w:rsidRDefault="007E25AF" w:rsidP="007E25AF">
      <w:pPr>
        <w:pageBreakBefore/>
        <w:rPr>
          <w:rFonts w:ascii="Times New Roman" w:hAnsi="Times New Roman" w:cs="Times New Roman"/>
          <w:szCs w:val="20"/>
        </w:rPr>
      </w:pPr>
      <w:r w:rsidRPr="00A126A2">
        <w:rPr>
          <w:rFonts w:ascii="Times New Roman" w:hAnsi="Times New Roman" w:cs="Times New Roman"/>
          <w:b/>
          <w:szCs w:val="20"/>
        </w:rPr>
        <w:t>Table 2.</w:t>
      </w:r>
      <w:r w:rsidRPr="00A126A2">
        <w:rPr>
          <w:rFonts w:ascii="Times New Roman" w:hAnsi="Times New Roman" w:cs="Times New Roman"/>
          <w:szCs w:val="20"/>
        </w:rPr>
        <w:t xml:space="preserve"> Clinical outcome of the different treatments.</w:t>
      </w:r>
    </w:p>
    <w:tbl>
      <w:tblPr>
        <w:tblStyle w:val="a3"/>
        <w:tblW w:w="139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416"/>
        <w:gridCol w:w="2416"/>
        <w:gridCol w:w="2418"/>
        <w:gridCol w:w="1799"/>
      </w:tblGrid>
      <w:tr w:rsidR="007E25AF" w:rsidRPr="00A126A2" w:rsidTr="00AA4C21">
        <w:trPr>
          <w:trHeight w:val="757"/>
          <w:jc w:val="center"/>
        </w:trPr>
        <w:tc>
          <w:tcPr>
            <w:tcW w:w="48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26A2">
              <w:rPr>
                <w:rFonts w:ascii="Times New Roman" w:hAnsi="Times New Roman" w:cs="Times New Roman"/>
                <w:b/>
                <w:szCs w:val="20"/>
              </w:rPr>
              <w:t>Characteristics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26A2">
              <w:rPr>
                <w:rFonts w:ascii="Times New Roman" w:hAnsi="Times New Roman" w:cs="Times New Roman"/>
                <w:b/>
                <w:szCs w:val="20"/>
              </w:rPr>
              <w:t>All patients</w:t>
            </w:r>
          </w:p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26A2">
              <w:rPr>
                <w:rFonts w:ascii="Times New Roman" w:hAnsi="Times New Roman" w:cs="Times New Roman"/>
                <w:b/>
                <w:szCs w:val="20"/>
              </w:rPr>
              <w:t>(n = 188)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26A2">
              <w:rPr>
                <w:rFonts w:ascii="Times New Roman" w:hAnsi="Times New Roman" w:cs="Times New Roman"/>
                <w:b/>
                <w:szCs w:val="20"/>
              </w:rPr>
              <w:t>Nafcillin group</w:t>
            </w:r>
          </w:p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26A2">
              <w:rPr>
                <w:rFonts w:ascii="Times New Roman" w:hAnsi="Times New Roman" w:cs="Times New Roman"/>
                <w:b/>
                <w:szCs w:val="20"/>
              </w:rPr>
              <w:t>(n = 91)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26A2">
              <w:rPr>
                <w:rFonts w:ascii="Times New Roman" w:hAnsi="Times New Roman" w:cs="Times New Roman"/>
                <w:b/>
                <w:szCs w:val="20"/>
              </w:rPr>
              <w:t>Glycopeptide group</w:t>
            </w:r>
          </w:p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26A2">
              <w:rPr>
                <w:rFonts w:ascii="Times New Roman" w:hAnsi="Times New Roman" w:cs="Times New Roman"/>
                <w:b/>
                <w:szCs w:val="20"/>
              </w:rPr>
              <w:t>(n = 97)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26A2">
              <w:rPr>
                <w:rFonts w:ascii="Times New Roman" w:hAnsi="Times New Roman" w:cs="Times New Roman"/>
                <w:b/>
                <w:i/>
                <w:szCs w:val="20"/>
              </w:rPr>
              <w:t>P</w:t>
            </w:r>
            <w:r w:rsidRPr="00A126A2">
              <w:rPr>
                <w:rFonts w:ascii="Times New Roman" w:hAnsi="Times New Roman" w:cs="Times New Roman"/>
                <w:b/>
                <w:szCs w:val="20"/>
              </w:rPr>
              <w:t xml:space="preserve"> value</w:t>
            </w:r>
          </w:p>
        </w:tc>
      </w:tr>
      <w:tr w:rsidR="007E25AF" w:rsidRPr="00A126A2" w:rsidTr="00AA4C21">
        <w:trPr>
          <w:trHeight w:val="399"/>
          <w:jc w:val="center"/>
        </w:trPr>
        <w:tc>
          <w:tcPr>
            <w:tcW w:w="4855" w:type="dxa"/>
            <w:tcBorders>
              <w:top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Hospitalization period, days, median (IQR)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22.0 (14.0–39.5)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22.0 (12.0–41.0)</w:t>
            </w:r>
          </w:p>
        </w:tc>
        <w:tc>
          <w:tcPr>
            <w:tcW w:w="2418" w:type="dxa"/>
            <w:tcBorders>
              <w:top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22.0 (15.0–36.0)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0.764</w:t>
            </w:r>
            <w:r w:rsidRPr="00A126A2">
              <w:rPr>
                <w:rFonts w:ascii="Times New Roman" w:eastAsia="굴림" w:hAnsi="Times New Roman" w:cs="Times New Roman"/>
                <w:bCs/>
                <w:color w:val="000000" w:themeColor="text1"/>
                <w:kern w:val="0"/>
                <w:szCs w:val="20"/>
                <w:vertAlign w:val="superscript"/>
              </w:rPr>
              <w:t xml:space="preserve"> c</w:t>
            </w:r>
          </w:p>
        </w:tc>
      </w:tr>
      <w:tr w:rsidR="007E25AF" w:rsidRPr="00A126A2" w:rsidTr="00AA4C21">
        <w:trPr>
          <w:trHeight w:val="399"/>
          <w:jc w:val="center"/>
        </w:trPr>
        <w:tc>
          <w:tcPr>
            <w:tcW w:w="4855" w:type="dxa"/>
            <w:vAlign w:val="center"/>
          </w:tcPr>
          <w:p w:rsidR="007E25AF" w:rsidRPr="00A126A2" w:rsidRDefault="007E25AF" w:rsidP="00AA4C21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 xml:space="preserve">ICU stay, days, mean </w:t>
            </w:r>
            <w:r w:rsidRPr="00A126A2">
              <w:rPr>
                <w:rFonts w:ascii="Times New Roman" w:eastAsiaTheme="minorHAnsi" w:hAnsi="Times New Roman" w:cs="Times New Roman"/>
                <w:szCs w:val="20"/>
              </w:rPr>
              <w:t>± SD</w:t>
            </w:r>
          </w:p>
        </w:tc>
        <w:tc>
          <w:tcPr>
            <w:tcW w:w="2416" w:type="dxa"/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 xml:space="preserve">5.03 </w:t>
            </w:r>
            <w:r w:rsidRPr="00A126A2">
              <w:rPr>
                <w:rFonts w:ascii="Times New Roman" w:eastAsiaTheme="minorHAnsi" w:hAnsi="Times New Roman" w:cs="Times New Roman"/>
                <w:szCs w:val="20"/>
              </w:rPr>
              <w:t>± 14.10</w:t>
            </w:r>
          </w:p>
        </w:tc>
        <w:tc>
          <w:tcPr>
            <w:tcW w:w="2416" w:type="dxa"/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 xml:space="preserve">3.71 </w:t>
            </w:r>
            <w:r w:rsidRPr="00A126A2">
              <w:rPr>
                <w:rFonts w:ascii="Times New Roman" w:eastAsiaTheme="minorHAnsi" w:hAnsi="Times New Roman" w:cs="Times New Roman"/>
                <w:szCs w:val="20"/>
              </w:rPr>
              <w:t>± 12.47</w:t>
            </w:r>
          </w:p>
        </w:tc>
        <w:tc>
          <w:tcPr>
            <w:tcW w:w="2418" w:type="dxa"/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 xml:space="preserve">6.26 </w:t>
            </w:r>
            <w:r w:rsidRPr="00A126A2">
              <w:rPr>
                <w:rFonts w:ascii="Times New Roman" w:eastAsiaTheme="minorHAnsi" w:hAnsi="Times New Roman" w:cs="Times New Roman"/>
                <w:szCs w:val="20"/>
              </w:rPr>
              <w:t>± 15.44</w:t>
            </w:r>
          </w:p>
        </w:tc>
        <w:tc>
          <w:tcPr>
            <w:tcW w:w="1799" w:type="dxa"/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0.217</w:t>
            </w:r>
            <w:r w:rsidRPr="00A126A2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 xml:space="preserve"> a</w:t>
            </w:r>
          </w:p>
        </w:tc>
      </w:tr>
      <w:tr w:rsidR="007E25AF" w:rsidRPr="00A126A2" w:rsidTr="00AA4C21">
        <w:trPr>
          <w:trHeight w:val="399"/>
          <w:jc w:val="center"/>
        </w:trPr>
        <w:tc>
          <w:tcPr>
            <w:tcW w:w="4855" w:type="dxa"/>
            <w:vAlign w:val="center"/>
          </w:tcPr>
          <w:p w:rsidR="007E25AF" w:rsidRPr="00A126A2" w:rsidRDefault="007E25AF" w:rsidP="00AA4C21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Persistent bacteremia, (%)</w:t>
            </w:r>
          </w:p>
        </w:tc>
        <w:tc>
          <w:tcPr>
            <w:tcW w:w="2416" w:type="dxa"/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18 (9.6)</w:t>
            </w:r>
          </w:p>
        </w:tc>
        <w:tc>
          <w:tcPr>
            <w:tcW w:w="2416" w:type="dxa"/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11 (12.2)</w:t>
            </w:r>
          </w:p>
        </w:tc>
        <w:tc>
          <w:tcPr>
            <w:tcW w:w="2418" w:type="dxa"/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7 (7.2)</w:t>
            </w:r>
          </w:p>
        </w:tc>
        <w:tc>
          <w:tcPr>
            <w:tcW w:w="1799" w:type="dxa"/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0.323</w:t>
            </w:r>
            <w:r w:rsidRPr="00A126A2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 xml:space="preserve"> b</w:t>
            </w:r>
          </w:p>
        </w:tc>
      </w:tr>
      <w:tr w:rsidR="007E25AF" w:rsidRPr="00A126A2" w:rsidTr="00AA4C21">
        <w:trPr>
          <w:trHeight w:val="399"/>
          <w:jc w:val="center"/>
        </w:trPr>
        <w:tc>
          <w:tcPr>
            <w:tcW w:w="4855" w:type="dxa"/>
            <w:tcBorders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All-cause 28-day mortality, yes (%)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27 (14.4)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7 (7.7)</w:t>
            </w:r>
          </w:p>
        </w:tc>
        <w:tc>
          <w:tcPr>
            <w:tcW w:w="2418" w:type="dxa"/>
            <w:tcBorders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20 (20.6)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7E25AF" w:rsidRPr="00A126A2" w:rsidRDefault="007E25AF" w:rsidP="00AA4C21">
            <w:pPr>
              <w:wordWrap/>
              <w:jc w:val="center"/>
              <w:rPr>
                <w:rFonts w:ascii="Times New Roman" w:hAnsi="Times New Roman" w:cs="Times New Roman"/>
                <w:szCs w:val="20"/>
              </w:rPr>
            </w:pPr>
            <w:r w:rsidRPr="00A126A2">
              <w:rPr>
                <w:rFonts w:ascii="Times New Roman" w:hAnsi="Times New Roman" w:cs="Times New Roman"/>
                <w:szCs w:val="20"/>
              </w:rPr>
              <w:t>0.013</w:t>
            </w:r>
            <w:r w:rsidRPr="00A126A2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 xml:space="preserve"> b</w:t>
            </w:r>
          </w:p>
        </w:tc>
      </w:tr>
    </w:tbl>
    <w:p w:rsidR="007E25AF" w:rsidRPr="00A126A2" w:rsidRDefault="007E25AF" w:rsidP="007E25AF">
      <w:pPr>
        <w:rPr>
          <w:rFonts w:ascii="Times New Roman" w:hAnsi="Times New Roman" w:cs="Times New Roman"/>
          <w:szCs w:val="20"/>
        </w:rPr>
      </w:pPr>
      <w:r w:rsidRPr="00A126A2">
        <w:rPr>
          <w:rFonts w:ascii="Times New Roman" w:hAnsi="Times New Roman" w:cs="Times New Roman"/>
          <w:szCs w:val="20"/>
        </w:rPr>
        <w:t>Abbreviations: IQR: interquartile range; ICU: intensive care unit; SD: standard deviation.</w:t>
      </w:r>
    </w:p>
    <w:p w:rsidR="007E25AF" w:rsidRPr="00A126A2" w:rsidRDefault="007E25AF" w:rsidP="007E25AF">
      <w:pPr>
        <w:wordWrap/>
        <w:spacing w:line="240" w:lineRule="auto"/>
        <w:rPr>
          <w:rFonts w:ascii="Times New Roman" w:hAnsi="Times New Roman" w:cs="Times New Roman"/>
          <w:szCs w:val="20"/>
        </w:rPr>
      </w:pPr>
    </w:p>
    <w:p w:rsidR="007E25AF" w:rsidRPr="00A126A2" w:rsidRDefault="007E25AF" w:rsidP="007E25AF">
      <w:pPr>
        <w:rPr>
          <w:rFonts w:ascii="Times New Roman" w:hAnsi="Times New Roman" w:cs="Times New Roman"/>
          <w:color w:val="000000" w:themeColor="text1"/>
          <w:szCs w:val="20"/>
        </w:rPr>
      </w:pPr>
      <w:r w:rsidRPr="00A126A2">
        <w:rPr>
          <w:rFonts w:ascii="Times New Roman" w:hAnsi="Times New Roman" w:cs="Times New Roman"/>
          <w:color w:val="000000" w:themeColor="text1"/>
          <w:szCs w:val="20"/>
          <w:vertAlign w:val="superscript"/>
        </w:rPr>
        <w:t xml:space="preserve">a </w:t>
      </w:r>
      <w:r w:rsidRPr="00A126A2">
        <w:rPr>
          <w:rFonts w:ascii="Times New Roman" w:hAnsi="Times New Roman" w:cs="Times New Roman"/>
          <w:color w:val="000000" w:themeColor="text1"/>
          <w:szCs w:val="20"/>
        </w:rPr>
        <w:t xml:space="preserve">Student’s </w:t>
      </w:r>
      <w:r w:rsidRPr="00A126A2">
        <w:rPr>
          <w:rFonts w:ascii="Times New Roman" w:hAnsi="Times New Roman" w:cs="Times New Roman"/>
          <w:i/>
          <w:color w:val="000000" w:themeColor="text1"/>
          <w:szCs w:val="20"/>
        </w:rPr>
        <w:t>t</w:t>
      </w:r>
      <w:r w:rsidRPr="00A126A2">
        <w:rPr>
          <w:rFonts w:ascii="Times New Roman" w:hAnsi="Times New Roman" w:cs="Times New Roman"/>
          <w:color w:val="000000" w:themeColor="text1"/>
          <w:szCs w:val="20"/>
        </w:rPr>
        <w:t>-test</w:t>
      </w:r>
    </w:p>
    <w:p w:rsidR="007E25AF" w:rsidRPr="00A126A2" w:rsidRDefault="007E25AF" w:rsidP="007E25AF">
      <w:pPr>
        <w:rPr>
          <w:rFonts w:ascii="Times New Roman" w:hAnsi="Times New Roman" w:cs="Times New Roman"/>
          <w:color w:val="000000" w:themeColor="text1"/>
          <w:szCs w:val="20"/>
        </w:rPr>
      </w:pPr>
      <w:r w:rsidRPr="00A126A2">
        <w:rPr>
          <w:rFonts w:ascii="Times New Roman" w:hAnsi="Times New Roman" w:cs="Times New Roman"/>
          <w:color w:val="000000" w:themeColor="text1"/>
          <w:szCs w:val="20"/>
          <w:vertAlign w:val="superscript"/>
        </w:rPr>
        <w:t>b</w:t>
      </w:r>
      <w:r w:rsidRPr="00A126A2">
        <w:rPr>
          <w:rFonts w:ascii="Times New Roman" w:hAnsi="Times New Roman" w:cs="Times New Roman"/>
          <w:color w:val="000000" w:themeColor="text1"/>
          <w:szCs w:val="20"/>
        </w:rPr>
        <w:t xml:space="preserve"> Pearson’s χ-test</w:t>
      </w:r>
    </w:p>
    <w:p w:rsidR="007E25AF" w:rsidRPr="00A126A2" w:rsidRDefault="007E25AF" w:rsidP="007E25AF">
      <w:pPr>
        <w:rPr>
          <w:rFonts w:ascii="Times New Roman" w:hAnsi="Times New Roman" w:cs="Times New Roman"/>
          <w:color w:val="000000" w:themeColor="text1"/>
          <w:szCs w:val="20"/>
        </w:rPr>
      </w:pPr>
      <w:r w:rsidRPr="00A126A2">
        <w:rPr>
          <w:rFonts w:ascii="Times New Roman" w:eastAsia="굴림" w:hAnsi="Times New Roman" w:cs="Times New Roman"/>
          <w:bCs/>
          <w:color w:val="000000" w:themeColor="text1"/>
          <w:kern w:val="0"/>
          <w:szCs w:val="20"/>
          <w:vertAlign w:val="superscript"/>
        </w:rPr>
        <w:t xml:space="preserve">c </w:t>
      </w:r>
      <w:r w:rsidRPr="00A126A2">
        <w:rPr>
          <w:rFonts w:ascii="Times New Roman" w:eastAsia="굴림" w:hAnsi="Times New Roman" w:cs="Times New Roman"/>
          <w:bCs/>
          <w:color w:val="000000" w:themeColor="text1"/>
          <w:kern w:val="0"/>
          <w:szCs w:val="20"/>
        </w:rPr>
        <w:t xml:space="preserve">Mann-Whitney </w:t>
      </w:r>
      <w:r w:rsidRPr="00A126A2">
        <w:rPr>
          <w:rFonts w:ascii="Times New Roman" w:eastAsia="굴림" w:hAnsi="Times New Roman" w:cs="Times New Roman"/>
          <w:bCs/>
          <w:i/>
          <w:color w:val="000000" w:themeColor="text1"/>
          <w:kern w:val="0"/>
          <w:szCs w:val="20"/>
        </w:rPr>
        <w:t>U</w:t>
      </w:r>
      <w:r w:rsidRPr="00A126A2">
        <w:rPr>
          <w:rFonts w:ascii="Times New Roman" w:eastAsia="굴림" w:hAnsi="Times New Roman" w:cs="Times New Roman"/>
          <w:bCs/>
          <w:color w:val="000000" w:themeColor="text1"/>
          <w:kern w:val="0"/>
          <w:szCs w:val="20"/>
        </w:rPr>
        <w:t>-test, median (interquartile range)</w:t>
      </w:r>
    </w:p>
    <w:p w:rsidR="007E25AF" w:rsidRPr="00A126A2" w:rsidRDefault="007E25AF" w:rsidP="007E25AF">
      <w:pPr>
        <w:wordWrap/>
        <w:spacing w:line="240" w:lineRule="auto"/>
        <w:rPr>
          <w:rFonts w:ascii="Times New Roman" w:hAnsi="Times New Roman" w:cs="Times New Roman"/>
          <w:szCs w:val="20"/>
        </w:rPr>
      </w:pPr>
    </w:p>
    <w:p w:rsidR="007E25AF" w:rsidRPr="00A126A2" w:rsidRDefault="007E25AF" w:rsidP="007E25AF">
      <w:pPr>
        <w:rPr>
          <w:szCs w:val="20"/>
        </w:rPr>
      </w:pPr>
    </w:p>
    <w:p w:rsidR="008B13B1" w:rsidRPr="007E25AF" w:rsidRDefault="007E25AF">
      <w:bookmarkStart w:id="0" w:name="_GoBack"/>
      <w:bookmarkEnd w:id="0"/>
    </w:p>
    <w:sectPr w:rsidR="008B13B1" w:rsidRPr="007E25AF" w:rsidSect="00996BB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AF"/>
    <w:rsid w:val="002362DE"/>
    <w:rsid w:val="002856CA"/>
    <w:rsid w:val="00561781"/>
    <w:rsid w:val="00722524"/>
    <w:rsid w:val="007E25AF"/>
    <w:rsid w:val="00884585"/>
    <w:rsid w:val="00A826E3"/>
    <w:rsid w:val="00B666A5"/>
    <w:rsid w:val="00B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396FC-EFA5-48D3-94F5-A6964B65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5AF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2018-01-17T11:43:00Z</dcterms:created>
  <dcterms:modified xsi:type="dcterms:W3CDTF">2018-01-17T11:44:00Z</dcterms:modified>
</cp:coreProperties>
</file>