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9B" w:rsidRDefault="009F209B"/>
    <w:p w:rsidR="00642EFC" w:rsidRDefault="009F209B">
      <w:r>
        <w:rPr>
          <w:noProof/>
        </w:rPr>
        <w:drawing>
          <wp:inline distT="0" distB="0" distL="0" distR="0">
            <wp:extent cx="5274310" cy="58400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itional Figure 3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4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09B" w:rsidRDefault="009F209B"/>
    <w:p w:rsidR="00522C07" w:rsidRDefault="009F209B" w:rsidP="00FD70F5">
      <w:pPr>
        <w:spacing w:line="360" w:lineRule="auto"/>
        <w:jc w:val="left"/>
        <w:rPr>
          <w:rFonts w:ascii="Times New Roman" w:hAnsi="Times New Roman"/>
          <w:color w:val="00003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0033"/>
          <w:szCs w:val="21"/>
          <w:shd w:val="clear" w:color="auto" w:fill="FFFFFF"/>
        </w:rPr>
        <w:t xml:space="preserve">Additional </w:t>
      </w:r>
      <w:r w:rsidRPr="00267BA8">
        <w:rPr>
          <w:rFonts w:ascii="Times New Roman" w:hAnsi="Times New Roman" w:cs="Times New Roman"/>
          <w:b/>
          <w:color w:val="000033"/>
          <w:szCs w:val="21"/>
          <w:shd w:val="clear" w:color="auto" w:fill="FFFFFF"/>
        </w:rPr>
        <w:t xml:space="preserve">Figure </w:t>
      </w:r>
      <w:r>
        <w:rPr>
          <w:rFonts w:ascii="Times New Roman" w:hAnsi="Times New Roman" w:cs="Times New Roman"/>
          <w:b/>
          <w:color w:val="000033"/>
          <w:szCs w:val="21"/>
          <w:shd w:val="clear" w:color="auto" w:fill="FFFFFF"/>
        </w:rPr>
        <w:t xml:space="preserve">4 </w:t>
      </w:r>
      <w:r w:rsidRPr="00267BA8">
        <w:rPr>
          <w:rFonts w:ascii="Times New Roman" w:hAnsi="Times New Roman" w:cs="Times New Roman"/>
          <w:b/>
          <w:color w:val="000033"/>
          <w:szCs w:val="21"/>
          <w:shd w:val="clear" w:color="auto" w:fill="FFFFFF"/>
        </w:rPr>
        <w:t xml:space="preserve"> </w:t>
      </w:r>
      <w:r w:rsidRPr="00267BA8">
        <w:rPr>
          <w:rFonts w:ascii="Times New Roman" w:eastAsia="宋体" w:hAnsi="Times New Roman"/>
          <w:b/>
          <w:color w:val="000033"/>
          <w:szCs w:val="21"/>
        </w:rPr>
        <w:t>Cytokine</w:t>
      </w:r>
      <w:r w:rsidR="00D7104B">
        <w:rPr>
          <w:rFonts w:ascii="Times New Roman" w:eastAsia="宋体" w:hAnsi="Times New Roman" w:hint="eastAsia"/>
          <w:b/>
          <w:color w:val="000033"/>
          <w:szCs w:val="21"/>
        </w:rPr>
        <w:t>s</w:t>
      </w:r>
      <w:r w:rsidRPr="00267BA8">
        <w:rPr>
          <w:rFonts w:ascii="Times New Roman" w:hAnsi="Times New Roman"/>
          <w:b/>
          <w:color w:val="000033"/>
          <w:szCs w:val="21"/>
          <w:shd w:val="clear" w:color="auto" w:fill="FFFFFF"/>
        </w:rPr>
        <w:t xml:space="preserve"> data </w:t>
      </w:r>
      <w:r w:rsidRPr="00267BA8">
        <w:rPr>
          <w:rFonts w:ascii="Times New Roman" w:eastAsia="宋体" w:hAnsi="Times New Roman"/>
          <w:b/>
          <w:color w:val="000033"/>
          <w:szCs w:val="21"/>
        </w:rPr>
        <w:t xml:space="preserve">obtained </w:t>
      </w:r>
      <w:r w:rsidRPr="00267BA8">
        <w:rPr>
          <w:rFonts w:ascii="Times New Roman" w:hAnsi="Times New Roman"/>
          <w:b/>
          <w:color w:val="000033"/>
          <w:szCs w:val="21"/>
          <w:shd w:val="clear" w:color="auto" w:fill="FFFFFF"/>
        </w:rPr>
        <w:t xml:space="preserve">in </w:t>
      </w:r>
      <w:r w:rsidR="00E75DB0">
        <w:rPr>
          <w:rFonts w:ascii="Times New Roman" w:hAnsi="Times New Roman"/>
          <w:b/>
          <w:color w:val="000033"/>
          <w:szCs w:val="21"/>
          <w:shd w:val="clear" w:color="auto" w:fill="FFFFFF"/>
        </w:rPr>
        <w:t>the</w:t>
      </w:r>
      <w:bookmarkStart w:id="0" w:name="_GoBack"/>
      <w:bookmarkEnd w:id="0"/>
      <w:r w:rsidRPr="00267BA8">
        <w:rPr>
          <w:rFonts w:ascii="Times New Roman" w:hAnsi="Times New Roman"/>
          <w:b/>
          <w:color w:val="000033"/>
          <w:szCs w:val="21"/>
          <w:shd w:val="clear" w:color="auto" w:fill="FFFFFF"/>
        </w:rPr>
        <w:t xml:space="preserve"> time-dependent manner </w:t>
      </w:r>
      <w:r w:rsidRPr="00267BA8">
        <w:rPr>
          <w:rFonts w:ascii="Times New Roman" w:eastAsia="宋体" w:hAnsi="Times New Roman"/>
          <w:b/>
          <w:color w:val="000033"/>
          <w:szCs w:val="21"/>
        </w:rPr>
        <w:t>are shown.</w:t>
      </w:r>
      <w:r>
        <w:rPr>
          <w:rFonts w:ascii="Times New Roman" w:eastAsia="宋体" w:hAnsi="Times New Roman"/>
          <w:color w:val="000033"/>
          <w:szCs w:val="21"/>
        </w:rPr>
        <w:t xml:space="preserve">  </w:t>
      </w:r>
      <w:r w:rsidRPr="00267BA8">
        <w:rPr>
          <w:rFonts w:ascii="Times New Roman" w:hAnsi="Times New Roman"/>
          <w:color w:val="000033"/>
          <w:szCs w:val="21"/>
          <w:shd w:val="clear" w:color="auto" w:fill="FFFFFF"/>
        </w:rPr>
        <w:t>Serum was collected from all 7 animals 1 day before challenge and 2, 6, 10, 14, 21, and 28 days post challenge for the animals in group 1 that were infected with 2016-CY-41 and 4, 8, 12, 16, 23, and 30 days post-challenge for the transmission macaques in group 2 that were cohoused with challenged animals</w:t>
      </w:r>
      <w:r w:rsidR="00522C07">
        <w:rPr>
          <w:rFonts w:ascii="Times New Roman" w:hAnsi="Times New Roman"/>
          <w:color w:val="000033"/>
          <w:szCs w:val="21"/>
          <w:shd w:val="clear" w:color="auto" w:fill="FFFFFF"/>
        </w:rPr>
        <w:t xml:space="preserve">. </w:t>
      </w:r>
      <w:r w:rsidR="00FD70F5" w:rsidRPr="00FD70F5">
        <w:rPr>
          <w:rFonts w:ascii="Times New Roman" w:hAnsi="Times New Roman"/>
          <w:color w:val="000033"/>
          <w:szCs w:val="21"/>
          <w:shd w:val="clear" w:color="auto" w:fill="FFFFFF"/>
        </w:rPr>
        <w:t>Levels of</w:t>
      </w:r>
      <w:r w:rsidR="00FD70F5">
        <w:rPr>
          <w:rFonts w:ascii="Times New Roman" w:hAnsi="Times New Roman"/>
          <w:color w:val="000033"/>
          <w:szCs w:val="21"/>
          <w:shd w:val="clear" w:color="auto" w:fill="FFFFFF"/>
        </w:rPr>
        <w:t xml:space="preserve"> IL-6 (A), IL-10 (B), IL-12/23p40 (C)</w:t>
      </w:r>
      <w:r w:rsidR="00681D81">
        <w:rPr>
          <w:rFonts w:ascii="Times New Roman" w:hAnsi="Times New Roman"/>
          <w:color w:val="000033"/>
          <w:szCs w:val="21"/>
          <w:shd w:val="clear" w:color="auto" w:fill="FFFFFF"/>
        </w:rPr>
        <w:t>, IL-</w:t>
      </w:r>
      <w:r w:rsidR="00681D81" w:rsidRPr="00681D81">
        <w:rPr>
          <w:rFonts w:ascii="Times New Roman" w:hAnsi="Times New Roman" w:cs="Times New Roman"/>
          <w:color w:val="000033"/>
          <w:szCs w:val="21"/>
          <w:shd w:val="clear" w:color="auto" w:fill="FFFFFF"/>
        </w:rPr>
        <w:t>1β</w:t>
      </w:r>
      <w:r w:rsidR="00681D81">
        <w:rPr>
          <w:rFonts w:ascii="Times New Roman" w:hAnsi="Times New Roman" w:cs="Times New Roman"/>
          <w:color w:val="000033"/>
          <w:szCs w:val="21"/>
          <w:shd w:val="clear" w:color="auto" w:fill="FFFFFF"/>
        </w:rPr>
        <w:t xml:space="preserve"> (D), and TNF</w:t>
      </w:r>
      <w:r w:rsidR="00681D81" w:rsidRPr="00681D81">
        <w:rPr>
          <w:rFonts w:ascii="Times New Roman" w:hAnsi="Times New Roman" w:cs="Times New Roman"/>
          <w:color w:val="000033"/>
          <w:szCs w:val="21"/>
          <w:shd w:val="clear" w:color="auto" w:fill="FFFFFF"/>
        </w:rPr>
        <w:t>-α</w:t>
      </w:r>
      <w:r w:rsidR="009B3DAA">
        <w:rPr>
          <w:rFonts w:ascii="Times New Roman" w:hAnsi="Times New Roman" w:cs="Times New Roman"/>
          <w:color w:val="000033"/>
          <w:szCs w:val="21"/>
          <w:shd w:val="clear" w:color="auto" w:fill="FFFFFF"/>
        </w:rPr>
        <w:t xml:space="preserve"> (E)</w:t>
      </w:r>
      <w:r w:rsidR="009B3DAA">
        <w:rPr>
          <w:rFonts w:ascii="Times New Roman" w:hAnsi="Times New Roman" w:hint="eastAsia"/>
          <w:color w:val="000033"/>
          <w:szCs w:val="21"/>
          <w:shd w:val="clear" w:color="auto" w:fill="FFFFFF"/>
        </w:rPr>
        <w:t xml:space="preserve"> </w:t>
      </w:r>
      <w:r w:rsidR="00FD70F5" w:rsidRPr="00FD70F5">
        <w:rPr>
          <w:rFonts w:ascii="Times New Roman" w:hAnsi="Times New Roman"/>
          <w:color w:val="000033"/>
          <w:szCs w:val="21"/>
          <w:shd w:val="clear" w:color="auto" w:fill="FFFFFF"/>
        </w:rPr>
        <w:t xml:space="preserve">were determined by </w:t>
      </w:r>
      <w:r w:rsidR="009B3DAA" w:rsidRPr="00CC7F54">
        <w:rPr>
          <w:rFonts w:ascii="Times New Roman" w:hAnsi="Times New Roman"/>
          <w:color w:val="000033"/>
          <w:szCs w:val="21"/>
          <w:shd w:val="clear" w:color="auto" w:fill="FFFFFF"/>
        </w:rPr>
        <w:t>the Luminex technique with a MILLIPLEX NHP Magnetic Bead Panel according to the manufacturer’s instructions.</w:t>
      </w:r>
      <w:r w:rsidR="00FD70F5" w:rsidRPr="00FD70F5">
        <w:rPr>
          <w:rFonts w:ascii="Times New Roman" w:hAnsi="Times New Roman"/>
          <w:color w:val="000033"/>
          <w:szCs w:val="21"/>
          <w:shd w:val="clear" w:color="auto" w:fill="FFFFFF"/>
        </w:rPr>
        <w:t xml:space="preserve"> </w:t>
      </w:r>
      <w:r w:rsidR="00522C07">
        <w:rPr>
          <w:rFonts w:ascii="Times New Roman" w:hAnsi="Times New Roman"/>
          <w:color w:val="000033"/>
          <w:szCs w:val="21"/>
          <w:shd w:val="clear" w:color="auto" w:fill="FFFFFF"/>
        </w:rPr>
        <w:t>Results</w:t>
      </w:r>
      <w:r w:rsidR="00FD70F5" w:rsidRPr="00FD70F5">
        <w:rPr>
          <w:rFonts w:ascii="Times New Roman" w:hAnsi="Times New Roman"/>
          <w:color w:val="000033"/>
          <w:szCs w:val="21"/>
          <w:shd w:val="clear" w:color="auto" w:fill="FFFFFF"/>
        </w:rPr>
        <w:t xml:space="preserve"> are presented </w:t>
      </w:r>
      <w:r w:rsidR="00522C07">
        <w:rPr>
          <w:rFonts w:ascii="Times New Roman" w:hAnsi="Times New Roman"/>
          <w:color w:val="000033"/>
          <w:szCs w:val="21"/>
          <w:shd w:val="clear" w:color="auto" w:fill="FFFFFF"/>
        </w:rPr>
        <w:t>in the time-dependent manner.</w:t>
      </w:r>
    </w:p>
    <w:p w:rsidR="009F209B" w:rsidRDefault="009F209B"/>
    <w:sectPr w:rsidR="009F2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Helv_R">
    <w:altName w:val="Times New Roman"/>
    <w:panose1 w:val="00000000000000000000"/>
    <w:charset w:val="00"/>
    <w:family w:val="roman"/>
    <w:notTrueType/>
    <w:pitch w:val="default"/>
  </w:font>
  <w:font w:name="MATHG-1A">
    <w:altName w:val="Times New Roman"/>
    <w:panose1 w:val="00000000000000000000"/>
    <w:charset w:val="00"/>
    <w:family w:val="roman"/>
    <w:notTrueType/>
    <w:pitch w:val="default"/>
  </w:font>
  <w:font w:name="MTSY">
    <w:altName w:val="Times New Roman"/>
    <w:panose1 w:val="00000000000000000000"/>
    <w:charset w:val="00"/>
    <w:family w:val="roman"/>
    <w:notTrueType/>
    <w:pitch w:val="default"/>
  </w:font>
  <w:font w:name="GulliverI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9B"/>
    <w:rsid w:val="003E1380"/>
    <w:rsid w:val="00522C07"/>
    <w:rsid w:val="005D4126"/>
    <w:rsid w:val="00681D81"/>
    <w:rsid w:val="009B3DAA"/>
    <w:rsid w:val="009F209B"/>
    <w:rsid w:val="00C929AC"/>
    <w:rsid w:val="00CC7F54"/>
    <w:rsid w:val="00D7104B"/>
    <w:rsid w:val="00E75DB0"/>
    <w:rsid w:val="00F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5DAD"/>
  <w15:chartTrackingRefBased/>
  <w15:docId w15:val="{BF1B9B54-7266-4057-BE90-28BB3617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C7F54"/>
    <w:rPr>
      <w:rFonts w:ascii="AdvHelv_R" w:hAnsi="AdvHelv_R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a0"/>
    <w:rsid w:val="00FD70F5"/>
    <w:rPr>
      <w:rFonts w:ascii="MATHG-1A" w:hAnsi="MATHG-1A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a0"/>
    <w:rsid w:val="00FD70F5"/>
    <w:rPr>
      <w:rFonts w:ascii="MTSY" w:hAnsi="MTSY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a0"/>
    <w:rsid w:val="00FD70F5"/>
    <w:rPr>
      <w:rFonts w:ascii="GulliverIT" w:hAnsi="GulliverIT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18740033027@163.com</dc:creator>
  <cp:keywords/>
  <dc:description/>
  <cp:lastModifiedBy>18740033027@163.com</cp:lastModifiedBy>
  <cp:revision>11</cp:revision>
  <dcterms:created xsi:type="dcterms:W3CDTF">2021-04-12T01:00:00Z</dcterms:created>
  <dcterms:modified xsi:type="dcterms:W3CDTF">2021-04-12T02:14:00Z</dcterms:modified>
</cp:coreProperties>
</file>