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F673" w14:textId="549B67F7" w:rsidR="00BB7078" w:rsidRPr="00D618F2" w:rsidRDefault="0027299B" w:rsidP="008D2827">
      <w:pPr>
        <w:rPr>
          <w:rFonts w:asciiTheme="majorHAnsi" w:eastAsiaTheme="majorEastAsia" w:hAnsiTheme="majorHAnsi" w:cstheme="majorBidi"/>
          <w:spacing w:val="-10"/>
          <w:kern w:val="28"/>
          <w:sz w:val="44"/>
          <w:szCs w:val="44"/>
        </w:rPr>
      </w:pPr>
      <w:bookmarkStart w:id="0" w:name="_GoBack"/>
      <w:bookmarkEnd w:id="0"/>
      <w:r w:rsidRPr="00D618F2">
        <w:rPr>
          <w:rFonts w:asciiTheme="majorHAnsi" w:eastAsiaTheme="majorEastAsia" w:hAnsiTheme="majorHAnsi" w:cstheme="majorBidi"/>
          <w:spacing w:val="-10"/>
          <w:kern w:val="28"/>
          <w:sz w:val="44"/>
          <w:szCs w:val="44"/>
        </w:rPr>
        <w:t>A re-assessment of 4CMenB vaccine e</w:t>
      </w:r>
      <w:r w:rsidR="0097090D" w:rsidRPr="00D618F2">
        <w:rPr>
          <w:rFonts w:asciiTheme="majorHAnsi" w:eastAsiaTheme="majorEastAsia" w:hAnsiTheme="majorHAnsi" w:cstheme="majorBidi"/>
          <w:spacing w:val="-10"/>
          <w:kern w:val="28"/>
          <w:sz w:val="44"/>
          <w:szCs w:val="44"/>
        </w:rPr>
        <w:t>ffectiveness against serogroup B meningococcal disease in England</w:t>
      </w:r>
      <w:r w:rsidRPr="00D618F2">
        <w:rPr>
          <w:rFonts w:asciiTheme="majorHAnsi" w:eastAsiaTheme="majorEastAsia" w:hAnsiTheme="majorHAnsi" w:cstheme="majorBidi"/>
          <w:spacing w:val="-10"/>
          <w:kern w:val="28"/>
          <w:sz w:val="44"/>
          <w:szCs w:val="44"/>
        </w:rPr>
        <w:t xml:space="preserve"> based on an incidence model</w:t>
      </w:r>
    </w:p>
    <w:p w14:paraId="661B50A2" w14:textId="77777777" w:rsidR="0097090D" w:rsidRPr="00D618F2" w:rsidRDefault="0097090D" w:rsidP="008D2827">
      <w:pPr>
        <w:rPr>
          <w:rFonts w:ascii="Arial" w:hAnsi="Arial" w:cs="Arial"/>
          <w:b/>
          <w:sz w:val="36"/>
          <w:szCs w:val="36"/>
        </w:rPr>
      </w:pPr>
    </w:p>
    <w:p w14:paraId="429CD7A0" w14:textId="1E55A37C" w:rsidR="003B3303" w:rsidRPr="008668C8" w:rsidRDefault="00DA6DA9" w:rsidP="008D2827">
      <w:pPr>
        <w:pStyle w:val="Subtitle"/>
        <w:rPr>
          <w:rStyle w:val="SubtleEmphasis"/>
          <w:rFonts w:asciiTheme="majorHAnsi" w:hAnsiTheme="majorHAnsi"/>
          <w:color w:val="2F5496"/>
          <w:sz w:val="44"/>
          <w:lang w:val="it-IT"/>
        </w:rPr>
      </w:pPr>
      <w:r w:rsidRPr="008668C8">
        <w:rPr>
          <w:rStyle w:val="SubtleEmphasis"/>
          <w:rFonts w:asciiTheme="majorHAnsi" w:hAnsiTheme="majorHAnsi"/>
          <w:color w:val="2F5496"/>
          <w:sz w:val="44"/>
          <w:lang w:val="it-IT"/>
        </w:rPr>
        <w:t>Supplementary information</w:t>
      </w:r>
    </w:p>
    <w:p w14:paraId="01C8B184" w14:textId="77777777" w:rsidR="00BB7078" w:rsidRPr="008668C8" w:rsidRDefault="00BB7078" w:rsidP="008D2827">
      <w:pPr>
        <w:rPr>
          <w:rFonts w:ascii="Arial" w:hAnsi="Arial"/>
          <w:b/>
          <w:sz w:val="36"/>
          <w:lang w:val="it-IT"/>
        </w:rPr>
      </w:pPr>
    </w:p>
    <w:p w14:paraId="150574CB" w14:textId="1316D8C1" w:rsidR="00BB7078" w:rsidRPr="005366A5" w:rsidRDefault="00BB7078" w:rsidP="008D2827">
      <w:pPr>
        <w:spacing w:after="120"/>
        <w:contextualSpacing/>
        <w:rPr>
          <w:rFonts w:cstheme="minorHAnsi"/>
          <w:b/>
          <w:lang w:val="it-IT"/>
        </w:rPr>
      </w:pPr>
      <w:bookmarkStart w:id="1" w:name="_Hlk44493580"/>
      <w:r w:rsidRPr="005366A5">
        <w:rPr>
          <w:rFonts w:cstheme="minorHAnsi"/>
          <w:color w:val="0D0D0D" w:themeColor="text1" w:themeTint="F2"/>
          <w:lang w:val="it-IT"/>
        </w:rPr>
        <w:t>Lorenzo Argante</w:t>
      </w:r>
      <w:r w:rsidRPr="005366A5">
        <w:rPr>
          <w:rFonts w:cstheme="minorHAnsi"/>
          <w:color w:val="0D0D0D" w:themeColor="text1" w:themeTint="F2"/>
          <w:vertAlign w:val="superscript"/>
          <w:lang w:val="it-IT"/>
        </w:rPr>
        <w:t>1</w:t>
      </w:r>
      <w:r w:rsidRPr="005366A5">
        <w:rPr>
          <w:rFonts w:cstheme="minorHAnsi"/>
          <w:color w:val="0D0D0D" w:themeColor="text1" w:themeTint="F2"/>
          <w:lang w:val="it-IT"/>
        </w:rPr>
        <w:t>, Victoria Abbing</w:t>
      </w:r>
      <w:r w:rsidR="00847F99" w:rsidRPr="005366A5">
        <w:rPr>
          <w:rFonts w:cstheme="minorHAnsi"/>
          <w:color w:val="0D0D0D" w:themeColor="text1" w:themeTint="F2"/>
          <w:lang w:val="it-IT"/>
        </w:rPr>
        <w:t>-Karahagopian</w:t>
      </w:r>
      <w:r w:rsidRPr="005366A5">
        <w:rPr>
          <w:rFonts w:cstheme="minorHAnsi"/>
          <w:color w:val="0D0D0D" w:themeColor="text1" w:themeTint="F2"/>
          <w:vertAlign w:val="superscript"/>
          <w:lang w:val="it-IT"/>
        </w:rPr>
        <w:t>2</w:t>
      </w:r>
      <w:r w:rsidRPr="005366A5">
        <w:rPr>
          <w:rFonts w:cstheme="minorHAnsi"/>
          <w:color w:val="0D0D0D" w:themeColor="text1" w:themeTint="F2"/>
          <w:lang w:val="it-IT"/>
        </w:rPr>
        <w:t>, Kumaran Vadivelu</w:t>
      </w:r>
      <w:r w:rsidRPr="005366A5">
        <w:rPr>
          <w:rFonts w:cstheme="minorHAnsi"/>
          <w:color w:val="0D0D0D" w:themeColor="text1" w:themeTint="F2"/>
          <w:vertAlign w:val="superscript"/>
          <w:lang w:val="it-IT"/>
        </w:rPr>
        <w:t>1</w:t>
      </w:r>
      <w:r w:rsidRPr="005366A5">
        <w:rPr>
          <w:rFonts w:cstheme="minorHAnsi"/>
          <w:color w:val="0D0D0D" w:themeColor="text1" w:themeTint="F2"/>
          <w:lang w:val="it-IT"/>
        </w:rPr>
        <w:t>, Rino Rappuoli</w:t>
      </w:r>
      <w:r w:rsidRPr="005366A5">
        <w:rPr>
          <w:rFonts w:cstheme="minorHAnsi"/>
          <w:color w:val="0D0D0D" w:themeColor="text1" w:themeTint="F2"/>
          <w:vertAlign w:val="superscript"/>
          <w:lang w:val="it-IT"/>
        </w:rPr>
        <w:t>1</w:t>
      </w:r>
      <w:r w:rsidRPr="005366A5">
        <w:rPr>
          <w:rFonts w:cstheme="minorHAnsi"/>
          <w:color w:val="0D0D0D" w:themeColor="text1" w:themeTint="F2"/>
          <w:lang w:val="it-IT"/>
        </w:rPr>
        <w:t xml:space="preserve"> and Duccio Medini</w:t>
      </w:r>
      <w:r w:rsidRPr="005366A5">
        <w:rPr>
          <w:rFonts w:cstheme="minorHAnsi"/>
          <w:color w:val="0D0D0D" w:themeColor="text1" w:themeTint="F2"/>
          <w:vertAlign w:val="superscript"/>
          <w:lang w:val="it-IT"/>
        </w:rPr>
        <w:t>1</w:t>
      </w:r>
    </w:p>
    <w:bookmarkEnd w:id="1"/>
    <w:p w14:paraId="507D2471" w14:textId="77777777" w:rsidR="0097090D" w:rsidRPr="00D618F2" w:rsidRDefault="00BB7078" w:rsidP="008D2827">
      <w:pPr>
        <w:pStyle w:val="PlainText"/>
        <w:spacing w:after="120"/>
        <w:contextualSpacing/>
        <w:rPr>
          <w:rFonts w:asciiTheme="minorHAnsi" w:hAnsiTheme="minorHAnsi" w:cstheme="minorHAnsi"/>
          <w:i/>
          <w:iCs/>
          <w:sz w:val="24"/>
          <w:szCs w:val="24"/>
        </w:rPr>
      </w:pPr>
      <w:r w:rsidRPr="00D618F2">
        <w:rPr>
          <w:rFonts w:asciiTheme="minorHAnsi" w:hAnsiTheme="minorHAnsi" w:cstheme="minorHAnsi"/>
          <w:i/>
          <w:iCs/>
          <w:color w:val="0D0D0D" w:themeColor="text1" w:themeTint="F2"/>
          <w:sz w:val="24"/>
          <w:szCs w:val="24"/>
          <w:vertAlign w:val="superscript"/>
        </w:rPr>
        <w:t>1</w:t>
      </w:r>
      <w:r w:rsidRPr="00D618F2">
        <w:rPr>
          <w:rFonts w:asciiTheme="minorHAnsi" w:hAnsiTheme="minorHAnsi" w:cstheme="minorHAnsi"/>
          <w:i/>
          <w:iCs/>
          <w:sz w:val="24"/>
          <w:szCs w:val="24"/>
        </w:rPr>
        <w:t>GSK, Siena, Italy</w:t>
      </w:r>
    </w:p>
    <w:p w14:paraId="75932460" w14:textId="6BEBD80E" w:rsidR="00BB7078" w:rsidRPr="00D618F2" w:rsidRDefault="00BB7078" w:rsidP="008D2827">
      <w:pPr>
        <w:pStyle w:val="PlainText"/>
        <w:spacing w:after="120"/>
        <w:contextualSpacing/>
        <w:rPr>
          <w:rFonts w:asciiTheme="minorHAnsi" w:hAnsiTheme="minorHAnsi" w:cstheme="minorHAnsi"/>
          <w:i/>
          <w:iCs/>
          <w:sz w:val="24"/>
          <w:szCs w:val="24"/>
        </w:rPr>
      </w:pPr>
      <w:r w:rsidRPr="00D618F2">
        <w:rPr>
          <w:rFonts w:asciiTheme="minorHAnsi" w:hAnsiTheme="minorHAnsi" w:cstheme="minorHAnsi"/>
          <w:i/>
          <w:iCs/>
          <w:sz w:val="24"/>
          <w:szCs w:val="24"/>
          <w:vertAlign w:val="superscript"/>
        </w:rPr>
        <w:t>2</w:t>
      </w:r>
      <w:r w:rsidRPr="00D618F2">
        <w:rPr>
          <w:rFonts w:asciiTheme="minorHAnsi" w:hAnsiTheme="minorHAnsi" w:cstheme="minorHAnsi"/>
          <w:i/>
          <w:iCs/>
          <w:sz w:val="24"/>
          <w:szCs w:val="24"/>
        </w:rPr>
        <w:t>GSK, Amsterdam, the Netherlands</w:t>
      </w:r>
    </w:p>
    <w:p w14:paraId="664F8DF2" w14:textId="77777777" w:rsidR="00BB7078" w:rsidRPr="00D618F2" w:rsidRDefault="00BB7078" w:rsidP="008D2827">
      <w:pPr>
        <w:rPr>
          <w:rFonts w:ascii="Arial" w:hAnsi="Arial" w:cs="Arial"/>
          <w:b/>
          <w:sz w:val="36"/>
          <w:szCs w:val="36"/>
        </w:rPr>
      </w:pPr>
    </w:p>
    <w:p w14:paraId="7B3DDDD8" w14:textId="77777777" w:rsidR="006F1794" w:rsidRPr="00D618F2" w:rsidRDefault="006F1794" w:rsidP="008D2827">
      <w:pPr>
        <w:rPr>
          <w:rFonts w:cs="Arial"/>
          <w:b/>
          <w:sz w:val="28"/>
          <w:szCs w:val="28"/>
        </w:rPr>
      </w:pPr>
    </w:p>
    <w:p w14:paraId="20A5A230" w14:textId="1B8A8823" w:rsidR="00595B43" w:rsidRPr="00D618F2" w:rsidRDefault="00595B43" w:rsidP="00595B43">
      <w:pPr>
        <w:rPr>
          <w:rFonts w:cs="Arial"/>
          <w:b/>
          <w:sz w:val="28"/>
          <w:szCs w:val="28"/>
        </w:rPr>
      </w:pPr>
      <w:r w:rsidRPr="00D618F2">
        <w:rPr>
          <w:rFonts w:cs="Arial"/>
          <w:b/>
          <w:sz w:val="28"/>
          <w:szCs w:val="28"/>
        </w:rPr>
        <w:br w:type="page"/>
      </w:r>
    </w:p>
    <w:p w14:paraId="06F0C114" w14:textId="77777777" w:rsidR="007A37DC" w:rsidRPr="00D618F2" w:rsidRDefault="007A37DC" w:rsidP="000C33AC">
      <w:pPr>
        <w:pStyle w:val="Heading1"/>
        <w:numPr>
          <w:ilvl w:val="0"/>
          <w:numId w:val="0"/>
        </w:numPr>
        <w:ind w:left="432" w:hanging="432"/>
      </w:pPr>
      <w:r w:rsidRPr="00D618F2">
        <w:lastRenderedPageBreak/>
        <w:t>S1 Relationship between impact, uptake and effectiveness</w:t>
      </w:r>
    </w:p>
    <w:p w14:paraId="7631EDA8" w14:textId="233F795B" w:rsidR="007A37DC" w:rsidRPr="00D618F2" w:rsidRDefault="007A37DC" w:rsidP="0027299B">
      <w:pPr>
        <w:spacing w:after="120"/>
        <w:rPr>
          <w:rFonts w:cs="Arial"/>
        </w:rPr>
      </w:pPr>
      <w:r w:rsidRPr="00D618F2">
        <w:rPr>
          <w:rFonts w:cs="Arial"/>
        </w:rPr>
        <w:t xml:space="preserve">The vaccine impact </w:t>
      </w:r>
      <w:r w:rsidR="00FA261B">
        <w:rPr>
          <w:rFonts w:cs="Arial"/>
        </w:rPr>
        <w:t>(</w:t>
      </w:r>
      <w:r w:rsidRPr="00D618F2">
        <w:rPr>
          <w:rFonts w:cs="Arial"/>
        </w:rPr>
        <w:t>VI</w:t>
      </w:r>
      <w:r w:rsidR="00FA261B">
        <w:rPr>
          <w:rFonts w:cs="Arial"/>
        </w:rPr>
        <w:t>)</w:t>
      </w:r>
      <w:r w:rsidRPr="00D618F2">
        <w:rPr>
          <w:rFonts w:cs="Arial"/>
        </w:rPr>
        <w:t xml:space="preserve"> </w:t>
      </w:r>
      <w:r w:rsidR="009521C6" w:rsidRPr="00D618F2">
        <w:rPr>
          <w:rFonts w:cs="Arial"/>
        </w:rPr>
        <w:t>during</w:t>
      </w:r>
      <w:r w:rsidRPr="00D618F2">
        <w:rPr>
          <w:rFonts w:cs="Arial"/>
        </w:rPr>
        <w:t xml:space="preserve"> a</w:t>
      </w:r>
      <w:r w:rsidR="009521C6" w:rsidRPr="00D618F2">
        <w:rPr>
          <w:rFonts w:cs="Arial"/>
        </w:rPr>
        <w:t xml:space="preserve"> country-level immunization prog</w:t>
      </w:r>
      <w:r w:rsidR="004D5D26" w:rsidRPr="00D618F2">
        <w:rPr>
          <w:rFonts w:cs="Arial"/>
        </w:rPr>
        <w:t>r</w:t>
      </w:r>
      <w:r w:rsidR="009521C6" w:rsidRPr="00D618F2">
        <w:rPr>
          <w:rFonts w:cs="Arial"/>
        </w:rPr>
        <w:t>am</w:t>
      </w:r>
      <w:r w:rsidRPr="00D618F2">
        <w:rPr>
          <w:rFonts w:cs="Arial"/>
        </w:rPr>
        <w:t xml:space="preserve"> depends on both direct and indirect effectiveness, and on the proportion of the considered population that has been vaccinated.</w:t>
      </w:r>
      <w:r w:rsidRPr="00D618F2">
        <w:fldChar w:fldCharType="begin" w:fldLock="1"/>
      </w:r>
      <w:r w:rsidRPr="00D618F2">
        <w:instrText>ADDIN CSL_CITATION {"citationItems":[{"id":"ITEM-1","itemData":{"author":[{"dropping-particle":"","family":"Halloran","given":"M Elizabeth","non-dropping-particle":"","parse-names":false,"suffix":""},{"dropping-particle":"","family":"Longini Jr.","given":"Ira M","non-dropping-particle":"","parse-names":false,"suffix":""},{"dropping-particle":"","family":"Struchiner","given":"Claudio J","non-dropping-particle":"","parse-names":false,"suffix":""}],"collection-title":"Statistics for Biology and Health","id":"ITEM-1","issued":{"date-parts":[["2009"]]},"publisher":"Springer","title":"Design and Analysis of Vaccine Studies: Introduction","type":"book"},"uris":["http://www.mendeley.com/documents/?uuid=47278dbc-239d-4285-a708-3c246959b308"]}],"mendeley":{"formattedCitation":"&lt;sup&gt;1&lt;/sup&gt;","plainTextFormattedCitation":"1","previouslyFormattedCitation":"&lt;sup&gt;1&lt;/sup&gt;"},"properties":{"noteIndex":0},"schema":"https://github.com/citation-style-language/schema/raw/master/csl-citation.json"}</w:instrText>
      </w:r>
      <w:r w:rsidRPr="00D618F2">
        <w:fldChar w:fldCharType="separate"/>
      </w:r>
      <w:r w:rsidRPr="00D618F2">
        <w:rPr>
          <w:noProof/>
          <w:vertAlign w:val="superscript"/>
        </w:rPr>
        <w:t>1</w:t>
      </w:r>
      <w:r w:rsidRPr="00D618F2">
        <w:fldChar w:fldCharType="end"/>
      </w:r>
      <w:r w:rsidRPr="00D618F2">
        <w:rPr>
          <w:rFonts w:cs="Arial"/>
        </w:rPr>
        <w:t xml:space="preserve"> When indirect effects </w:t>
      </w:r>
      <w:r w:rsidR="009521C6" w:rsidRPr="00D618F2">
        <w:rPr>
          <w:rFonts w:cs="Arial"/>
        </w:rPr>
        <w:t xml:space="preserve">(i.e., </w:t>
      </w:r>
      <w:r w:rsidR="00784E35" w:rsidRPr="00D618F2">
        <w:rPr>
          <w:rFonts w:cs="Arial"/>
        </w:rPr>
        <w:t xml:space="preserve">disease risk reduction in the whole population, including non-vaccinated, due to a vaccine-induced decrease in </w:t>
      </w:r>
      <w:r w:rsidR="00815BDE">
        <w:rPr>
          <w:rFonts w:cs="Arial"/>
        </w:rPr>
        <w:t xml:space="preserve">the </w:t>
      </w:r>
      <w:r w:rsidR="00784E35" w:rsidRPr="00D618F2">
        <w:rPr>
          <w:rFonts w:cs="Arial"/>
        </w:rPr>
        <w:t>pathogen’s transmissibility</w:t>
      </w:r>
      <w:r w:rsidR="009521C6" w:rsidRPr="00D618F2">
        <w:rPr>
          <w:rFonts w:cs="Arial"/>
        </w:rPr>
        <w:t xml:space="preserve">) </w:t>
      </w:r>
      <w:r w:rsidRPr="00D618F2">
        <w:rPr>
          <w:rFonts w:cs="Arial"/>
        </w:rPr>
        <w:t>are absent or negligible, especially at the beginning of the campaign, VI simply equals</w:t>
      </w:r>
      <w:r w:rsidR="00A35247">
        <w:rPr>
          <w:rFonts w:cs="Arial"/>
        </w:rPr>
        <w:t xml:space="preserve"> the</w:t>
      </w:r>
      <w:r w:rsidRPr="00D618F2">
        <w:rPr>
          <w:rFonts w:cs="Arial"/>
        </w:rPr>
        <w:t xml:space="preserve"> </w:t>
      </w:r>
      <w:r w:rsidR="00385DFC">
        <w:rPr>
          <w:rFonts w:cs="Arial"/>
        </w:rPr>
        <w:t>vaccine effectiveness (</w:t>
      </w:r>
      <w:r w:rsidRPr="00D618F2">
        <w:rPr>
          <w:rFonts w:cs="Arial"/>
        </w:rPr>
        <w:t>VE</w:t>
      </w:r>
      <w:r w:rsidR="00385DFC">
        <w:rPr>
          <w:rFonts w:cs="Arial"/>
        </w:rPr>
        <w:t>)</w:t>
      </w:r>
      <w:r w:rsidRPr="00D618F2">
        <w:rPr>
          <w:rFonts w:cs="Arial"/>
        </w:rPr>
        <w:t xml:space="preserve"> multiplied by the proportion of vaccinated persons (i.e.</w:t>
      </w:r>
      <w:r w:rsidR="009521C6" w:rsidRPr="00D618F2">
        <w:rPr>
          <w:rFonts w:cs="Arial"/>
        </w:rPr>
        <w:t>,</w:t>
      </w:r>
      <w:r w:rsidRPr="00D618F2">
        <w:rPr>
          <w:rFonts w:cs="Arial"/>
        </w:rPr>
        <w:t xml:space="preserve"> the vaccine uptake). This simple mathematical relationship has </w:t>
      </w:r>
      <w:r w:rsidR="00D10595" w:rsidRPr="00D618F2">
        <w:rPr>
          <w:rFonts w:cs="Arial"/>
        </w:rPr>
        <w:t xml:space="preserve">already </w:t>
      </w:r>
      <w:r w:rsidRPr="00D618F2">
        <w:rPr>
          <w:rFonts w:cs="Arial"/>
        </w:rPr>
        <w:t>been used to evaluate the possible effectiveness of a vaccine for which impact and uptake are known.</w:t>
      </w:r>
      <w:r w:rsidRPr="00D618F2">
        <w:fldChar w:fldCharType="begin" w:fldLock="1"/>
      </w:r>
      <w:r w:rsidRPr="00D618F2">
        <w:instrText>ADDIN CSL_CITATION {"citationItems":[{"id":"ITEM-1","itemData":{"DOI":"10.1016/S2468-2667(17)30234-7","ISSN":"24682667","abstract":"Background: In 2013, a herpes zoster vaccination programme was introduced in England for adults aged 70 years with a phased catch-up programme for those aged 71–79 years. We aimed to evaluate the effect of the first 3 years of the vaccination programme on incidence of herpes zoster and postherpetic neuralgia in this population. Methods: In this population-based study, we extracted data from the Royal College of General Practitioners sentinel primary care network on consultations with patients aged 60–89 years for herpes zoster and postherpetic neuralgia occurring between Oct 1, 2005, and Sept 30, 2016, obtaining data from 164 practices. We identified individual data on herpes zoster vaccinations administered and consultations for herpes zoster and postherpetic neuralgia, and aggregated these data to estimate vaccine coverage and incidence of herpes zoster and postherpetic neuralgia consultations. We defined age cohorts to identify participants targeted in each year of the programme, and as part of the routine or catch-up programme. We modelled incidence according to age, region, gender, time period, and vaccine eligibility using multivariable Poisson regression with an offset for person-years. Findings: Our analysis included 3·36 million person-years of data, corresponding to an average of 310 001 patients aged 60–89 years who were registered at an RCGP practice each year. By Aug 31, 2016, uptake of the vaccine varied between 58% for the recently targeted cohorts and 72% for the first routine cohort. Across the first 3 years of vaccination for the three routine cohorts, incidence of herpes zoster fell by 35% (incidence rate ratio 0·65 [95% 0·60–0·72]) and of postherpetic neuralgia fell by 50% (0·50 [0·38–0·67]). The equivalent reduction for the four catch-up cohorts was 33% for herpes zoster (incidence rate ratio 0·67 [0·61–0·74]) and 38% for postherpetic neuralgia (0·62 [0·50–0·79]). These reductions are consistent with a vaccine effectiveness of about 62% against herpes zoster and 70–88% against postherpetic neuralgia. Interpretation: The herpes zoster vaccination programme in England has had a population impact equivalent to about 17 000 fewer episodes of herpes zoster and 3300 fewer episodes of postherpetic neuralgia among 5·5 million eligible individuals in the first 3 years of the programme. Communication of the public health impact of this programme will be important to reverse the recent trend of declining vaccine coverage. Funding: Public Healt…","author":[{"dropping-particle":"","family":"Amirthalingam","given":"Gayatri","non-dropping-particle":"","parse-names":false,"suffix":""},{"dropping-particle":"","family":"Andrews","given":"Nick","non-dropping-particle":"","parse-names":false,"suffix":""},{"dropping-particle":"","family":"Keel","given":"Philip","non-dropping-particle":"","parse-names":false,"suffix":""},{"dropping-particle":"","family":"Mullett","given":"David","non-dropping-particle":"","parse-names":false,"suffix":""},{"dropping-particle":"","family":"Correa","given":"Ana","non-dropping-particle":"","parse-names":false,"suffix":""},{"dropping-particle":"","family":"Lusignan","given":"Simon","non-dropping-particle":"de","parse-names":false,"suffix":""},{"dropping-particle":"","family":"Ramsay","given":"Mary","non-dropping-particle":"","parse-names":false,"suffix":""}],"container-title":"The Lancet Public Health","id":"ITEM-1","issue":"2","issued":{"date-parts":[["2018"]]},"page":"e82-e90","publisher":"The Author(s). Published by Elsevier Ltd. This is an Open Access article under the CC BY-NC-ND 4.0 license","title":"Evaluation of the effect of the herpes zoster vaccination programme 3 years after its introduction in England: a population-based study","type":"article-journal","volume":"3"},"uris":["http://www.mendeley.com/documents/?uuid=091ab759-d57c-4286-b73b-16960337a23b"]}],"mendeley":{"formattedCitation":"&lt;sup&gt;2&lt;/sup&gt;","plainTextFormattedCitation":"2","previouslyFormattedCitation":"&lt;sup&gt;2&lt;/sup&gt;"},"properties":{"noteIndex":0},"schema":"https://github.com/citation-style-language/schema/raw/master/csl-citation.json"}</w:instrText>
      </w:r>
      <w:r w:rsidRPr="00D618F2">
        <w:fldChar w:fldCharType="separate"/>
      </w:r>
      <w:r w:rsidRPr="00D618F2">
        <w:rPr>
          <w:noProof/>
          <w:vertAlign w:val="superscript"/>
        </w:rPr>
        <w:t>2</w:t>
      </w:r>
      <w:r w:rsidRPr="00D618F2">
        <w:fldChar w:fldCharType="end"/>
      </w:r>
      <w:r w:rsidRPr="00D618F2">
        <w:t xml:space="preserve"> We provide here its formal derivation.</w:t>
      </w:r>
      <w:r w:rsidRPr="00D618F2">
        <w:rPr>
          <w:rFonts w:cs="Arial"/>
        </w:rPr>
        <w:t xml:space="preserve"> </w:t>
      </w:r>
    </w:p>
    <w:p w14:paraId="7477397E" w14:textId="30ABD341" w:rsidR="007A37DC" w:rsidRPr="00D618F2" w:rsidRDefault="007A37DC" w:rsidP="007A37DC">
      <w:pPr>
        <w:ind w:firstLine="720"/>
        <w:rPr>
          <w:rFonts w:cs="Arial"/>
        </w:rPr>
      </w:pPr>
      <w:r w:rsidRPr="00D618F2">
        <w:rPr>
          <w:rFonts w:cs="Arial"/>
        </w:rPr>
        <w:t xml:space="preserve">The direct vaccine effectiveness </w:t>
      </w:r>
      <m:oMath>
        <m:sSub>
          <m:sSubPr>
            <m:ctrlPr>
              <w:rPr>
                <w:rFonts w:ascii="Cambria Math" w:hAnsi="Cambria Math" w:cs="Arial"/>
                <w:i/>
              </w:rPr>
            </m:ctrlPr>
          </m:sSubPr>
          <m:e>
            <m:r>
              <w:rPr>
                <w:rFonts w:ascii="Cambria Math" w:hAnsi="Cambria Math" w:cs="Arial"/>
              </w:rPr>
              <m:t>VE</m:t>
            </m:r>
          </m:e>
          <m:sub>
            <m:r>
              <w:rPr>
                <w:rFonts w:ascii="Cambria Math" w:hAnsi="Cambria Math" w:cs="Arial"/>
              </w:rPr>
              <m:t>i</m:t>
            </m:r>
          </m:sub>
        </m:sSub>
      </m:oMath>
      <w:r w:rsidRPr="00D618F2">
        <w:rPr>
          <w:rFonts w:cs="Arial"/>
        </w:rPr>
        <w:t xml:space="preserve"> after </w:t>
      </w:r>
      <m:oMath>
        <m:r>
          <w:rPr>
            <w:rFonts w:ascii="Cambria Math" w:hAnsi="Cambria Math" w:cs="Arial"/>
          </w:rPr>
          <m:t>i=0, 1,…,n</m:t>
        </m:r>
      </m:oMath>
      <w:r w:rsidRPr="00D618F2">
        <w:rPr>
          <w:rFonts w:eastAsiaTheme="minorEastAsia" w:cs="Arial"/>
        </w:rPr>
        <w:t xml:space="preserve"> </w:t>
      </w:r>
      <w:r w:rsidRPr="00D618F2">
        <w:rPr>
          <w:rFonts w:cs="Arial"/>
        </w:rPr>
        <w:t>doses is defined</w:t>
      </w:r>
      <w:r w:rsidRPr="00D618F2">
        <w:rPr>
          <w:rFonts w:cs="Arial"/>
        </w:rPr>
        <w:fldChar w:fldCharType="begin" w:fldLock="1"/>
      </w:r>
      <w:r w:rsidRPr="00D618F2">
        <w:rPr>
          <w:rFonts w:cs="Arial"/>
        </w:rPr>
        <w:instrText>ADDIN CSL_CITATION {"citationItems":[{"id":"ITEM-1","itemData":{"author":[{"dropping-particle":"","family":"Halloran","given":"M Elizabeth","non-dropping-particle":"","parse-names":false,"suffix":""},{"dropping-particle":"","family":"Longini Jr.","given":"Ira M","non-dropping-particle":"","parse-names":false,"suffix":""},{"dropping-particle":"","family":"Struchiner","given":"Claudio J","non-dropping-particle":"","parse-names":false,"suffix":""}],"collection-title":"Statistics for Biology and Health","id":"ITEM-1","issued":{"date-parts":[["2009"]]},"publisher":"Springer","title":"Design and Analysis of Vaccine Studies: Introduction","type":"book"},"uris":["http://www.mendeley.com/documents/?uuid=47278dbc-239d-4285-a708-3c246959b308"]}],"mendeley":{"formattedCitation":"&lt;sup&gt;1&lt;/sup&gt;","plainTextFormattedCitation":"1","previouslyFormattedCitation":"&lt;sup&gt;1&lt;/sup&gt;"},"properties":{"noteIndex":0},"schema":"https://github.com/citation-style-language/schema/raw/master/csl-citation.json"}</w:instrText>
      </w:r>
      <w:r w:rsidRPr="00D618F2">
        <w:rPr>
          <w:rFonts w:cs="Arial"/>
        </w:rPr>
        <w:fldChar w:fldCharType="separate"/>
      </w:r>
      <w:r w:rsidRPr="00D618F2">
        <w:rPr>
          <w:rFonts w:cs="Arial"/>
          <w:noProof/>
          <w:vertAlign w:val="superscript"/>
        </w:rPr>
        <w:t>1</w:t>
      </w:r>
      <w:r w:rsidRPr="00D618F2">
        <w:rPr>
          <w:rFonts w:cs="Arial"/>
        </w:rPr>
        <w:fldChar w:fldCharType="end"/>
      </w:r>
      <w:r w:rsidRPr="00D618F2">
        <w:rPr>
          <w:rFonts w:cs="Arial"/>
        </w:rPr>
        <w:t xml:space="preserve"> as one minus the incidence rate (IR) ratio of vaccinated with exactly </w:t>
      </w:r>
      <m:oMath>
        <m:r>
          <w:rPr>
            <w:rFonts w:ascii="Cambria Math" w:hAnsi="Cambria Math" w:cs="Arial"/>
          </w:rPr>
          <m:t>i</m:t>
        </m:r>
      </m:oMath>
      <w:r w:rsidRPr="00D618F2">
        <w:rPr>
          <w:rFonts w:cs="Arial"/>
        </w:rPr>
        <w:t xml:space="preserve"> doses and </w:t>
      </w:r>
      <w:r w:rsidR="009521C6" w:rsidRPr="00D618F2">
        <w:rPr>
          <w:rFonts w:cs="Arial"/>
        </w:rPr>
        <w:t>non-</w:t>
      </w:r>
      <w:r w:rsidRPr="00D618F2">
        <w:rPr>
          <w:rFonts w:cs="Arial"/>
        </w:rPr>
        <w:t xml:space="preserve">vaccinated, indicated with </w:t>
      </w:r>
      <m:oMath>
        <m:r>
          <w:rPr>
            <w:rFonts w:ascii="Cambria Math" w:hAnsi="Cambria Math" w:cs="Arial"/>
          </w:rPr>
          <m:t>i=0</m:t>
        </m:r>
      </m:oMath>
      <w:r w:rsidRPr="00D618F2">
        <w:rPr>
          <w:rFonts w:cs="Arial"/>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7363"/>
        <w:gridCol w:w="1314"/>
      </w:tblGrid>
      <w:tr w:rsidR="007A37DC" w:rsidRPr="00D618F2" w14:paraId="433A7F0C" w14:textId="77777777" w:rsidTr="00A1162E">
        <w:trPr>
          <w:trHeight w:val="850"/>
        </w:trPr>
        <w:tc>
          <w:tcPr>
            <w:tcW w:w="988" w:type="dxa"/>
            <w:vAlign w:val="center"/>
          </w:tcPr>
          <w:p w14:paraId="1CE59388" w14:textId="77777777" w:rsidR="007A37DC" w:rsidRPr="00D618F2" w:rsidRDefault="007A37DC" w:rsidP="007A37DC">
            <w:pPr>
              <w:ind w:firstLine="720"/>
              <w:jc w:val="center"/>
              <w:rPr>
                <w:rFonts w:cs="Arial"/>
              </w:rPr>
            </w:pPr>
          </w:p>
        </w:tc>
        <w:tc>
          <w:tcPr>
            <w:tcW w:w="7654" w:type="dxa"/>
            <w:vAlign w:val="center"/>
          </w:tcPr>
          <w:p w14:paraId="2E598C84" w14:textId="77777777" w:rsidR="007A37DC" w:rsidRPr="00D618F2" w:rsidRDefault="00CB635E" w:rsidP="007A37DC">
            <w:pPr>
              <w:ind w:firstLine="720"/>
              <w:jc w:val="center"/>
              <w:rPr>
                <w:rFonts w:cs="Arial"/>
              </w:rPr>
            </w:pPr>
            <m:oMathPara>
              <m:oMath>
                <m:sSub>
                  <m:sSubPr>
                    <m:ctrlPr>
                      <w:rPr>
                        <w:rFonts w:ascii="Cambria Math" w:hAnsi="Cambria Math" w:cs="Arial"/>
                        <w:i/>
                      </w:rPr>
                    </m:ctrlPr>
                  </m:sSubPr>
                  <m:e>
                    <m:r>
                      <w:rPr>
                        <w:rFonts w:ascii="Cambria Math" w:hAnsi="Cambria Math" w:cs="Arial"/>
                      </w:rPr>
                      <m:t>VE</m:t>
                    </m:r>
                  </m:e>
                  <m:sub>
                    <m:r>
                      <w:rPr>
                        <w:rFonts w:ascii="Cambria Math" w:hAnsi="Cambria Math" w:cs="Arial"/>
                      </w:rPr>
                      <m:t>i</m:t>
                    </m:r>
                  </m:sub>
                </m:sSub>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IR</m:t>
                        </m:r>
                      </m:e>
                      <m:sub>
                        <m:r>
                          <w:rPr>
                            <w:rFonts w:ascii="Cambria Math" w:hAnsi="Cambria Math" w:cs="Arial"/>
                          </w:rPr>
                          <m:t>0</m:t>
                        </m:r>
                      </m:sub>
                    </m:sSub>
                  </m:den>
                </m:f>
                <m:r>
                  <w:rPr>
                    <w:rFonts w:ascii="Cambria Math" w:hAnsi="Cambria Math" w:cs="Arial"/>
                  </w:rPr>
                  <m:t xml:space="preserve"> .</m:t>
                </m:r>
              </m:oMath>
            </m:oMathPara>
          </w:p>
        </w:tc>
        <w:tc>
          <w:tcPr>
            <w:tcW w:w="980" w:type="dxa"/>
            <w:vAlign w:val="center"/>
          </w:tcPr>
          <w:p w14:paraId="3C708210" w14:textId="77777777" w:rsidR="007A37DC" w:rsidRPr="00D618F2" w:rsidRDefault="007A37DC" w:rsidP="007A37DC">
            <w:pPr>
              <w:ind w:firstLine="720"/>
              <w:jc w:val="center"/>
              <w:rPr>
                <w:rFonts w:cs="Arial"/>
              </w:rPr>
            </w:pPr>
            <w:r w:rsidRPr="00D618F2">
              <w:rPr>
                <w:rFonts w:cs="Arial"/>
              </w:rPr>
              <w:t>(S1)</w:t>
            </w:r>
          </w:p>
        </w:tc>
      </w:tr>
    </w:tbl>
    <w:p w14:paraId="3628C407" w14:textId="24C2B5B9" w:rsidR="007A37DC" w:rsidRPr="00D618F2" w:rsidRDefault="007A37DC" w:rsidP="007A37DC">
      <w:pPr>
        <w:ind w:firstLine="720"/>
        <w:rPr>
          <w:rFonts w:eastAsiaTheme="minorEastAsia" w:cs="Arial"/>
        </w:rPr>
      </w:pPr>
      <w:r w:rsidRPr="00D618F2">
        <w:rPr>
          <w:rFonts w:cs="Arial"/>
        </w:rPr>
        <w:t>The vaccine impact</w:t>
      </w:r>
      <w:r w:rsidRPr="00D618F2">
        <w:rPr>
          <w:rFonts w:cs="Arial"/>
        </w:rPr>
        <w:fldChar w:fldCharType="begin" w:fldLock="1"/>
      </w:r>
      <w:r w:rsidRPr="00D618F2">
        <w:rPr>
          <w:rFonts w:cs="Arial"/>
        </w:rPr>
        <w:instrText>ADDIN CSL_CITATION {"citationItems":[{"id":"ITEM-1","itemData":{"DOI":"10.1016/j.vaccine.2013.07.006","ISSN":"0264410X","PMID":"23856332","abstract":"Once a vaccine is licensed and introduced in the population, post-licensure studies are required to measure vaccine effectiveness and impact of vaccination programmes on the population at large. However, confusion still prevails around these concepts, making it difficult to discern which effects are measured in such studies and how their findings should be interpreted. We review from the public health evaluation perspective the effects of vaccine-related exposures, describe the methods used to measure them and their assumptions.We distinguish effects due to exposure to individual vaccination from those due to exposure to a vaccination programme, as the latter depends on vaccine coverage, other population factors and includes indirect effects as well. Vaccine (direct) effectiveness is estimated by comparing vaccinated and unvaccinated individuals exposed to the same vaccination programme. The impact of a vaccination programme, defined here as the population prevented fraction when exposure is the programme, is measured by comparing populations with and without a vaccination programme, most commonly the same population before and after vaccination. These designs are based on a number of assumptions for valid inference. In particular, they assume that vaccinees and non-vaccinees do not differ in terms of susceptibility and exposure to the disease or in ascertainment of vaccination and disease status. In pre and post-vaccination design, the population is assumed to have similar baseline transmission, case detection and reporting, risk factors and medical practices in both periods.These principles are frequently violated in post-licensure studies. Potential confounding and biases must be minimized in study design and analyses, or taken into account during result interpretation. It is also essential to define which exposure is evaluated (individual vaccination or vaccination programme) and which effect is measured. This may help decision-makers clarify which type of study is needed and how to interpret the results. © 2013 Elsevier Ltd.","author":[{"dropping-particle":"","family":"Hanquet","given":"Germaine","non-dropping-particle":"","parse-names":false,"suffix":""},{"dropping-particle":"","family":"Valenciano","given":"Marta","non-dropping-particle":"","parse-names":false,"suffix":""},{"dropping-particle":"","family":"Simondon","given":"François","non-dropping-particle":"","parse-names":false,"suffix":""},{"dropping-particle":"","family":"Moren","given":"Alain","non-dropping-particle":"","parse-names":false,"suffix":""}],"container-title":"Vaccine","id":"ITEM-1","issue":"48","issued":{"date-parts":[["2013"]]},"page":"5634-5642","title":"Vaccine effects and impact of vaccination programmes in post-licensure studies","type":"article-journal","volume":"31"},"uris":["http://www.mendeley.com/documents/?uuid=91bb759e-c819-4080-8723-b3f20cad4508"]}],"mendeley":{"formattedCitation":"&lt;sup&gt;3&lt;/sup&gt;","plainTextFormattedCitation":"3","previouslyFormattedCitation":"&lt;sup&gt;3&lt;/sup&gt;"},"properties":{"noteIndex":0},"schema":"https://github.com/citation-style-language/schema/raw/master/csl-citation.json"}</w:instrText>
      </w:r>
      <w:r w:rsidRPr="00D618F2">
        <w:rPr>
          <w:rFonts w:cs="Arial"/>
        </w:rPr>
        <w:fldChar w:fldCharType="separate"/>
      </w:r>
      <w:r w:rsidRPr="00D618F2">
        <w:rPr>
          <w:rFonts w:cs="Arial"/>
          <w:noProof/>
          <w:vertAlign w:val="superscript"/>
        </w:rPr>
        <w:t>3</w:t>
      </w:r>
      <w:r w:rsidRPr="00D618F2">
        <w:rPr>
          <w:rFonts w:cs="Arial"/>
        </w:rPr>
        <w:fldChar w:fldCharType="end"/>
      </w:r>
      <w:r w:rsidRPr="00D618F2">
        <w:rPr>
          <w:rFonts w:cs="Arial"/>
        </w:rPr>
        <w:t xml:space="preserve"> </w:t>
      </w:r>
      <m:oMath>
        <m:r>
          <w:rPr>
            <w:rFonts w:ascii="Cambria Math" w:hAnsi="Cambria Math" w:cs="Arial"/>
          </w:rPr>
          <m:t>VI</m:t>
        </m:r>
      </m:oMath>
      <w:r w:rsidRPr="00D618F2">
        <w:rPr>
          <w:rFonts w:eastAsiaTheme="minorEastAsia" w:cs="Arial"/>
        </w:rPr>
        <w:t xml:space="preserve">, </w:t>
      </w:r>
      <w:r w:rsidR="009521C6" w:rsidRPr="00D618F2">
        <w:rPr>
          <w:rFonts w:eastAsiaTheme="minorEastAsia" w:cs="Arial"/>
        </w:rPr>
        <w:t>also known as</w:t>
      </w:r>
      <w:r w:rsidRPr="00D618F2">
        <w:rPr>
          <w:rFonts w:eastAsiaTheme="minorEastAsia" w:cs="Arial"/>
        </w:rPr>
        <w:t xml:space="preserve"> </w:t>
      </w:r>
      <w:r w:rsidR="005727AB">
        <w:rPr>
          <w:rFonts w:eastAsiaTheme="minorEastAsia" w:cs="Arial"/>
        </w:rPr>
        <w:t xml:space="preserve">the </w:t>
      </w:r>
      <w:r w:rsidRPr="00D618F2">
        <w:rPr>
          <w:rFonts w:eastAsiaTheme="minorEastAsia" w:cs="Arial"/>
        </w:rPr>
        <w:t>overall vaccine effect</w:t>
      </w:r>
      <w:r w:rsidRPr="00D618F2">
        <w:rPr>
          <w:rFonts w:eastAsiaTheme="minorEastAsia" w:cs="Arial"/>
        </w:rPr>
        <w:fldChar w:fldCharType="begin" w:fldLock="1"/>
      </w:r>
      <w:r w:rsidRPr="00D618F2">
        <w:rPr>
          <w:rFonts w:eastAsiaTheme="minorEastAsia" w:cs="Arial"/>
        </w:rPr>
        <w:instrText>ADDIN CSL_CITATION {"citationItems":[{"id":"ITEM-1","itemData":{"author":[{"dropping-particle":"","family":"Halloran","given":"M Elizabeth","non-dropping-particle":"","parse-names":false,"suffix":""},{"dropping-particle":"","family":"Longini Jr.","given":"Ira M","non-dropping-particle":"","parse-names":false,"suffix":""},{"dropping-particle":"","family":"Struchiner","given":"Claudio J","non-dropping-particle":"","parse-names":false,"suffix":""}],"collection-title":"Statistics for Biology and Health","id":"ITEM-1","issued":{"date-parts":[["2009"]]},"publisher":"Springer","title":"Design and Analysis of Vaccine Studies: Introduction","type":"book"},"uris":["http://www.mendeley.com/documents/?uuid=47278dbc-239d-4285-a708-3c246959b308"]}],"mendeley":{"formattedCitation":"&lt;sup&gt;1&lt;/sup&gt;","plainTextFormattedCitation":"1","previouslyFormattedCitation":"&lt;sup&gt;1&lt;/sup&gt;"},"properties":{"noteIndex":0},"schema":"https://github.com/citation-style-language/schema/raw/master/csl-citation.json"}</w:instrText>
      </w:r>
      <w:r w:rsidRPr="00D618F2">
        <w:rPr>
          <w:rFonts w:eastAsiaTheme="minorEastAsia" w:cs="Arial"/>
        </w:rPr>
        <w:fldChar w:fldCharType="separate"/>
      </w:r>
      <w:r w:rsidRPr="00D618F2">
        <w:rPr>
          <w:rFonts w:eastAsiaTheme="minorEastAsia" w:cs="Arial"/>
          <w:noProof/>
          <w:vertAlign w:val="superscript"/>
        </w:rPr>
        <w:t>1</w:t>
      </w:r>
      <w:r w:rsidRPr="00D618F2">
        <w:rPr>
          <w:rFonts w:eastAsiaTheme="minorEastAsia" w:cs="Arial"/>
        </w:rPr>
        <w:fldChar w:fldCharType="end"/>
      </w:r>
      <w:r w:rsidRPr="00D618F2">
        <w:rPr>
          <w:rFonts w:eastAsiaTheme="minorEastAsia" w:cs="Arial"/>
        </w:rPr>
        <w:t xml:space="preserve">, is defined as one minus the incidence rate ratio between two populations, A and B: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7363"/>
        <w:gridCol w:w="1314"/>
      </w:tblGrid>
      <w:tr w:rsidR="007A37DC" w:rsidRPr="00D618F2" w14:paraId="7F1A09DF" w14:textId="77777777" w:rsidTr="00A1162E">
        <w:trPr>
          <w:trHeight w:val="850"/>
        </w:trPr>
        <w:tc>
          <w:tcPr>
            <w:tcW w:w="988" w:type="dxa"/>
            <w:vAlign w:val="center"/>
          </w:tcPr>
          <w:p w14:paraId="54F5241F" w14:textId="77777777" w:rsidR="007A37DC" w:rsidRPr="00D618F2" w:rsidRDefault="007A37DC" w:rsidP="007A37DC">
            <w:pPr>
              <w:ind w:firstLine="720"/>
              <w:jc w:val="center"/>
              <w:rPr>
                <w:rFonts w:cs="Arial"/>
              </w:rPr>
            </w:pPr>
          </w:p>
        </w:tc>
        <w:tc>
          <w:tcPr>
            <w:tcW w:w="7654" w:type="dxa"/>
            <w:vAlign w:val="center"/>
          </w:tcPr>
          <w:p w14:paraId="5B77A276" w14:textId="77777777" w:rsidR="007A37DC" w:rsidRPr="00D618F2" w:rsidRDefault="007A37DC" w:rsidP="007A37DC">
            <w:pPr>
              <w:ind w:firstLine="720"/>
              <w:jc w:val="center"/>
              <w:rPr>
                <w:rFonts w:cs="Arial"/>
              </w:rPr>
            </w:pPr>
            <m:oMathPara>
              <m:oMath>
                <m:r>
                  <w:rPr>
                    <w:rFonts w:ascii="Cambria Math" w:hAnsi="Cambria Math" w:cs="Arial"/>
                  </w:rPr>
                  <m:t>VI=1-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IR</m:t>
                        </m:r>
                      </m:e>
                      <m:sub>
                        <m:r>
                          <w:rPr>
                            <w:rFonts w:ascii="Cambria Math" w:hAnsi="Cambria Math" w:cs="Arial"/>
                          </w:rPr>
                          <m:t>A</m:t>
                        </m:r>
                      </m:sub>
                    </m:sSub>
                  </m:num>
                  <m:den>
                    <m:sSub>
                      <m:sSubPr>
                        <m:ctrlPr>
                          <w:rPr>
                            <w:rFonts w:ascii="Cambria Math" w:hAnsi="Cambria Math" w:cs="Arial"/>
                            <w:i/>
                          </w:rPr>
                        </m:ctrlPr>
                      </m:sSubPr>
                      <m:e>
                        <m:r>
                          <w:rPr>
                            <w:rFonts w:ascii="Cambria Math" w:hAnsi="Cambria Math" w:cs="Arial"/>
                          </w:rPr>
                          <m:t>IR</m:t>
                        </m:r>
                      </m:e>
                      <m:sub>
                        <m:r>
                          <w:rPr>
                            <w:rFonts w:ascii="Cambria Math" w:hAnsi="Cambria Math" w:cs="Arial"/>
                          </w:rPr>
                          <m:t>B</m:t>
                        </m:r>
                      </m:sub>
                    </m:sSub>
                  </m:den>
                </m:f>
                <m:r>
                  <w:rPr>
                    <w:rFonts w:ascii="Cambria Math" w:hAnsi="Cambria Math" w:cs="Arial"/>
                  </w:rPr>
                  <m:t xml:space="preserve"> .</m:t>
                </m:r>
              </m:oMath>
            </m:oMathPara>
          </w:p>
        </w:tc>
        <w:tc>
          <w:tcPr>
            <w:tcW w:w="980" w:type="dxa"/>
            <w:vAlign w:val="center"/>
          </w:tcPr>
          <w:p w14:paraId="17A0639C" w14:textId="77777777" w:rsidR="007A37DC" w:rsidRPr="00D618F2" w:rsidRDefault="007A37DC" w:rsidP="007A37DC">
            <w:pPr>
              <w:ind w:firstLine="720"/>
              <w:jc w:val="center"/>
              <w:rPr>
                <w:rFonts w:cs="Arial"/>
              </w:rPr>
            </w:pPr>
            <w:r w:rsidRPr="00D618F2">
              <w:rPr>
                <w:rFonts w:cs="Arial"/>
              </w:rPr>
              <w:t>(S2)</w:t>
            </w:r>
          </w:p>
        </w:tc>
      </w:tr>
    </w:tbl>
    <w:p w14:paraId="24F9A4AD" w14:textId="3102D587" w:rsidR="007A37DC" w:rsidRPr="00D618F2" w:rsidRDefault="007A37DC" w:rsidP="007A37DC">
      <w:pPr>
        <w:rPr>
          <w:rFonts w:eastAsiaTheme="minorEastAsia" w:cs="Arial"/>
        </w:rPr>
      </w:pPr>
      <w:r w:rsidRPr="00D618F2">
        <w:rPr>
          <w:rFonts w:eastAsiaTheme="minorEastAsia" w:cs="Arial"/>
        </w:rPr>
        <w:t xml:space="preserve">Population A is the population in which the </w:t>
      </w:r>
      <w:r w:rsidR="009521C6" w:rsidRPr="00D618F2">
        <w:rPr>
          <w:rFonts w:eastAsiaTheme="minorEastAsia" w:cs="Arial"/>
        </w:rPr>
        <w:t>immuniza</w:t>
      </w:r>
      <w:r w:rsidRPr="00D618F2">
        <w:rPr>
          <w:rFonts w:eastAsiaTheme="minorEastAsia" w:cs="Arial"/>
        </w:rPr>
        <w:t xml:space="preserve">tion program </w:t>
      </w:r>
      <w:r w:rsidR="009521C6" w:rsidRPr="00D618F2">
        <w:rPr>
          <w:rFonts w:eastAsiaTheme="minorEastAsia" w:cs="Arial"/>
        </w:rPr>
        <w:t>is</w:t>
      </w:r>
      <w:r w:rsidRPr="00D618F2">
        <w:rPr>
          <w:rFonts w:eastAsiaTheme="minorEastAsia" w:cs="Arial"/>
        </w:rPr>
        <w:t xml:space="preserve"> implemented. In general, depending on the uptake, </w:t>
      </w:r>
      <w:r w:rsidR="009521C6" w:rsidRPr="00D618F2">
        <w:rPr>
          <w:rFonts w:eastAsiaTheme="minorEastAsia" w:cs="Arial"/>
        </w:rPr>
        <w:t>such population</w:t>
      </w:r>
      <w:r w:rsidRPr="00D618F2">
        <w:rPr>
          <w:rFonts w:eastAsiaTheme="minorEastAsia" w:cs="Arial"/>
        </w:rPr>
        <w:t xml:space="preserve"> </w:t>
      </w:r>
      <w:r w:rsidR="009521C6" w:rsidRPr="00D618F2">
        <w:rPr>
          <w:rFonts w:eastAsiaTheme="minorEastAsia" w:cs="Arial"/>
        </w:rPr>
        <w:t>consists of non-</w:t>
      </w:r>
      <w:r w:rsidRPr="00D618F2">
        <w:rPr>
          <w:rFonts w:eastAsiaTheme="minorEastAsia" w:cs="Arial"/>
        </w:rPr>
        <w:t>vaccinated, partially vaccinated and fully vaccinated</w:t>
      </w:r>
      <w:r w:rsidR="00DB75DE">
        <w:rPr>
          <w:rFonts w:eastAsiaTheme="minorEastAsia" w:cs="Arial"/>
        </w:rPr>
        <w:t xml:space="preserve"> persons</w:t>
      </w:r>
      <w:r w:rsidRPr="00D618F2">
        <w:rPr>
          <w:rFonts w:eastAsiaTheme="minorEastAsia" w:cs="Arial"/>
        </w:rPr>
        <w:t>. It follows that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366"/>
        <w:gridCol w:w="1314"/>
      </w:tblGrid>
      <w:tr w:rsidR="007A37DC" w:rsidRPr="00D618F2" w14:paraId="16FE0DFB" w14:textId="77777777" w:rsidTr="00A1162E">
        <w:trPr>
          <w:trHeight w:val="850"/>
        </w:trPr>
        <w:tc>
          <w:tcPr>
            <w:tcW w:w="988" w:type="dxa"/>
            <w:vAlign w:val="center"/>
          </w:tcPr>
          <w:p w14:paraId="182F53A5" w14:textId="77777777" w:rsidR="007A37DC" w:rsidRPr="00D618F2" w:rsidRDefault="007A37DC" w:rsidP="007A37DC">
            <w:pPr>
              <w:ind w:firstLine="720"/>
              <w:jc w:val="center"/>
              <w:rPr>
                <w:rFonts w:cs="Arial"/>
              </w:rPr>
            </w:pPr>
          </w:p>
        </w:tc>
        <w:tc>
          <w:tcPr>
            <w:tcW w:w="7654" w:type="dxa"/>
            <w:vAlign w:val="center"/>
          </w:tcPr>
          <w:p w14:paraId="6AA8AFC4" w14:textId="77777777" w:rsidR="007A37DC" w:rsidRPr="00D618F2" w:rsidRDefault="00CB635E" w:rsidP="007A37DC">
            <w:pPr>
              <w:ind w:firstLine="720"/>
              <w:jc w:val="center"/>
              <w:rPr>
                <w:rFonts w:cs="Arial"/>
              </w:rPr>
            </w:pPr>
            <m:oMathPara>
              <m:oMath>
                <m:sSub>
                  <m:sSubPr>
                    <m:ctrlPr>
                      <w:rPr>
                        <w:rFonts w:ascii="Cambria Math" w:hAnsi="Cambria Math" w:cs="Arial"/>
                        <w:i/>
                      </w:rPr>
                    </m:ctrlPr>
                  </m:sSubPr>
                  <m:e>
                    <m:r>
                      <w:rPr>
                        <w:rFonts w:ascii="Cambria Math" w:hAnsi="Cambria Math" w:cs="Arial"/>
                      </w:rPr>
                      <m:t>IR</m:t>
                    </m:r>
                  </m:e>
                  <m:sub>
                    <m:r>
                      <w:rPr>
                        <w:rFonts w:ascii="Cambria Math" w:hAnsi="Cambria Math" w:cs="Arial"/>
                      </w:rPr>
                      <m:t>A</m:t>
                    </m:r>
                  </m:sub>
                </m:sSub>
                <m:r>
                  <w:rPr>
                    <w:rFonts w:ascii="Cambria Math"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i=0</m:t>
                    </m:r>
                  </m:sub>
                  <m:sup>
                    <m:r>
                      <w:rPr>
                        <w:rFonts w:ascii="Cambria Math" w:eastAsiaTheme="minorEastAsia"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r>
                      <w:rPr>
                        <w:rFonts w:ascii="Cambria Math" w:hAnsi="Cambria Math" w:cs="Arial"/>
                      </w:rPr>
                      <m:t xml:space="preserve"> </m:t>
                    </m:r>
                  </m:e>
                </m:nary>
                <m:r>
                  <w:rPr>
                    <w:rFonts w:ascii="Cambria Math" w:eastAsiaTheme="minorEastAsia" w:hAnsi="Cambria Math" w:cs="Arial"/>
                  </w:rPr>
                  <m:t>,</m:t>
                </m:r>
              </m:oMath>
            </m:oMathPara>
          </w:p>
        </w:tc>
        <w:tc>
          <w:tcPr>
            <w:tcW w:w="980" w:type="dxa"/>
            <w:vAlign w:val="center"/>
          </w:tcPr>
          <w:p w14:paraId="646BCF56" w14:textId="77777777" w:rsidR="007A37DC" w:rsidRPr="00D618F2" w:rsidRDefault="007A37DC" w:rsidP="007A37DC">
            <w:pPr>
              <w:ind w:firstLine="720"/>
              <w:jc w:val="center"/>
              <w:rPr>
                <w:rFonts w:cs="Arial"/>
              </w:rPr>
            </w:pPr>
            <w:r w:rsidRPr="00D618F2">
              <w:rPr>
                <w:rFonts w:cs="Arial"/>
              </w:rPr>
              <w:t>(S3)</w:t>
            </w:r>
          </w:p>
        </w:tc>
      </w:tr>
    </w:tbl>
    <w:p w14:paraId="2B6B13B4" w14:textId="321F3934" w:rsidR="007A37DC" w:rsidRPr="00D618F2" w:rsidRDefault="007A37DC" w:rsidP="007A37DC">
      <w:pPr>
        <w:rPr>
          <w:rFonts w:eastAsiaTheme="minorEastAsia" w:cs="Arial"/>
        </w:rPr>
      </w:pPr>
      <w:r w:rsidRPr="00D618F2">
        <w:rPr>
          <w:rFonts w:eastAsiaTheme="minorEastAsia" w:cs="Arial"/>
        </w:rPr>
        <w:t xml:space="preserve">where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Pr="00D618F2">
        <w:rPr>
          <w:rFonts w:eastAsiaTheme="minorEastAsia" w:cs="Arial"/>
        </w:rPr>
        <w:t xml:space="preserve"> is the proportion of </w:t>
      </w:r>
      <w:r w:rsidR="00ED3D29">
        <w:rPr>
          <w:rFonts w:eastAsiaTheme="minorEastAsia" w:cs="Arial"/>
        </w:rPr>
        <w:t xml:space="preserve">the </w:t>
      </w:r>
      <w:r w:rsidRPr="00D618F2">
        <w:rPr>
          <w:rFonts w:eastAsiaTheme="minorEastAsia" w:cs="Arial"/>
        </w:rPr>
        <w:t xml:space="preserve">population that received </w:t>
      </w:r>
      <m:oMath>
        <m:r>
          <w:rPr>
            <w:rFonts w:ascii="Cambria Math" w:hAnsi="Cambria Math" w:cs="Arial"/>
          </w:rPr>
          <m:t>i</m:t>
        </m:r>
      </m:oMath>
      <w:r w:rsidRPr="00D618F2">
        <w:rPr>
          <w:rFonts w:eastAsiaTheme="minorEastAsia" w:cs="Arial"/>
        </w:rPr>
        <w:t xml:space="preserve"> </w:t>
      </w:r>
      <w:proofErr w:type="gramStart"/>
      <w:r w:rsidRPr="00D618F2">
        <w:rPr>
          <w:rFonts w:eastAsiaTheme="minorEastAsia" w:cs="Arial"/>
        </w:rPr>
        <w:t>doses.</w:t>
      </w:r>
      <w:proofErr w:type="gramEnd"/>
      <w:r w:rsidRPr="00D618F2">
        <w:rPr>
          <w:rFonts w:eastAsiaTheme="minorEastAsia" w:cs="Arial"/>
        </w:rPr>
        <w:t xml:space="preserve"> Population B is a control: </w:t>
      </w:r>
      <w:r w:rsidR="009521C6" w:rsidRPr="00D618F2">
        <w:rPr>
          <w:rFonts w:eastAsiaTheme="minorEastAsia" w:cs="Arial"/>
        </w:rPr>
        <w:t>subjects</w:t>
      </w:r>
      <w:r w:rsidRPr="00D618F2">
        <w:rPr>
          <w:rFonts w:eastAsiaTheme="minorEastAsia" w:cs="Arial"/>
        </w:rPr>
        <w:t xml:space="preserve"> should be </w:t>
      </w:r>
      <w:r w:rsidR="00146FEF">
        <w:rPr>
          <w:rFonts w:eastAsiaTheme="minorEastAsia" w:cs="Arial"/>
        </w:rPr>
        <w:t>as</w:t>
      </w:r>
      <w:r w:rsidRPr="00D618F2">
        <w:rPr>
          <w:rFonts w:eastAsiaTheme="minorEastAsia" w:cs="Arial"/>
        </w:rPr>
        <w:t xml:space="preserve"> similar</w:t>
      </w:r>
      <w:r w:rsidR="00146FEF">
        <w:rPr>
          <w:rFonts w:eastAsiaTheme="minorEastAsia" w:cs="Arial"/>
        </w:rPr>
        <w:t xml:space="preserve"> as possible</w:t>
      </w:r>
      <w:r w:rsidRPr="00D618F2">
        <w:rPr>
          <w:rFonts w:eastAsiaTheme="minorEastAsia" w:cs="Arial"/>
        </w:rPr>
        <w:t xml:space="preserve"> to </w:t>
      </w:r>
      <w:r w:rsidR="009521C6" w:rsidRPr="00D618F2">
        <w:rPr>
          <w:rFonts w:eastAsiaTheme="minorEastAsia" w:cs="Arial"/>
        </w:rPr>
        <w:t xml:space="preserve">population </w:t>
      </w:r>
      <w:r w:rsidRPr="00D618F2">
        <w:rPr>
          <w:rFonts w:eastAsiaTheme="minorEastAsia" w:cs="Arial"/>
        </w:rPr>
        <w:t xml:space="preserve">A, </w:t>
      </w:r>
      <w:r w:rsidR="009521C6" w:rsidRPr="00D618F2">
        <w:rPr>
          <w:rFonts w:eastAsiaTheme="minorEastAsia" w:cs="Arial"/>
        </w:rPr>
        <w:t>except that they are all non-</w:t>
      </w:r>
      <w:r w:rsidRPr="00D618F2">
        <w:rPr>
          <w:rFonts w:eastAsiaTheme="minorEastAsia" w:cs="Arial"/>
        </w:rPr>
        <w:t>vaccinated (in ecological studies</w:t>
      </w:r>
      <w:r w:rsidR="009521C6" w:rsidRPr="00D618F2">
        <w:rPr>
          <w:rFonts w:eastAsiaTheme="minorEastAsia" w:cs="Arial"/>
        </w:rPr>
        <w:t>,</w:t>
      </w:r>
      <w:r w:rsidRPr="00D618F2">
        <w:rPr>
          <w:rFonts w:eastAsiaTheme="minorEastAsia" w:cs="Arial"/>
        </w:rPr>
        <w:t xml:space="preserve"> B is often the same population A before introducing the vaccine</w:t>
      </w:r>
      <w:r w:rsidR="009521C6" w:rsidRPr="00D618F2">
        <w:rPr>
          <w:rFonts w:eastAsiaTheme="minorEastAsia" w:cs="Arial"/>
        </w:rPr>
        <w:t>).</w:t>
      </w:r>
      <w:r w:rsidRPr="00D618F2">
        <w:rPr>
          <w:rFonts w:eastAsiaTheme="minorEastAsia" w:cs="Arial"/>
        </w:rPr>
        <w:fldChar w:fldCharType="begin" w:fldLock="1"/>
      </w:r>
      <w:r w:rsidRPr="00D618F2">
        <w:rPr>
          <w:rFonts w:eastAsiaTheme="minorEastAsia" w:cs="Arial"/>
        </w:rPr>
        <w:instrText>ADDIN CSL_CITATION {"citationItems":[{"id":"ITEM-1","itemData":{"DOI":"10.1016/j.vaccine.2013.07.006","ISSN":"0264410X","PMID":"23856332","abstract":"Once a vaccine is licensed and introduced in the population, post-licensure studies are required to measure vaccine effectiveness and impact of vaccination programmes on the population at large. However, confusion still prevails around these concepts, making it difficult to discern which effects are measured in such studies and how their findings should be interpreted. We review from the public health evaluation perspective the effects of vaccine-related exposures, describe the methods used to measure them and their assumptions.We distinguish effects due to exposure to individual vaccination from those due to exposure to a vaccination programme, as the latter depends on vaccine coverage, other population factors and includes indirect effects as well. Vaccine (direct) effectiveness is estimated by comparing vaccinated and unvaccinated individuals exposed to the same vaccination programme. The impact of a vaccination programme, defined here as the population prevented fraction when exposure is the programme, is measured by comparing populations with and without a vaccination programme, most commonly the same population before and after vaccination. These designs are based on a number of assumptions for valid inference. In particular, they assume that vaccinees and non-vaccinees do not differ in terms of susceptibility and exposure to the disease or in ascertainment of vaccination and disease status. In pre and post-vaccination design, the population is assumed to have similar baseline transmission, case detection and reporting, risk factors and medical practices in both periods.These principles are frequently violated in post-licensure studies. Potential confounding and biases must be minimized in study design and analyses, or taken into account during result interpretation. It is also essential to define which exposure is evaluated (individual vaccination or vaccination programme) and which effect is measured. This may help decision-makers clarify which type of study is needed and how to interpret the results. © 2013 Elsevier Ltd.","author":[{"dropping-particle":"","family":"Hanquet","given":"Germaine","non-dropping-particle":"","parse-names":false,"suffix":""},{"dropping-particle":"","family":"Valenciano","given":"Marta","non-dropping-particle":"","parse-names":false,"suffix":""},{"dropping-particle":"","family":"Simondon","given":"François","non-dropping-particle":"","parse-names":false,"suffix":""},{"dropping-particle":"","family":"Moren","given":"Alain","non-dropping-particle":"","parse-names":false,"suffix":""}],"container-title":"Vaccine","id":"ITEM-1","issue":"48","issued":{"date-parts":[["2013"]]},"page":"5634-5642","title":"Vaccine effects and impact of vaccination programmes in post-licensure studies","type":"article-journal","volume":"31"},"uris":["http://www.mendeley.com/documents/?uuid=91bb759e-c819-4080-8723-b3f20cad4508"]}],"mendeley":{"formattedCitation":"&lt;sup&gt;3&lt;/sup&gt;","plainTextFormattedCitation":"3","previouslyFormattedCitation":"&lt;sup&gt;3&lt;/sup&gt;"},"properties":{"noteIndex":0},"schema":"https://github.com/citation-style-language/schema/raw/master/csl-citation.json"}</w:instrText>
      </w:r>
      <w:r w:rsidRPr="00D618F2">
        <w:rPr>
          <w:rFonts w:eastAsiaTheme="minorEastAsia" w:cs="Arial"/>
        </w:rPr>
        <w:fldChar w:fldCharType="separate"/>
      </w:r>
      <w:r w:rsidRPr="00D618F2">
        <w:rPr>
          <w:rFonts w:eastAsiaTheme="minorEastAsia" w:cs="Arial"/>
          <w:noProof/>
          <w:vertAlign w:val="superscript"/>
        </w:rPr>
        <w:t>3</w:t>
      </w:r>
      <w:r w:rsidRPr="00D618F2">
        <w:rPr>
          <w:rFonts w:eastAsiaTheme="minorEastAsia" w:cs="Arial"/>
        </w:rPr>
        <w:fldChar w:fldCharType="end"/>
      </w:r>
      <w:r w:rsidRPr="00D618F2">
        <w:rPr>
          <w:rFonts w:eastAsiaTheme="minorEastAsia" w:cs="Arial"/>
        </w:rPr>
        <w:t xml:space="preserve"> Therefore,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7363"/>
        <w:gridCol w:w="1314"/>
      </w:tblGrid>
      <w:tr w:rsidR="007A37DC" w:rsidRPr="00D618F2" w14:paraId="7D6AEC1D" w14:textId="77777777" w:rsidTr="00A1162E">
        <w:trPr>
          <w:trHeight w:val="850"/>
        </w:trPr>
        <w:tc>
          <w:tcPr>
            <w:tcW w:w="988" w:type="dxa"/>
            <w:vAlign w:val="center"/>
          </w:tcPr>
          <w:p w14:paraId="45DF98BD" w14:textId="77777777" w:rsidR="007A37DC" w:rsidRPr="00D618F2" w:rsidRDefault="007A37DC" w:rsidP="007A37DC">
            <w:pPr>
              <w:ind w:firstLine="720"/>
              <w:jc w:val="center"/>
              <w:rPr>
                <w:rFonts w:cs="Arial"/>
              </w:rPr>
            </w:pPr>
          </w:p>
        </w:tc>
        <w:tc>
          <w:tcPr>
            <w:tcW w:w="7654" w:type="dxa"/>
            <w:vAlign w:val="center"/>
          </w:tcPr>
          <w:p w14:paraId="2DF354EA" w14:textId="77777777" w:rsidR="007A37DC" w:rsidRPr="00D618F2" w:rsidRDefault="00CB635E" w:rsidP="007A37DC">
            <w:pPr>
              <w:ind w:firstLine="720"/>
              <w:jc w:val="center"/>
              <w:rPr>
                <w:rFonts w:cs="Arial"/>
              </w:rPr>
            </w:pPr>
            <m:oMathPara>
              <m:oMath>
                <m:sSub>
                  <m:sSubPr>
                    <m:ctrlPr>
                      <w:rPr>
                        <w:rFonts w:ascii="Cambria Math" w:hAnsi="Cambria Math" w:cs="Arial"/>
                        <w:i/>
                      </w:rPr>
                    </m:ctrlPr>
                  </m:sSubPr>
                  <m:e>
                    <m:r>
                      <w:rPr>
                        <w:rFonts w:ascii="Cambria Math" w:hAnsi="Cambria Math" w:cs="Arial"/>
                      </w:rPr>
                      <m:t>IR</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IR</m:t>
                    </m:r>
                  </m:e>
                  <m:sub>
                    <m:r>
                      <w:rPr>
                        <w:rFonts w:ascii="Cambria Math" w:hAnsi="Cambria Math" w:cs="Arial"/>
                      </w:rPr>
                      <m:t>0</m:t>
                    </m:r>
                  </m:sub>
                </m:sSub>
                <m:r>
                  <w:rPr>
                    <w:rFonts w:ascii="Cambria Math" w:hAnsi="Cambria Math" w:cs="Arial"/>
                  </w:rPr>
                  <m:t xml:space="preserve"> </m:t>
                </m:r>
              </m:oMath>
            </m:oMathPara>
          </w:p>
        </w:tc>
        <w:tc>
          <w:tcPr>
            <w:tcW w:w="980" w:type="dxa"/>
            <w:vAlign w:val="center"/>
          </w:tcPr>
          <w:p w14:paraId="6B0D6F12" w14:textId="77777777" w:rsidR="007A37DC" w:rsidRPr="00D618F2" w:rsidRDefault="007A37DC" w:rsidP="007A37DC">
            <w:pPr>
              <w:ind w:firstLine="720"/>
              <w:jc w:val="center"/>
              <w:rPr>
                <w:rFonts w:cs="Arial"/>
              </w:rPr>
            </w:pPr>
            <w:r w:rsidRPr="00D618F2">
              <w:rPr>
                <w:rFonts w:cs="Arial"/>
              </w:rPr>
              <w:t>(S4)</w:t>
            </w:r>
          </w:p>
        </w:tc>
      </w:tr>
    </w:tbl>
    <w:p w14:paraId="09F10801" w14:textId="77777777" w:rsidR="007A37DC" w:rsidRPr="00D618F2" w:rsidRDefault="007A37DC" w:rsidP="007A37DC">
      <w:pPr>
        <w:rPr>
          <w:rFonts w:cs="Arial"/>
        </w:rPr>
      </w:pPr>
      <w:r w:rsidRPr="00D618F2">
        <w:rPr>
          <w:rFonts w:cs="Arial"/>
        </w:rPr>
        <w:t>Substituting formulas S3 and S4 in S2, using formula S2, we derive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366"/>
        <w:gridCol w:w="1314"/>
      </w:tblGrid>
      <w:tr w:rsidR="007A37DC" w:rsidRPr="00D618F2" w14:paraId="081B937A" w14:textId="77777777" w:rsidTr="00A1162E">
        <w:trPr>
          <w:trHeight w:val="850"/>
        </w:trPr>
        <w:tc>
          <w:tcPr>
            <w:tcW w:w="988" w:type="dxa"/>
            <w:vAlign w:val="center"/>
          </w:tcPr>
          <w:p w14:paraId="7ECCBE64" w14:textId="77777777" w:rsidR="007A37DC" w:rsidRPr="00D618F2" w:rsidRDefault="007A37DC" w:rsidP="007A37DC">
            <w:pPr>
              <w:ind w:firstLine="720"/>
              <w:jc w:val="center"/>
              <w:rPr>
                <w:rFonts w:cs="Arial"/>
              </w:rPr>
            </w:pPr>
          </w:p>
        </w:tc>
        <w:tc>
          <w:tcPr>
            <w:tcW w:w="7654" w:type="dxa"/>
            <w:vAlign w:val="center"/>
          </w:tcPr>
          <w:p w14:paraId="0FB0ECBB" w14:textId="1F679D02" w:rsidR="007A37DC" w:rsidRPr="00D618F2" w:rsidRDefault="007A37DC" w:rsidP="007A37DC">
            <w:pPr>
              <w:ind w:firstLine="720"/>
              <w:jc w:val="center"/>
              <w:rPr>
                <w:rFonts w:cs="Arial"/>
              </w:rPr>
            </w:pPr>
            <m:oMathPara>
              <m:oMath>
                <m:r>
                  <w:rPr>
                    <w:rFonts w:ascii="Cambria Math" w:hAnsi="Cambria Math" w:cs="Arial"/>
                  </w:rPr>
                  <m:t xml:space="preserve">VI=1- </m:t>
                </m:r>
                <m:nary>
                  <m:naryPr>
                    <m:chr m:val="∑"/>
                    <m:limLoc m:val="undOvr"/>
                    <m:ctrlPr>
                      <w:rPr>
                        <w:rFonts w:ascii="Cambria Math" w:eastAsiaTheme="minorEastAsia" w:hAnsi="Cambria Math" w:cs="Arial"/>
                        <w:i/>
                      </w:rPr>
                    </m:ctrlPr>
                  </m:naryPr>
                  <m:sub>
                    <m:r>
                      <w:rPr>
                        <w:rFonts w:ascii="Cambria Math" w:eastAsiaTheme="minorEastAsia" w:hAnsi="Cambria Math" w:cs="Arial"/>
                      </w:rPr>
                      <m:t>i=0</m:t>
                    </m:r>
                  </m:sub>
                  <m:sup>
                    <m:r>
                      <w:rPr>
                        <w:rFonts w:ascii="Cambria Math" w:eastAsiaTheme="minorEastAsia"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m:t>
                    </m:r>
                  </m:e>
                </m:nary>
                <m:r>
                  <w:rPr>
                    <w:rFonts w:ascii="Cambria Math" w:eastAsiaTheme="minorEastAsia" w:hAnsi="Cambria Math" w:cs="Arial"/>
                  </w:rPr>
                  <m:t>+</m:t>
                </m:r>
                <m:nary>
                  <m:naryPr>
                    <m:chr m:val="∑"/>
                    <m:limLoc m:val="undOvr"/>
                    <m:ctrlPr>
                      <w:rPr>
                        <w:rFonts w:ascii="Cambria Math" w:eastAsiaTheme="minorEastAsia" w:hAnsi="Cambria Math" w:cs="Arial"/>
                        <w:i/>
                      </w:rPr>
                    </m:ctrlPr>
                  </m:naryPr>
                  <m:sub>
                    <m:r>
                      <w:rPr>
                        <w:rFonts w:ascii="Cambria Math" w:eastAsiaTheme="minorEastAsia" w:hAnsi="Cambria Math" w:cs="Arial"/>
                      </w:rPr>
                      <m:t>i=0</m:t>
                    </m:r>
                  </m:sub>
                  <m:sup>
                    <m:r>
                      <w:rPr>
                        <w:rFonts w:ascii="Cambria Math" w:eastAsiaTheme="minorEastAsia"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VE</m:t>
                        </m:r>
                      </m:e>
                      <m:sub>
                        <m:r>
                          <w:rPr>
                            <w:rFonts w:ascii="Cambria Math" w:hAnsi="Cambria Math" w:cs="Arial"/>
                          </w:rPr>
                          <m:t>i</m:t>
                        </m:r>
                      </m:sub>
                    </m:sSub>
                    <m:r>
                      <w:rPr>
                        <w:rFonts w:ascii="Cambria Math" w:hAnsi="Cambria Math" w:cs="Arial"/>
                      </w:rPr>
                      <m:t xml:space="preserve"> </m:t>
                    </m:r>
                  </m:e>
                </m:nary>
                <m:r>
                  <w:rPr>
                    <w:rFonts w:ascii="Cambria Math" w:eastAsiaTheme="minorEastAsia" w:hAnsi="Cambria Math" w:cs="Arial"/>
                  </w:rPr>
                  <m:t>.</m:t>
                </m:r>
              </m:oMath>
            </m:oMathPara>
          </w:p>
        </w:tc>
        <w:tc>
          <w:tcPr>
            <w:tcW w:w="980" w:type="dxa"/>
            <w:vAlign w:val="center"/>
          </w:tcPr>
          <w:p w14:paraId="117672B7" w14:textId="77777777" w:rsidR="007A37DC" w:rsidRPr="00D618F2" w:rsidRDefault="007A37DC" w:rsidP="007A37DC">
            <w:pPr>
              <w:ind w:firstLine="720"/>
              <w:jc w:val="center"/>
              <w:rPr>
                <w:rFonts w:cs="Arial"/>
              </w:rPr>
            </w:pPr>
            <w:r w:rsidRPr="00D618F2">
              <w:rPr>
                <w:rFonts w:cs="Arial"/>
              </w:rPr>
              <w:t>(S5)</w:t>
            </w:r>
          </w:p>
        </w:tc>
      </w:tr>
    </w:tbl>
    <w:p w14:paraId="46FEE3D3" w14:textId="5F258699" w:rsidR="009521C6" w:rsidRPr="00D618F2" w:rsidRDefault="00B92F82" w:rsidP="009521C6">
      <w:pPr>
        <w:rPr>
          <w:rFonts w:cs="Arial"/>
        </w:rPr>
      </w:pPr>
      <w:r w:rsidRPr="00D618F2">
        <w:rPr>
          <w:rFonts w:cs="Arial"/>
        </w:rPr>
        <w:t xml:space="preserve">Since by definition </w:t>
      </w:r>
      <m:oMath>
        <m:nary>
          <m:naryPr>
            <m:chr m:val="∑"/>
            <m:limLoc m:val="undOvr"/>
            <m:ctrlPr>
              <w:rPr>
                <w:rFonts w:ascii="Cambria Math" w:eastAsiaTheme="minorEastAsia" w:hAnsi="Cambria Math" w:cs="Arial"/>
                <w:i/>
              </w:rPr>
            </m:ctrlPr>
          </m:naryPr>
          <m:sub>
            <m:r>
              <w:rPr>
                <w:rFonts w:ascii="Cambria Math" w:eastAsiaTheme="minorEastAsia" w:hAnsi="Cambria Math" w:cs="Arial"/>
              </w:rPr>
              <m:t>i=0</m:t>
            </m:r>
          </m:sub>
          <m:sup>
            <m:r>
              <w:rPr>
                <w:rFonts w:ascii="Cambria Math" w:eastAsiaTheme="minorEastAsia"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 xml:space="preserve"> </m:t>
            </m:r>
          </m:e>
        </m:nary>
        <m:r>
          <w:rPr>
            <w:rFonts w:ascii="Cambria Math" w:eastAsiaTheme="minorEastAsia" w:hAnsi="Cambria Math" w:cs="Arial"/>
          </w:rPr>
          <m:t>=1</m:t>
        </m:r>
      </m:oMath>
      <w:r w:rsidRPr="00D618F2">
        <w:rPr>
          <w:rFonts w:eastAsiaTheme="minorEastAsia" w:cs="Arial"/>
        </w:rPr>
        <w:t>,</w:t>
      </w:r>
      <w:r w:rsidR="007A37DC" w:rsidRPr="00D618F2">
        <w:rPr>
          <w:rFonts w:cs="Arial"/>
        </w:rPr>
        <w:t xml:space="preserve"> </w:t>
      </w:r>
      <w:r w:rsidRPr="00D618F2">
        <w:rPr>
          <w:rFonts w:cs="Arial"/>
        </w:rPr>
        <w:t>the first two terms cancel out, so that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366"/>
        <w:gridCol w:w="1314"/>
      </w:tblGrid>
      <w:tr w:rsidR="009521C6" w:rsidRPr="00D618F2" w14:paraId="59DB2391" w14:textId="77777777" w:rsidTr="009521C6">
        <w:trPr>
          <w:trHeight w:val="850"/>
        </w:trPr>
        <w:tc>
          <w:tcPr>
            <w:tcW w:w="988" w:type="dxa"/>
            <w:vAlign w:val="center"/>
          </w:tcPr>
          <w:p w14:paraId="3B76E78D" w14:textId="77777777" w:rsidR="009521C6" w:rsidRPr="00D618F2" w:rsidRDefault="009521C6" w:rsidP="009521C6">
            <w:pPr>
              <w:ind w:firstLine="720"/>
              <w:jc w:val="center"/>
              <w:rPr>
                <w:rFonts w:cs="Arial"/>
              </w:rPr>
            </w:pPr>
          </w:p>
        </w:tc>
        <w:tc>
          <w:tcPr>
            <w:tcW w:w="7654" w:type="dxa"/>
            <w:vAlign w:val="center"/>
          </w:tcPr>
          <w:p w14:paraId="5B9DD427" w14:textId="77777777" w:rsidR="009521C6" w:rsidRPr="00D618F2" w:rsidRDefault="009521C6" w:rsidP="009521C6">
            <w:pPr>
              <w:ind w:firstLine="720"/>
              <w:jc w:val="center"/>
              <w:rPr>
                <w:rFonts w:cs="Arial"/>
              </w:rPr>
            </w:pPr>
            <m:oMathPara>
              <m:oMath>
                <m:r>
                  <w:rPr>
                    <w:rFonts w:ascii="Cambria Math" w:hAnsi="Cambria Math" w:cs="Arial"/>
                  </w:rPr>
                  <m:t>VI=</m:t>
                </m:r>
                <m:nary>
                  <m:naryPr>
                    <m:chr m:val="∑"/>
                    <m:limLoc m:val="undOvr"/>
                    <m:ctrlPr>
                      <w:rPr>
                        <w:rFonts w:ascii="Cambria Math" w:eastAsiaTheme="minorEastAsia" w:hAnsi="Cambria Math" w:cs="Arial"/>
                        <w:i/>
                      </w:rPr>
                    </m:ctrlPr>
                  </m:naryPr>
                  <m:sub>
                    <m:r>
                      <w:rPr>
                        <w:rFonts w:ascii="Cambria Math" w:eastAsiaTheme="minorEastAsia" w:hAnsi="Cambria Math" w:cs="Arial"/>
                      </w:rPr>
                      <m:t>i=1</m:t>
                    </m:r>
                  </m:sub>
                  <m:sup>
                    <m:r>
                      <w:rPr>
                        <w:rFonts w:ascii="Cambria Math" w:eastAsiaTheme="minorEastAsia"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VE</m:t>
                        </m:r>
                      </m:e>
                      <m:sub>
                        <m:r>
                          <w:rPr>
                            <w:rFonts w:ascii="Cambria Math" w:hAnsi="Cambria Math" w:cs="Arial"/>
                          </w:rPr>
                          <m:t>i</m:t>
                        </m:r>
                      </m:sub>
                    </m:sSub>
                    <m:r>
                      <w:rPr>
                        <w:rFonts w:ascii="Cambria Math" w:hAnsi="Cambria Math" w:cs="Arial"/>
                      </w:rPr>
                      <m:t xml:space="preserve"> </m:t>
                    </m:r>
                  </m:e>
                </m:nary>
                <m:r>
                  <w:rPr>
                    <w:rFonts w:ascii="Cambria Math" w:eastAsiaTheme="minorEastAsia" w:hAnsi="Cambria Math" w:cs="Arial"/>
                  </w:rPr>
                  <m:t>,</m:t>
                </m:r>
              </m:oMath>
            </m:oMathPara>
          </w:p>
        </w:tc>
        <w:tc>
          <w:tcPr>
            <w:tcW w:w="980" w:type="dxa"/>
            <w:vAlign w:val="center"/>
          </w:tcPr>
          <w:p w14:paraId="50E0C464" w14:textId="467D8E82" w:rsidR="009521C6" w:rsidRPr="00D618F2" w:rsidRDefault="009521C6" w:rsidP="009521C6">
            <w:pPr>
              <w:ind w:firstLine="720"/>
              <w:jc w:val="center"/>
              <w:rPr>
                <w:rFonts w:cs="Arial"/>
              </w:rPr>
            </w:pPr>
            <w:r w:rsidRPr="00D618F2">
              <w:rPr>
                <w:rFonts w:cs="Arial"/>
              </w:rPr>
              <w:t>(S</w:t>
            </w:r>
            <w:r w:rsidR="00B92F82" w:rsidRPr="00D618F2">
              <w:rPr>
                <w:rFonts w:cs="Arial"/>
              </w:rPr>
              <w:t>6</w:t>
            </w:r>
            <w:r w:rsidRPr="00D618F2">
              <w:rPr>
                <w:rFonts w:cs="Arial"/>
              </w:rPr>
              <w:t>)</w:t>
            </w:r>
          </w:p>
        </w:tc>
      </w:tr>
    </w:tbl>
    <w:p w14:paraId="46F05974" w14:textId="6E6AAF68" w:rsidR="009521C6" w:rsidRPr="00D618F2" w:rsidRDefault="009521C6" w:rsidP="009521C6">
      <w:pPr>
        <w:rPr>
          <w:rFonts w:cs="Arial"/>
        </w:rPr>
      </w:pPr>
      <w:r w:rsidRPr="00D618F2">
        <w:rPr>
          <w:rFonts w:cs="Arial"/>
        </w:rPr>
        <w:t xml:space="preserve">where </w:t>
      </w:r>
      <w:r w:rsidR="00B92F82" w:rsidRPr="00D618F2">
        <w:rPr>
          <w:rFonts w:cs="Arial"/>
        </w:rPr>
        <w:t xml:space="preserve">the sum </w:t>
      </w:r>
      <w:r w:rsidR="005E2716" w:rsidRPr="00D618F2">
        <w:rPr>
          <w:rFonts w:cs="Arial"/>
        </w:rPr>
        <w:t xml:space="preserve">can </w:t>
      </w:r>
      <w:r w:rsidR="00B92F82" w:rsidRPr="00D618F2">
        <w:rPr>
          <w:rFonts w:cs="Arial"/>
        </w:rPr>
        <w:t xml:space="preserve">start from </w:t>
      </w:r>
      <m:oMath>
        <m:r>
          <w:rPr>
            <w:rFonts w:ascii="Cambria Math" w:eastAsiaTheme="minorEastAsia" w:hAnsi="Cambria Math" w:cs="Arial"/>
          </w:rPr>
          <m:t xml:space="preserve">i=1 </m:t>
        </m:r>
      </m:oMath>
      <w:r w:rsidR="005E2716" w:rsidRPr="00D618F2">
        <w:rPr>
          <w:rFonts w:cs="Arial"/>
        </w:rPr>
        <w:t>since the effectiveness of zero doses is trivially null,</w:t>
      </w:r>
      <w:r w:rsidRPr="00D618F2">
        <w:rPr>
          <w:rFonts w:cs="Arial"/>
        </w:rPr>
        <w:t xml:space="preserve"> </w:t>
      </w:r>
      <m:oMath>
        <m:sSub>
          <m:sSubPr>
            <m:ctrlPr>
              <w:rPr>
                <w:rFonts w:ascii="Cambria Math" w:hAnsi="Cambria Math" w:cs="Arial"/>
                <w:i/>
              </w:rPr>
            </m:ctrlPr>
          </m:sSubPr>
          <m:e>
            <m:r>
              <w:rPr>
                <w:rFonts w:ascii="Cambria Math" w:hAnsi="Cambria Math" w:cs="Arial"/>
              </w:rPr>
              <m:t>VE</m:t>
            </m:r>
          </m:e>
          <m:sub>
            <m:r>
              <w:rPr>
                <w:rFonts w:ascii="Cambria Math" w:hAnsi="Cambria Math" w:cs="Arial"/>
              </w:rPr>
              <m:t>0</m:t>
            </m:r>
          </m:sub>
        </m:sSub>
        <m:r>
          <w:rPr>
            <w:rFonts w:ascii="Cambria Math" w:hAnsi="Cambria Math" w:cs="Arial"/>
          </w:rPr>
          <m:t>=0</m:t>
        </m:r>
      </m:oMath>
      <w:r w:rsidRPr="00D618F2">
        <w:rPr>
          <w:rFonts w:eastAsiaTheme="minorEastAsia" w:cs="Arial"/>
        </w:rPr>
        <w:t>.</w:t>
      </w:r>
      <w:r w:rsidRPr="00D618F2">
        <w:rPr>
          <w:rFonts w:cs="Arial"/>
        </w:rPr>
        <w:t xml:space="preserve"> </w:t>
      </w:r>
    </w:p>
    <w:p w14:paraId="24F55D41" w14:textId="0DA48093" w:rsidR="007A37DC" w:rsidRPr="00D618F2" w:rsidRDefault="007A37DC" w:rsidP="007A37DC">
      <w:pPr>
        <w:rPr>
          <w:rFonts w:cs="Arial"/>
        </w:rPr>
      </w:pPr>
    </w:p>
    <w:p w14:paraId="74074759" w14:textId="6D207C0F" w:rsidR="007A37DC" w:rsidRPr="00D618F2" w:rsidRDefault="007A37DC" w:rsidP="00B92F82">
      <w:pPr>
        <w:ind w:firstLine="720"/>
      </w:pPr>
      <w:r w:rsidRPr="00D618F2">
        <w:rPr>
          <w:rFonts w:cs="Arial"/>
        </w:rPr>
        <w:t xml:space="preserve">Therefore, the </w:t>
      </w:r>
      <w:r w:rsidR="00B92F82" w:rsidRPr="00D618F2">
        <w:rPr>
          <w:rFonts w:cs="Arial"/>
        </w:rPr>
        <w:t>impact</w:t>
      </w:r>
      <w:r w:rsidRPr="00D618F2">
        <w:rPr>
          <w:rFonts w:cs="Arial"/>
        </w:rPr>
        <w:t xml:space="preserve"> of a vaccin</w:t>
      </w:r>
      <w:r w:rsidR="00B92F82" w:rsidRPr="00D618F2">
        <w:rPr>
          <w:rFonts w:cs="Arial"/>
        </w:rPr>
        <w:t>ation program</w:t>
      </w:r>
      <w:r w:rsidRPr="00D618F2">
        <w:rPr>
          <w:rFonts w:cs="Arial"/>
        </w:rPr>
        <w:t xml:space="preserve"> with multiple doses is the sum of the VEs of each dose weighted by the proportions of population vaccinated with such number of doses.</w:t>
      </w:r>
      <w:r w:rsidR="00B92F82" w:rsidRPr="00D618F2">
        <w:rPr>
          <w:rFonts w:cs="Arial"/>
        </w:rPr>
        <w:t xml:space="preserve"> </w:t>
      </w:r>
      <w:r w:rsidRPr="00D618F2">
        <w:rPr>
          <w:rFonts w:cs="Arial"/>
        </w:rPr>
        <w:lastRenderedPageBreak/>
        <w:t xml:space="preserve">This </w:t>
      </w:r>
      <w:r w:rsidR="00B92F82" w:rsidRPr="00D618F2">
        <w:rPr>
          <w:rFonts w:cs="Arial"/>
        </w:rPr>
        <w:t xml:space="preserve">simple formula </w:t>
      </w:r>
      <w:r w:rsidRPr="00D618F2">
        <w:rPr>
          <w:rFonts w:cs="Arial"/>
        </w:rPr>
        <w:t xml:space="preserve">holds in ideal situations </w:t>
      </w:r>
      <w:r w:rsidR="009010DE">
        <w:rPr>
          <w:rFonts w:cs="Arial"/>
        </w:rPr>
        <w:t>in which</w:t>
      </w:r>
      <w:r w:rsidR="009010DE" w:rsidRPr="00D618F2">
        <w:rPr>
          <w:rFonts w:cs="Arial"/>
        </w:rPr>
        <w:t xml:space="preserve"> </w:t>
      </w:r>
      <w:r w:rsidRPr="00D618F2">
        <w:rPr>
          <w:rFonts w:cs="Arial"/>
        </w:rPr>
        <w:t>both incidence rates and uptake proportions do not vary with age, time and other possible confounding factors. Also, it is valid</w:t>
      </w:r>
      <w:r w:rsidR="000C33AC" w:rsidRPr="00D618F2">
        <w:rPr>
          <w:rFonts w:cs="Arial"/>
        </w:rPr>
        <w:t xml:space="preserve"> only</w:t>
      </w:r>
      <w:r w:rsidRPr="00D618F2">
        <w:rPr>
          <w:rFonts w:cs="Arial"/>
        </w:rPr>
        <w:t xml:space="preserve"> when indirect effects are small or absent</w:t>
      </w:r>
      <w:r w:rsidR="00023117">
        <w:rPr>
          <w:rFonts w:cs="Arial"/>
        </w:rPr>
        <w:t>.</w:t>
      </w:r>
      <w:r w:rsidRPr="00D618F2">
        <w:rPr>
          <w:rFonts w:cs="Arial"/>
        </w:rPr>
        <w:t xml:space="preserve"> </w:t>
      </w:r>
      <w:r w:rsidR="00023117">
        <w:rPr>
          <w:rFonts w:cs="Arial"/>
        </w:rPr>
        <w:t>O</w:t>
      </w:r>
      <w:r w:rsidRPr="00D618F2">
        <w:rPr>
          <w:rFonts w:cs="Arial"/>
        </w:rPr>
        <w:t xml:space="preserve">therwise additional factors could be needed in formulas S3 and S4, depending on the frequency of between-subject contacts that </w:t>
      </w:r>
      <w:r w:rsidR="000C33AC" w:rsidRPr="00D618F2">
        <w:rPr>
          <w:rFonts w:cs="Arial"/>
        </w:rPr>
        <w:t>determine</w:t>
      </w:r>
      <w:r w:rsidRPr="00D618F2">
        <w:rPr>
          <w:rFonts w:cs="Arial"/>
        </w:rPr>
        <w:t xml:space="preserve"> transmission.</w:t>
      </w:r>
    </w:p>
    <w:p w14:paraId="56491F23" w14:textId="12442C09" w:rsidR="007A37DC" w:rsidRPr="00D618F2" w:rsidRDefault="007A37DC" w:rsidP="007A37DC">
      <w:pPr>
        <w:ind w:firstLine="720"/>
        <w:rPr>
          <w:rFonts w:cs="Arial"/>
        </w:rPr>
      </w:pPr>
      <w:r w:rsidRPr="00D618F2">
        <w:rPr>
          <w:rFonts w:cs="Arial"/>
        </w:rPr>
        <w:t xml:space="preserve">The vaccination schedule in the 4CMenB national immunization program considered </w:t>
      </w:r>
      <w:r w:rsidR="007655F5" w:rsidRPr="00D618F2">
        <w:rPr>
          <w:rFonts w:cs="Arial"/>
        </w:rPr>
        <w:t xml:space="preserve">here </w:t>
      </w:r>
      <w:r w:rsidRPr="00D618F2">
        <w:rPr>
          <w:rFonts w:cs="Arial"/>
        </w:rPr>
        <w:t>was composed of three doses. Hence</w:t>
      </w:r>
      <w:r w:rsidR="00A936F9">
        <w:rPr>
          <w:rFonts w:cs="Arial"/>
        </w:rPr>
        <w:t>,</w:t>
      </w:r>
      <w:r w:rsidRPr="00D618F2">
        <w:rPr>
          <w:rFonts w:cs="Arial"/>
        </w:rPr>
        <w:t xml:space="preserve"> formula S</w:t>
      </w:r>
      <w:r w:rsidR="00B92F82" w:rsidRPr="00D618F2">
        <w:rPr>
          <w:rFonts w:cs="Arial"/>
        </w:rPr>
        <w:t>6</w:t>
      </w:r>
      <w:r w:rsidRPr="00D618F2">
        <w:rPr>
          <w:rFonts w:cs="Arial"/>
        </w:rPr>
        <w:t xml:space="preserve"> becomes: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
        <w:gridCol w:w="7364"/>
        <w:gridCol w:w="1314"/>
      </w:tblGrid>
      <w:tr w:rsidR="007A37DC" w:rsidRPr="00D618F2" w14:paraId="7B583303" w14:textId="77777777" w:rsidTr="00A1162E">
        <w:trPr>
          <w:trHeight w:val="794"/>
        </w:trPr>
        <w:tc>
          <w:tcPr>
            <w:tcW w:w="988" w:type="dxa"/>
            <w:vAlign w:val="center"/>
          </w:tcPr>
          <w:p w14:paraId="4E3C5AA7" w14:textId="77777777" w:rsidR="007A37DC" w:rsidRPr="00D618F2" w:rsidRDefault="007A37DC" w:rsidP="007A37DC">
            <w:pPr>
              <w:ind w:firstLine="720"/>
              <w:jc w:val="center"/>
              <w:rPr>
                <w:rFonts w:cs="Arial"/>
              </w:rPr>
            </w:pPr>
          </w:p>
        </w:tc>
        <w:tc>
          <w:tcPr>
            <w:tcW w:w="7654" w:type="dxa"/>
            <w:vAlign w:val="center"/>
          </w:tcPr>
          <w:p w14:paraId="7C6EA9CE" w14:textId="77777777" w:rsidR="007A37DC" w:rsidRPr="00D618F2" w:rsidRDefault="007A37DC" w:rsidP="007A37DC">
            <w:pPr>
              <w:ind w:firstLine="720"/>
              <w:jc w:val="center"/>
              <w:rPr>
                <w:rFonts w:cs="Arial"/>
              </w:rPr>
            </w:pPr>
            <m:oMathPara>
              <m:oMath>
                <m:r>
                  <w:rPr>
                    <w:rFonts w:ascii="Cambria Math" w:hAnsi="Cambria Math" w:cs="Arial"/>
                  </w:rPr>
                  <m:t>VI=</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VE</m:t>
                    </m:r>
                  </m:e>
                  <m:sub>
                    <m:r>
                      <w:rPr>
                        <w:rFonts w:ascii="Cambria Math" w:hAnsi="Cambria Math" w:cs="Arial"/>
                      </w:rPr>
                      <m:t>1</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VE</m:t>
                    </m:r>
                  </m:e>
                  <m:sub>
                    <m:r>
                      <w:rPr>
                        <w:rFonts w:ascii="Cambria Math" w:hAnsi="Cambria Math" w:cs="Arial"/>
                      </w:rPr>
                      <m:t>2</m:t>
                    </m:r>
                  </m:sub>
                </m:sSub>
                <m:r>
                  <w:rPr>
                    <w:rFonts w:ascii="Cambria Math" w:eastAsiaTheme="minorEastAsia"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3</m:t>
                    </m:r>
                  </m:sub>
                </m:sSub>
                <m:sSub>
                  <m:sSubPr>
                    <m:ctrlPr>
                      <w:rPr>
                        <w:rFonts w:ascii="Cambria Math" w:hAnsi="Cambria Math" w:cs="Arial"/>
                        <w:i/>
                      </w:rPr>
                    </m:ctrlPr>
                  </m:sSubPr>
                  <m:e>
                    <m:r>
                      <w:rPr>
                        <w:rFonts w:ascii="Cambria Math" w:hAnsi="Cambria Math" w:cs="Arial"/>
                      </w:rPr>
                      <m:t>VE</m:t>
                    </m:r>
                  </m:e>
                  <m:sub>
                    <m:r>
                      <w:rPr>
                        <w:rFonts w:ascii="Cambria Math" w:hAnsi="Cambria Math" w:cs="Arial"/>
                      </w:rPr>
                      <m:t xml:space="preserve">3 </m:t>
                    </m:r>
                  </m:sub>
                </m:sSub>
                <m:r>
                  <w:rPr>
                    <w:rFonts w:ascii="Cambria Math" w:hAnsi="Cambria Math" w:cs="Arial"/>
                  </w:rPr>
                  <m:t>.</m:t>
                </m:r>
              </m:oMath>
            </m:oMathPara>
          </w:p>
        </w:tc>
        <w:tc>
          <w:tcPr>
            <w:tcW w:w="980" w:type="dxa"/>
            <w:vAlign w:val="center"/>
          </w:tcPr>
          <w:p w14:paraId="3C754EAE" w14:textId="01F60F53" w:rsidR="007A37DC" w:rsidRPr="00D618F2" w:rsidRDefault="007A37DC" w:rsidP="007A37DC">
            <w:pPr>
              <w:ind w:firstLine="720"/>
              <w:jc w:val="center"/>
              <w:rPr>
                <w:rFonts w:cs="Arial"/>
              </w:rPr>
            </w:pPr>
            <w:r w:rsidRPr="00D618F2">
              <w:rPr>
                <w:rFonts w:cs="Arial"/>
              </w:rPr>
              <w:t>(</w:t>
            </w:r>
            <w:r w:rsidR="00B92F82" w:rsidRPr="00D618F2">
              <w:rPr>
                <w:rFonts w:cs="Arial"/>
              </w:rPr>
              <w:t>S7</w:t>
            </w:r>
            <w:r w:rsidRPr="00D618F2">
              <w:rPr>
                <w:rFonts w:cs="Arial"/>
              </w:rPr>
              <w:t>)</w:t>
            </w:r>
          </w:p>
        </w:tc>
      </w:tr>
    </w:tbl>
    <w:p w14:paraId="4AAB642E" w14:textId="77777777" w:rsidR="004F035C" w:rsidRPr="00D618F2" w:rsidRDefault="004F035C">
      <w:pPr>
        <w:rPr>
          <w:rFonts w:asciiTheme="majorHAnsi" w:eastAsiaTheme="majorEastAsia" w:hAnsiTheme="majorHAnsi" w:cstheme="majorBidi"/>
          <w:color w:val="2F5496" w:themeColor="accent1" w:themeShade="BF"/>
          <w:sz w:val="32"/>
          <w:szCs w:val="32"/>
        </w:rPr>
      </w:pPr>
      <w:r w:rsidRPr="00D618F2">
        <w:br w:type="page"/>
      </w:r>
    </w:p>
    <w:p w14:paraId="00DE3FC2" w14:textId="7944422B" w:rsidR="00847F99" w:rsidRPr="00D618F2" w:rsidRDefault="00847F99" w:rsidP="000C33AC">
      <w:pPr>
        <w:pStyle w:val="Heading1"/>
        <w:numPr>
          <w:ilvl w:val="0"/>
          <w:numId w:val="0"/>
        </w:numPr>
        <w:ind w:left="432" w:hanging="432"/>
      </w:pPr>
      <w:r w:rsidRPr="00D618F2">
        <w:lastRenderedPageBreak/>
        <w:t xml:space="preserve">S2 Cases data </w:t>
      </w:r>
    </w:p>
    <w:p w14:paraId="483671F6" w14:textId="20A80870" w:rsidR="00847F99" w:rsidRPr="00D618F2" w:rsidRDefault="00635977" w:rsidP="00847F99">
      <w:r w:rsidRPr="00D618F2">
        <w:t>Our data on cases were counts of serogroup B invasive meningococcal disease (IMD) in England, before and during</w:t>
      </w:r>
      <w:r w:rsidR="007655F5">
        <w:t xml:space="preserve"> the</w:t>
      </w:r>
      <w:r w:rsidRPr="00D618F2">
        <w:t xml:space="preserve"> 4CMenB national immunization program</w:t>
      </w:r>
      <w:r w:rsidR="00B30432" w:rsidRPr="00D618F2">
        <w:t>, stratified by age group, year and doses received (Table S1)</w:t>
      </w:r>
      <w:r w:rsidRPr="00D618F2">
        <w:t>. The</w:t>
      </w:r>
      <w:r w:rsidR="00B30432" w:rsidRPr="00D618F2">
        <w:t>se data</w:t>
      </w:r>
      <w:r w:rsidRPr="00D618F2">
        <w:t xml:space="preserve"> were </w:t>
      </w:r>
      <w:r w:rsidR="00B92F82" w:rsidRPr="00D618F2">
        <w:t>provi</w:t>
      </w:r>
      <w:r w:rsidR="004F035C" w:rsidRPr="00D618F2">
        <w:t>d</w:t>
      </w:r>
      <w:r w:rsidRPr="00D618F2">
        <w:t>ed by Public Health England.</w:t>
      </w:r>
      <w:r w:rsidRPr="00D618F2">
        <w:fldChar w:fldCharType="begin" w:fldLock="1"/>
      </w:r>
      <w:r w:rsidR="00B30432" w:rsidRPr="00D618F2">
        <w:instrText>ADDIN CSL_CITATION {"citationItems":[{"id":"ITEM-1","itemData":{"DOI":"10.1056/NEJMoa1901229","ISSN":"15334406","abstract":"In September 2015, the United Kingdom introduced the multicomponent meningococcal group B vaccine (4CMenB, Bexsero) into its publicly funded national immunization program at a reduced two-dose priming schedule for infants, with a 12-month booster. METHODS Using data from enhanced national surveillance of invasive meningococcal disease in England, we evaluated the effect of vaccination on the incidence of meningococcal group B disease during the first 3 years of the program. The effect of vaccination was assessed by comparing the observed incidence of disease with the expected incidence based on the incidence during the 4-year prevaccination period in equivalent cohorts and with the use of disease trends in cohorts of children younger than 5 years of age who were not eligible to receive the vaccine. Vaccine effectiveness was estimated with the use of the indirect screening method. RESULTS 4CMenB uptake in England remained consistently high; data from the first 3 months of 2018 showed that 92.5% of children had completed the primary immunizations by their first birthday and 87.9% had received all three doses by 2 years. From September 2015 through August 2018, the incidence of meningococcal group B disease in England (average annual birth cohort, approximately 650,000 infants) was significantly lower in vaccine-eligible cohorts than the expected incidence (63 observed cases as compared with 253 expected cases; incidence rate ratio, 0.25; 95% confidence interval [CI], 0.19 to 0.36), with a 75% reduction in age groups that were fully eligible for vaccination. The adjusted vaccine effectiveness against meningococcal group B disease was 52.7% (95% CI, −33.5 to 83.2) with a two-dose priming schedule for infants and 59.1% (95% CI, −31.1 to 87.2) with a two-dose priming schedule plus a booster at 1 year). Over the 3-year period, there were 169 cases of meningococcal group B disease in the vaccine-eligible cohorts, and an estimated 277 cases (95% CI, 236 to 323) were prevented. CONCLUSIONS The 4CMenB program was associated with continued positive effect against meningococcal group B disease in children in England, and protection after three doses of the vaccine was sustained for at least 2 years.","author":[{"dropping-particle":"","family":"Ladhani","given":"Shamez N.","non-dropping-particle":"","parse-names":false,"suffix":""},{"dropping-particle":"","family":"Andrews","given":"Nick","non-dropping-particle":"","parse-names":false,"suffix":""},{"dropping-particle":"","family":"Parikh","given":"Sydel R.","non-dropping-particle":"","parse-names":false,"suffix":""},{"dropping-particle":"","family":"Campbell","given":"Helen","non-dropping-particle":"","parse-names":false,"suffix":""},{"dropping-particle":"","family":"White","given":"Joanne","non-dropping-particle":"","parse-names":false,"suffix":""},{"dropping-particle":"","family":"Edelstein","given":"Michael","non-dropping-particle":"","parse-names":false,"suffix":""},{"dropping-particle":"","family":"Bai","given":"Xilian","non-dropping-particle":"","parse-names":false,"suffix":""},{"dropping-particle":"","family":"Lucidarme","given":"Jay","non-dropping-particle":"","parse-names":false,"suffix":""},{"dropping-particle":"","family":"Borrow","given":"Ray","non-dropping-particle":"","parse-names":false,"suffix":""},{"dropping-particle":"","family":"Ramsay","given":"Mary E.","non-dropping-particle":"","parse-names":false,"suffix":""}],"container-title":"New England Journal of Medicine","id":"ITEM-1","issue":"4","issued":{"date-parts":[["2020"]]},"page":"309-317","title":"Vaccination of infants with meningococcal group B vaccine (4CMenB) in England","type":"article-journal","volume":"382"},"uris":["http://www.mendeley.com/documents/?uuid=6684ce41-8e23-4e09-bf25-89188734bd21"]}],"mendeley":{"formattedCitation":"&lt;sup&gt;4&lt;/sup&gt;","plainTextFormattedCitation":"4","previouslyFormattedCitation":"&lt;sup&gt;4&lt;/sup&gt;"},"properties":{"noteIndex":0},"schema":"https://github.com/citation-style-language/schema/raw/master/csl-citation.json"}</w:instrText>
      </w:r>
      <w:r w:rsidRPr="00D618F2">
        <w:fldChar w:fldCharType="separate"/>
      </w:r>
      <w:r w:rsidRPr="00D618F2">
        <w:rPr>
          <w:noProof/>
          <w:vertAlign w:val="superscript"/>
        </w:rPr>
        <w:t>4</w:t>
      </w:r>
      <w:r w:rsidRPr="00D618F2">
        <w:fldChar w:fldCharType="end"/>
      </w:r>
      <w:r w:rsidRPr="00D618F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right w:w="170" w:type="dxa"/>
        </w:tblCellMar>
        <w:tblLook w:val="04A0" w:firstRow="1" w:lastRow="0" w:firstColumn="1" w:lastColumn="0" w:noHBand="0" w:noVBand="1"/>
      </w:tblPr>
      <w:tblGrid>
        <w:gridCol w:w="9632"/>
      </w:tblGrid>
      <w:tr w:rsidR="004D5D26" w:rsidRPr="00D618F2" w14:paraId="0FA255EB" w14:textId="77777777" w:rsidTr="004D5D26">
        <w:tc>
          <w:tcPr>
            <w:tcW w:w="9622" w:type="dxa"/>
          </w:tcPr>
          <w:p w14:paraId="0CEA328F" w14:textId="4EF58218" w:rsidR="004D5D26" w:rsidRPr="00D618F2" w:rsidRDefault="004D5D26" w:rsidP="00847F99">
            <w:pPr>
              <w:rPr>
                <w:b/>
                <w:bCs/>
              </w:rPr>
            </w:pPr>
            <w:r w:rsidRPr="00D618F2">
              <w:rPr>
                <w:b/>
                <w:bCs/>
              </w:rPr>
              <w:t>Table S1. Serogroup B IMD case counts shared by PHE and used for our re-assessment</w:t>
            </w:r>
          </w:p>
        </w:tc>
      </w:tr>
      <w:tr w:rsidR="004D5D26" w:rsidRPr="00D618F2" w14:paraId="23C62727" w14:textId="77777777" w:rsidTr="004D5D26">
        <w:tc>
          <w:tcPr>
            <w:tcW w:w="9622" w:type="dxa"/>
          </w:tcPr>
          <w:tbl>
            <w:tblPr>
              <w:tblW w:w="9406" w:type="dxa"/>
              <w:tblLook w:val="04A0" w:firstRow="1" w:lastRow="0" w:firstColumn="1" w:lastColumn="0" w:noHBand="0" w:noVBand="1"/>
            </w:tblPr>
            <w:tblGrid>
              <w:gridCol w:w="1003"/>
              <w:gridCol w:w="1111"/>
              <w:gridCol w:w="1026"/>
              <w:gridCol w:w="1025"/>
              <w:gridCol w:w="1025"/>
              <w:gridCol w:w="1025"/>
              <w:gridCol w:w="1025"/>
              <w:gridCol w:w="1025"/>
              <w:gridCol w:w="1027"/>
            </w:tblGrid>
            <w:tr w:rsidR="004D5D26" w:rsidRPr="00D618F2" w14:paraId="042E5F85" w14:textId="77777777" w:rsidTr="004D5D26">
              <w:trPr>
                <w:trHeight w:val="113"/>
              </w:trPr>
              <w:tc>
                <w:tcPr>
                  <w:tcW w:w="1014" w:type="dxa"/>
                  <w:vMerge w:val="restart"/>
                  <w:tcBorders>
                    <w:top w:val="single" w:sz="4" w:space="0" w:color="auto"/>
                    <w:left w:val="nil"/>
                    <w:right w:val="nil"/>
                  </w:tcBorders>
                  <w:shd w:val="clear" w:color="auto" w:fill="F2F2F2" w:themeFill="background1" w:themeFillShade="F2"/>
                  <w:noWrap/>
                  <w:vAlign w:val="center"/>
                  <w:hideMark/>
                </w:tcPr>
                <w:p w14:paraId="2914806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b/>
                      <w:bCs/>
                      <w:color w:val="000000"/>
                      <w:lang w:eastAsia="en-GB"/>
                    </w:rPr>
                    <w:t>Age</w:t>
                  </w:r>
                  <w:r w:rsidRPr="00D618F2">
                    <w:rPr>
                      <w:rFonts w:eastAsia="Times New Roman" w:cstheme="minorHAnsi"/>
                      <w:b/>
                      <w:bCs/>
                      <w:color w:val="000000"/>
                      <w:lang w:eastAsia="en-GB"/>
                    </w:rPr>
                    <w:br/>
                    <w:t>group</w:t>
                  </w:r>
                </w:p>
              </w:tc>
              <w:tc>
                <w:tcPr>
                  <w:tcW w:w="1124" w:type="dxa"/>
                  <w:vMerge w:val="restart"/>
                  <w:tcBorders>
                    <w:top w:val="single" w:sz="4" w:space="0" w:color="auto"/>
                    <w:left w:val="nil"/>
                    <w:right w:val="nil"/>
                  </w:tcBorders>
                  <w:shd w:val="clear" w:color="auto" w:fill="F2F2F2" w:themeFill="background1" w:themeFillShade="F2"/>
                  <w:noWrap/>
                  <w:vAlign w:val="center"/>
                  <w:hideMark/>
                </w:tcPr>
                <w:p w14:paraId="128DF3F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b/>
                      <w:bCs/>
                      <w:color w:val="000000"/>
                      <w:lang w:eastAsia="en-GB"/>
                    </w:rPr>
                    <w:t>Doses received</w:t>
                  </w:r>
                </w:p>
              </w:tc>
              <w:tc>
                <w:tcPr>
                  <w:tcW w:w="7268" w:type="dxa"/>
                  <w:gridSpan w:val="7"/>
                  <w:tcBorders>
                    <w:top w:val="single" w:sz="4" w:space="0" w:color="auto"/>
                    <w:left w:val="nil"/>
                    <w:bottom w:val="nil"/>
                    <w:right w:val="nil"/>
                  </w:tcBorders>
                  <w:shd w:val="clear" w:color="auto" w:fill="F2F2F2" w:themeFill="background1" w:themeFillShade="F2"/>
                  <w:noWrap/>
                  <w:vAlign w:val="center"/>
                  <w:hideMark/>
                </w:tcPr>
                <w:p w14:paraId="6AD40AD6" w14:textId="5C5A0DFD"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Year of surveillance (September</w:t>
                  </w:r>
                  <w:r w:rsidR="007655F5">
                    <w:rPr>
                      <w:rFonts w:eastAsia="Times New Roman" w:cstheme="minorHAnsi"/>
                      <w:b/>
                      <w:bCs/>
                      <w:color w:val="000000"/>
                      <w:lang w:eastAsia="en-GB"/>
                    </w:rPr>
                    <w:t>–</w:t>
                  </w:r>
                  <w:r w:rsidRPr="00D618F2">
                    <w:rPr>
                      <w:rFonts w:eastAsia="Times New Roman" w:cstheme="minorHAnsi"/>
                      <w:b/>
                      <w:bCs/>
                      <w:color w:val="000000"/>
                      <w:lang w:eastAsia="en-GB"/>
                    </w:rPr>
                    <w:t>August)</w:t>
                  </w:r>
                </w:p>
              </w:tc>
            </w:tr>
            <w:tr w:rsidR="004D5D26" w:rsidRPr="00D618F2" w14:paraId="726B804C" w14:textId="77777777" w:rsidTr="004D5D26">
              <w:trPr>
                <w:trHeight w:val="482"/>
              </w:trPr>
              <w:tc>
                <w:tcPr>
                  <w:tcW w:w="1014" w:type="dxa"/>
                  <w:vMerge/>
                  <w:tcBorders>
                    <w:left w:val="nil"/>
                    <w:bottom w:val="single" w:sz="4" w:space="0" w:color="auto"/>
                    <w:right w:val="nil"/>
                  </w:tcBorders>
                  <w:shd w:val="clear" w:color="auto" w:fill="F2F2F2" w:themeFill="background1" w:themeFillShade="F2"/>
                  <w:vAlign w:val="center"/>
                  <w:hideMark/>
                </w:tcPr>
                <w:p w14:paraId="0BE8C8C4" w14:textId="77777777" w:rsidR="004D5D26" w:rsidRPr="00D618F2" w:rsidRDefault="004D5D26" w:rsidP="004D5D26">
                  <w:pPr>
                    <w:jc w:val="center"/>
                    <w:rPr>
                      <w:rFonts w:eastAsia="Times New Roman" w:cstheme="minorHAnsi"/>
                      <w:b/>
                      <w:bCs/>
                      <w:color w:val="000000"/>
                      <w:lang w:eastAsia="en-GB"/>
                    </w:rPr>
                  </w:pPr>
                </w:p>
              </w:tc>
              <w:tc>
                <w:tcPr>
                  <w:tcW w:w="1124" w:type="dxa"/>
                  <w:vMerge/>
                  <w:tcBorders>
                    <w:left w:val="nil"/>
                    <w:bottom w:val="single" w:sz="4" w:space="0" w:color="auto"/>
                    <w:right w:val="nil"/>
                  </w:tcBorders>
                  <w:shd w:val="clear" w:color="auto" w:fill="F2F2F2" w:themeFill="background1" w:themeFillShade="F2"/>
                  <w:vAlign w:val="center"/>
                  <w:hideMark/>
                </w:tcPr>
                <w:p w14:paraId="7C6AC7CA" w14:textId="77777777" w:rsidR="004D5D26" w:rsidRPr="00D618F2" w:rsidRDefault="004D5D26" w:rsidP="004D5D26">
                  <w:pPr>
                    <w:jc w:val="center"/>
                    <w:rPr>
                      <w:rFonts w:eastAsia="Times New Roman" w:cstheme="minorHAnsi"/>
                      <w:b/>
                      <w:bCs/>
                      <w:color w:val="000000"/>
                      <w:lang w:eastAsia="en-GB"/>
                    </w:rPr>
                  </w:pP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277F8041"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2011-12</w:t>
                  </w: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6167F86E"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2012-13</w:t>
                  </w: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6CB2845A"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2013-14</w:t>
                  </w: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178C5C38"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2014-15</w:t>
                  </w: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7EBA9CFE"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2015-16</w:t>
                  </w:r>
                </w:p>
              </w:tc>
              <w:tc>
                <w:tcPr>
                  <w:tcW w:w="1038" w:type="dxa"/>
                  <w:tcBorders>
                    <w:top w:val="nil"/>
                    <w:left w:val="nil"/>
                    <w:bottom w:val="single" w:sz="4" w:space="0" w:color="auto"/>
                    <w:right w:val="nil"/>
                  </w:tcBorders>
                  <w:shd w:val="clear" w:color="auto" w:fill="F2F2F2" w:themeFill="background1" w:themeFillShade="F2"/>
                  <w:noWrap/>
                  <w:vAlign w:val="center"/>
                  <w:hideMark/>
                </w:tcPr>
                <w:p w14:paraId="5825B582"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2016-17</w:t>
                  </w:r>
                </w:p>
              </w:tc>
              <w:tc>
                <w:tcPr>
                  <w:tcW w:w="1040" w:type="dxa"/>
                  <w:tcBorders>
                    <w:top w:val="nil"/>
                    <w:left w:val="nil"/>
                    <w:bottom w:val="single" w:sz="4" w:space="0" w:color="auto"/>
                    <w:right w:val="nil"/>
                  </w:tcBorders>
                  <w:shd w:val="clear" w:color="auto" w:fill="F2F2F2" w:themeFill="background1" w:themeFillShade="F2"/>
                  <w:noWrap/>
                  <w:vAlign w:val="center"/>
                  <w:hideMark/>
                </w:tcPr>
                <w:p w14:paraId="39B1122C"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2017-18</w:t>
                  </w:r>
                </w:p>
              </w:tc>
            </w:tr>
            <w:tr w:rsidR="004D5D26" w:rsidRPr="00D618F2" w14:paraId="30C689D4" w14:textId="77777777" w:rsidTr="004D5D26">
              <w:trPr>
                <w:trHeight w:val="392"/>
              </w:trPr>
              <w:tc>
                <w:tcPr>
                  <w:tcW w:w="1014" w:type="dxa"/>
                  <w:tcBorders>
                    <w:top w:val="single" w:sz="4" w:space="0" w:color="auto"/>
                    <w:left w:val="nil"/>
                    <w:bottom w:val="single" w:sz="4" w:space="0" w:color="auto"/>
                    <w:right w:val="nil"/>
                  </w:tcBorders>
                  <w:shd w:val="clear" w:color="auto" w:fill="auto"/>
                  <w:noWrap/>
                  <w:vAlign w:val="center"/>
                  <w:hideMark/>
                </w:tcPr>
                <w:p w14:paraId="448AEAE8"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0-1 m</w:t>
                  </w:r>
                </w:p>
              </w:tc>
              <w:tc>
                <w:tcPr>
                  <w:tcW w:w="1124" w:type="dxa"/>
                  <w:tcBorders>
                    <w:top w:val="nil"/>
                    <w:left w:val="nil"/>
                    <w:bottom w:val="single" w:sz="4" w:space="0" w:color="auto"/>
                    <w:right w:val="nil"/>
                  </w:tcBorders>
                  <w:shd w:val="clear" w:color="auto" w:fill="auto"/>
                  <w:noWrap/>
                  <w:vAlign w:val="center"/>
                  <w:hideMark/>
                </w:tcPr>
                <w:p w14:paraId="2062A764"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bottom w:val="single" w:sz="4" w:space="0" w:color="auto"/>
                    <w:right w:val="nil"/>
                  </w:tcBorders>
                  <w:shd w:val="clear" w:color="auto" w:fill="auto"/>
                  <w:noWrap/>
                  <w:vAlign w:val="center"/>
                  <w:hideMark/>
                </w:tcPr>
                <w:p w14:paraId="03BC6A6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14</w:t>
                  </w:r>
                </w:p>
              </w:tc>
              <w:tc>
                <w:tcPr>
                  <w:tcW w:w="1038" w:type="dxa"/>
                  <w:tcBorders>
                    <w:top w:val="single" w:sz="4" w:space="0" w:color="auto"/>
                    <w:left w:val="nil"/>
                    <w:bottom w:val="single" w:sz="4" w:space="0" w:color="auto"/>
                    <w:right w:val="nil"/>
                  </w:tcBorders>
                  <w:shd w:val="clear" w:color="auto" w:fill="auto"/>
                  <w:noWrap/>
                  <w:vAlign w:val="center"/>
                  <w:hideMark/>
                </w:tcPr>
                <w:p w14:paraId="6E4A479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12</w:t>
                  </w:r>
                </w:p>
              </w:tc>
              <w:tc>
                <w:tcPr>
                  <w:tcW w:w="1038" w:type="dxa"/>
                  <w:tcBorders>
                    <w:top w:val="single" w:sz="4" w:space="0" w:color="auto"/>
                    <w:left w:val="nil"/>
                    <w:bottom w:val="single" w:sz="4" w:space="0" w:color="auto"/>
                    <w:right w:val="nil"/>
                  </w:tcBorders>
                  <w:shd w:val="clear" w:color="auto" w:fill="auto"/>
                  <w:noWrap/>
                  <w:vAlign w:val="center"/>
                  <w:hideMark/>
                </w:tcPr>
                <w:p w14:paraId="32A9F7E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19</w:t>
                  </w:r>
                </w:p>
              </w:tc>
              <w:tc>
                <w:tcPr>
                  <w:tcW w:w="1038" w:type="dxa"/>
                  <w:tcBorders>
                    <w:top w:val="single" w:sz="4" w:space="0" w:color="auto"/>
                    <w:left w:val="nil"/>
                    <w:bottom w:val="single" w:sz="4" w:space="0" w:color="auto"/>
                    <w:right w:val="nil"/>
                  </w:tcBorders>
                  <w:shd w:val="clear" w:color="auto" w:fill="auto"/>
                  <w:noWrap/>
                  <w:vAlign w:val="center"/>
                  <w:hideMark/>
                </w:tcPr>
                <w:p w14:paraId="3D971BE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10</w:t>
                  </w:r>
                </w:p>
              </w:tc>
              <w:tc>
                <w:tcPr>
                  <w:tcW w:w="1038" w:type="dxa"/>
                  <w:tcBorders>
                    <w:top w:val="nil"/>
                    <w:left w:val="nil"/>
                    <w:bottom w:val="single" w:sz="4" w:space="0" w:color="auto"/>
                    <w:right w:val="nil"/>
                  </w:tcBorders>
                  <w:shd w:val="clear" w:color="auto" w:fill="auto"/>
                  <w:noWrap/>
                  <w:vAlign w:val="center"/>
                  <w:hideMark/>
                </w:tcPr>
                <w:p w14:paraId="69152F7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w:t>
                  </w:r>
                </w:p>
              </w:tc>
              <w:tc>
                <w:tcPr>
                  <w:tcW w:w="1038" w:type="dxa"/>
                  <w:tcBorders>
                    <w:top w:val="single" w:sz="4" w:space="0" w:color="auto"/>
                    <w:left w:val="nil"/>
                    <w:bottom w:val="single" w:sz="4" w:space="0" w:color="auto"/>
                    <w:right w:val="nil"/>
                  </w:tcBorders>
                  <w:shd w:val="clear" w:color="auto" w:fill="auto"/>
                  <w:noWrap/>
                  <w:vAlign w:val="center"/>
                  <w:hideMark/>
                </w:tcPr>
                <w:p w14:paraId="6CCC142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w:t>
                  </w:r>
                </w:p>
              </w:tc>
              <w:tc>
                <w:tcPr>
                  <w:tcW w:w="1040" w:type="dxa"/>
                  <w:tcBorders>
                    <w:top w:val="single" w:sz="4" w:space="0" w:color="auto"/>
                    <w:left w:val="nil"/>
                    <w:bottom w:val="single" w:sz="4" w:space="0" w:color="auto"/>
                    <w:right w:val="nil"/>
                  </w:tcBorders>
                  <w:shd w:val="clear" w:color="auto" w:fill="auto"/>
                  <w:noWrap/>
                  <w:vAlign w:val="center"/>
                  <w:hideMark/>
                </w:tcPr>
                <w:p w14:paraId="6C2DB6B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10</w:t>
                  </w:r>
                </w:p>
              </w:tc>
            </w:tr>
            <w:tr w:rsidR="004D5D26" w:rsidRPr="00D618F2" w14:paraId="704F3D1C" w14:textId="77777777" w:rsidTr="004D5D26">
              <w:trPr>
                <w:trHeight w:val="392"/>
              </w:trPr>
              <w:tc>
                <w:tcPr>
                  <w:tcW w:w="1014" w:type="dxa"/>
                  <w:vMerge w:val="restart"/>
                  <w:tcBorders>
                    <w:top w:val="single" w:sz="4" w:space="0" w:color="auto"/>
                    <w:left w:val="nil"/>
                    <w:bottom w:val="single" w:sz="4" w:space="0" w:color="000000"/>
                    <w:right w:val="nil"/>
                  </w:tcBorders>
                  <w:shd w:val="clear" w:color="auto" w:fill="auto"/>
                  <w:noWrap/>
                  <w:vAlign w:val="center"/>
                  <w:hideMark/>
                </w:tcPr>
                <w:p w14:paraId="4BA268A6"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2-3 m</w:t>
                  </w:r>
                </w:p>
              </w:tc>
              <w:tc>
                <w:tcPr>
                  <w:tcW w:w="1124" w:type="dxa"/>
                  <w:tcBorders>
                    <w:top w:val="single" w:sz="4" w:space="0" w:color="auto"/>
                    <w:left w:val="nil"/>
                    <w:right w:val="nil"/>
                  </w:tcBorders>
                  <w:shd w:val="clear" w:color="auto" w:fill="auto"/>
                  <w:noWrap/>
                  <w:vAlign w:val="center"/>
                  <w:hideMark/>
                </w:tcPr>
                <w:p w14:paraId="309591F4"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right w:val="nil"/>
                  </w:tcBorders>
                  <w:shd w:val="clear" w:color="auto" w:fill="auto"/>
                  <w:noWrap/>
                  <w:vAlign w:val="center"/>
                  <w:hideMark/>
                </w:tcPr>
                <w:p w14:paraId="750D1BD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26</w:t>
                  </w:r>
                </w:p>
              </w:tc>
              <w:tc>
                <w:tcPr>
                  <w:tcW w:w="1038" w:type="dxa"/>
                  <w:tcBorders>
                    <w:top w:val="single" w:sz="4" w:space="0" w:color="auto"/>
                    <w:left w:val="nil"/>
                    <w:right w:val="nil"/>
                  </w:tcBorders>
                  <w:shd w:val="clear" w:color="auto" w:fill="auto"/>
                  <w:noWrap/>
                  <w:vAlign w:val="center"/>
                  <w:hideMark/>
                </w:tcPr>
                <w:p w14:paraId="12F153D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20</w:t>
                  </w:r>
                </w:p>
              </w:tc>
              <w:tc>
                <w:tcPr>
                  <w:tcW w:w="1038" w:type="dxa"/>
                  <w:tcBorders>
                    <w:top w:val="single" w:sz="4" w:space="0" w:color="auto"/>
                    <w:left w:val="nil"/>
                    <w:right w:val="nil"/>
                  </w:tcBorders>
                  <w:shd w:val="clear" w:color="auto" w:fill="auto"/>
                  <w:noWrap/>
                  <w:vAlign w:val="center"/>
                  <w:hideMark/>
                </w:tcPr>
                <w:p w14:paraId="4F2AC91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18</w:t>
                  </w:r>
                </w:p>
              </w:tc>
              <w:tc>
                <w:tcPr>
                  <w:tcW w:w="1038" w:type="dxa"/>
                  <w:tcBorders>
                    <w:top w:val="single" w:sz="4" w:space="0" w:color="auto"/>
                    <w:left w:val="nil"/>
                    <w:right w:val="nil"/>
                  </w:tcBorders>
                  <w:shd w:val="clear" w:color="auto" w:fill="auto"/>
                  <w:noWrap/>
                  <w:vAlign w:val="center"/>
                  <w:hideMark/>
                </w:tcPr>
                <w:p w14:paraId="3771F4C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18</w:t>
                  </w:r>
                </w:p>
              </w:tc>
              <w:tc>
                <w:tcPr>
                  <w:tcW w:w="1038" w:type="dxa"/>
                  <w:tcBorders>
                    <w:top w:val="single" w:sz="4" w:space="0" w:color="auto"/>
                    <w:left w:val="nil"/>
                    <w:right w:val="nil"/>
                  </w:tcBorders>
                  <w:shd w:val="clear" w:color="auto" w:fill="auto"/>
                  <w:noWrap/>
                  <w:vAlign w:val="center"/>
                  <w:hideMark/>
                </w:tcPr>
                <w:p w14:paraId="29C7C28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w:t>
                  </w:r>
                </w:p>
              </w:tc>
              <w:tc>
                <w:tcPr>
                  <w:tcW w:w="1038" w:type="dxa"/>
                  <w:tcBorders>
                    <w:top w:val="single" w:sz="4" w:space="0" w:color="auto"/>
                    <w:left w:val="nil"/>
                    <w:right w:val="nil"/>
                  </w:tcBorders>
                  <w:shd w:val="clear" w:color="auto" w:fill="auto"/>
                  <w:noWrap/>
                  <w:vAlign w:val="center"/>
                  <w:hideMark/>
                </w:tcPr>
                <w:p w14:paraId="6F7E2E7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w:t>
                  </w:r>
                </w:p>
              </w:tc>
              <w:tc>
                <w:tcPr>
                  <w:tcW w:w="1040" w:type="dxa"/>
                  <w:tcBorders>
                    <w:top w:val="single" w:sz="4" w:space="0" w:color="auto"/>
                    <w:left w:val="nil"/>
                    <w:right w:val="nil"/>
                  </w:tcBorders>
                  <w:shd w:val="clear" w:color="auto" w:fill="auto"/>
                  <w:noWrap/>
                  <w:vAlign w:val="center"/>
                  <w:hideMark/>
                </w:tcPr>
                <w:p w14:paraId="56C8CC3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11</w:t>
                  </w:r>
                </w:p>
              </w:tc>
            </w:tr>
            <w:tr w:rsidR="004D5D26" w:rsidRPr="00D618F2" w14:paraId="08287DFB" w14:textId="77777777" w:rsidTr="004D5D26">
              <w:trPr>
                <w:trHeight w:val="392"/>
              </w:trPr>
              <w:tc>
                <w:tcPr>
                  <w:tcW w:w="1014" w:type="dxa"/>
                  <w:vMerge/>
                  <w:tcBorders>
                    <w:top w:val="single" w:sz="4" w:space="0" w:color="auto"/>
                    <w:left w:val="nil"/>
                    <w:bottom w:val="single" w:sz="4" w:space="0" w:color="000000"/>
                    <w:right w:val="nil"/>
                  </w:tcBorders>
                  <w:vAlign w:val="center"/>
                  <w:hideMark/>
                </w:tcPr>
                <w:p w14:paraId="2AE840ED" w14:textId="77777777" w:rsidR="004D5D26" w:rsidRPr="00D618F2" w:rsidRDefault="004D5D26" w:rsidP="004D5D26">
                  <w:pPr>
                    <w:rPr>
                      <w:rFonts w:eastAsia="Times New Roman" w:cstheme="minorHAnsi"/>
                      <w:b/>
                      <w:bCs/>
                      <w:color w:val="000000"/>
                      <w:lang w:eastAsia="en-GB"/>
                    </w:rPr>
                  </w:pPr>
                </w:p>
              </w:tc>
              <w:tc>
                <w:tcPr>
                  <w:tcW w:w="1124" w:type="dxa"/>
                  <w:tcBorders>
                    <w:left w:val="nil"/>
                    <w:right w:val="nil"/>
                  </w:tcBorders>
                  <w:shd w:val="clear" w:color="auto" w:fill="auto"/>
                  <w:noWrap/>
                  <w:vAlign w:val="center"/>
                  <w:hideMark/>
                </w:tcPr>
                <w:p w14:paraId="2B0F915A"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w:t>
                  </w:r>
                </w:p>
              </w:tc>
              <w:tc>
                <w:tcPr>
                  <w:tcW w:w="1038" w:type="dxa"/>
                  <w:tcBorders>
                    <w:left w:val="nil"/>
                    <w:right w:val="nil"/>
                  </w:tcBorders>
                  <w:shd w:val="clear" w:color="auto" w:fill="auto"/>
                  <w:noWrap/>
                  <w:vAlign w:val="center"/>
                  <w:hideMark/>
                </w:tcPr>
                <w:p w14:paraId="0F47E79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548C40A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239A2F3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6D1279A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78D183E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w:t>
                  </w:r>
                </w:p>
              </w:tc>
              <w:tc>
                <w:tcPr>
                  <w:tcW w:w="1038" w:type="dxa"/>
                  <w:tcBorders>
                    <w:left w:val="nil"/>
                    <w:right w:val="nil"/>
                  </w:tcBorders>
                  <w:shd w:val="clear" w:color="auto" w:fill="auto"/>
                  <w:noWrap/>
                  <w:vAlign w:val="center"/>
                  <w:hideMark/>
                </w:tcPr>
                <w:p w14:paraId="18BE5AE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13</w:t>
                  </w:r>
                </w:p>
              </w:tc>
              <w:tc>
                <w:tcPr>
                  <w:tcW w:w="1040" w:type="dxa"/>
                  <w:tcBorders>
                    <w:left w:val="nil"/>
                    <w:right w:val="nil"/>
                  </w:tcBorders>
                  <w:shd w:val="clear" w:color="auto" w:fill="auto"/>
                  <w:noWrap/>
                  <w:vAlign w:val="center"/>
                  <w:hideMark/>
                </w:tcPr>
                <w:p w14:paraId="59B176D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w:t>
                  </w:r>
                </w:p>
              </w:tc>
            </w:tr>
            <w:tr w:rsidR="004D5D26" w:rsidRPr="00D618F2" w14:paraId="1DDF8875" w14:textId="77777777" w:rsidTr="004D5D26">
              <w:trPr>
                <w:trHeight w:val="392"/>
              </w:trPr>
              <w:tc>
                <w:tcPr>
                  <w:tcW w:w="1014" w:type="dxa"/>
                  <w:vMerge/>
                  <w:tcBorders>
                    <w:top w:val="single" w:sz="4" w:space="0" w:color="auto"/>
                    <w:left w:val="nil"/>
                    <w:bottom w:val="single" w:sz="4" w:space="0" w:color="000000"/>
                    <w:right w:val="nil"/>
                  </w:tcBorders>
                  <w:vAlign w:val="center"/>
                  <w:hideMark/>
                </w:tcPr>
                <w:p w14:paraId="1475CD4B"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right w:val="nil"/>
                  </w:tcBorders>
                  <w:shd w:val="clear" w:color="auto" w:fill="auto"/>
                  <w:noWrap/>
                  <w:vAlign w:val="center"/>
                  <w:hideMark/>
                </w:tcPr>
                <w:p w14:paraId="06517830"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w:t>
                  </w:r>
                </w:p>
              </w:tc>
              <w:tc>
                <w:tcPr>
                  <w:tcW w:w="1038" w:type="dxa"/>
                  <w:tcBorders>
                    <w:top w:val="nil"/>
                    <w:left w:val="nil"/>
                    <w:right w:val="nil"/>
                  </w:tcBorders>
                  <w:shd w:val="clear" w:color="auto" w:fill="auto"/>
                  <w:noWrap/>
                  <w:vAlign w:val="center"/>
                  <w:hideMark/>
                </w:tcPr>
                <w:p w14:paraId="7E7C76E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07EAF90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5C604B7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753D2BB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46C1F60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1A07299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top w:val="nil"/>
                    <w:left w:val="nil"/>
                    <w:right w:val="nil"/>
                  </w:tcBorders>
                  <w:shd w:val="clear" w:color="auto" w:fill="auto"/>
                  <w:noWrap/>
                  <w:vAlign w:val="center"/>
                  <w:hideMark/>
                </w:tcPr>
                <w:p w14:paraId="1FD3DD5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r>
            <w:tr w:rsidR="004D5D26" w:rsidRPr="00D618F2" w14:paraId="605BAF22" w14:textId="77777777" w:rsidTr="004D5D26">
              <w:trPr>
                <w:trHeight w:val="392"/>
              </w:trPr>
              <w:tc>
                <w:tcPr>
                  <w:tcW w:w="1014" w:type="dxa"/>
                  <w:vMerge/>
                  <w:tcBorders>
                    <w:top w:val="single" w:sz="4" w:space="0" w:color="auto"/>
                    <w:left w:val="nil"/>
                    <w:bottom w:val="single" w:sz="4" w:space="0" w:color="000000"/>
                    <w:right w:val="nil"/>
                  </w:tcBorders>
                  <w:vAlign w:val="center"/>
                  <w:hideMark/>
                </w:tcPr>
                <w:p w14:paraId="2382C447"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bottom w:val="single" w:sz="4" w:space="0" w:color="auto"/>
                    <w:right w:val="nil"/>
                  </w:tcBorders>
                  <w:shd w:val="clear" w:color="auto" w:fill="auto"/>
                  <w:noWrap/>
                  <w:vAlign w:val="center"/>
                  <w:hideMark/>
                </w:tcPr>
                <w:p w14:paraId="6AB08E1D"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w:t>
                  </w:r>
                </w:p>
              </w:tc>
              <w:tc>
                <w:tcPr>
                  <w:tcW w:w="1038" w:type="dxa"/>
                  <w:tcBorders>
                    <w:top w:val="nil"/>
                    <w:left w:val="nil"/>
                    <w:bottom w:val="single" w:sz="4" w:space="0" w:color="auto"/>
                    <w:right w:val="nil"/>
                  </w:tcBorders>
                  <w:shd w:val="clear" w:color="auto" w:fill="auto"/>
                  <w:noWrap/>
                  <w:vAlign w:val="center"/>
                  <w:hideMark/>
                </w:tcPr>
                <w:p w14:paraId="1248E2D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11328EE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5BA0C3A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417EBD0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36277E5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242637D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top w:val="nil"/>
                    <w:left w:val="nil"/>
                    <w:bottom w:val="single" w:sz="4" w:space="0" w:color="auto"/>
                    <w:right w:val="nil"/>
                  </w:tcBorders>
                  <w:shd w:val="clear" w:color="auto" w:fill="auto"/>
                  <w:noWrap/>
                  <w:vAlign w:val="center"/>
                  <w:hideMark/>
                </w:tcPr>
                <w:p w14:paraId="6939902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r>
            <w:tr w:rsidR="004D5D26" w:rsidRPr="00D618F2" w14:paraId="7BA17ADC" w14:textId="77777777" w:rsidTr="004D5D26">
              <w:trPr>
                <w:trHeight w:val="392"/>
              </w:trPr>
              <w:tc>
                <w:tcPr>
                  <w:tcW w:w="1014" w:type="dxa"/>
                  <w:vMerge w:val="restart"/>
                  <w:tcBorders>
                    <w:top w:val="nil"/>
                    <w:left w:val="nil"/>
                    <w:bottom w:val="single" w:sz="4" w:space="0" w:color="000000"/>
                    <w:right w:val="nil"/>
                  </w:tcBorders>
                  <w:shd w:val="clear" w:color="auto" w:fill="auto"/>
                  <w:noWrap/>
                  <w:vAlign w:val="center"/>
                  <w:hideMark/>
                </w:tcPr>
                <w:p w14:paraId="385AA76F"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4-11 m</w:t>
                  </w:r>
                </w:p>
              </w:tc>
              <w:tc>
                <w:tcPr>
                  <w:tcW w:w="1124" w:type="dxa"/>
                  <w:tcBorders>
                    <w:top w:val="single" w:sz="4" w:space="0" w:color="auto"/>
                    <w:left w:val="nil"/>
                    <w:right w:val="nil"/>
                  </w:tcBorders>
                  <w:shd w:val="clear" w:color="auto" w:fill="auto"/>
                  <w:noWrap/>
                  <w:vAlign w:val="center"/>
                  <w:hideMark/>
                </w:tcPr>
                <w:p w14:paraId="08D61F60"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right w:val="nil"/>
                  </w:tcBorders>
                  <w:shd w:val="clear" w:color="auto" w:fill="auto"/>
                  <w:noWrap/>
                  <w:vAlign w:val="center"/>
                  <w:hideMark/>
                </w:tcPr>
                <w:p w14:paraId="197E556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113</w:t>
                  </w:r>
                </w:p>
              </w:tc>
              <w:tc>
                <w:tcPr>
                  <w:tcW w:w="1038" w:type="dxa"/>
                  <w:tcBorders>
                    <w:top w:val="single" w:sz="4" w:space="0" w:color="auto"/>
                    <w:left w:val="nil"/>
                    <w:right w:val="nil"/>
                  </w:tcBorders>
                  <w:shd w:val="clear" w:color="auto" w:fill="auto"/>
                  <w:noWrap/>
                  <w:vAlign w:val="center"/>
                  <w:hideMark/>
                </w:tcPr>
                <w:p w14:paraId="1E9E4A3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103</w:t>
                  </w:r>
                </w:p>
              </w:tc>
              <w:tc>
                <w:tcPr>
                  <w:tcW w:w="1038" w:type="dxa"/>
                  <w:tcBorders>
                    <w:top w:val="single" w:sz="4" w:space="0" w:color="auto"/>
                    <w:left w:val="nil"/>
                    <w:right w:val="nil"/>
                  </w:tcBorders>
                  <w:shd w:val="clear" w:color="auto" w:fill="auto"/>
                  <w:noWrap/>
                  <w:vAlign w:val="center"/>
                  <w:hideMark/>
                </w:tcPr>
                <w:p w14:paraId="39923A5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86</w:t>
                  </w:r>
                </w:p>
              </w:tc>
              <w:tc>
                <w:tcPr>
                  <w:tcW w:w="1038" w:type="dxa"/>
                  <w:tcBorders>
                    <w:top w:val="single" w:sz="4" w:space="0" w:color="auto"/>
                    <w:left w:val="nil"/>
                    <w:right w:val="nil"/>
                  </w:tcBorders>
                  <w:shd w:val="clear" w:color="auto" w:fill="auto"/>
                  <w:noWrap/>
                  <w:vAlign w:val="center"/>
                  <w:hideMark/>
                </w:tcPr>
                <w:p w14:paraId="39D4AF9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74</w:t>
                  </w:r>
                </w:p>
              </w:tc>
              <w:tc>
                <w:tcPr>
                  <w:tcW w:w="1038" w:type="dxa"/>
                  <w:tcBorders>
                    <w:top w:val="single" w:sz="4" w:space="0" w:color="auto"/>
                    <w:left w:val="nil"/>
                    <w:right w:val="nil"/>
                  </w:tcBorders>
                  <w:shd w:val="clear" w:color="auto" w:fill="auto"/>
                  <w:noWrap/>
                  <w:vAlign w:val="center"/>
                  <w:hideMark/>
                </w:tcPr>
                <w:p w14:paraId="2F61E09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36</w:t>
                  </w:r>
                </w:p>
              </w:tc>
              <w:tc>
                <w:tcPr>
                  <w:tcW w:w="1038" w:type="dxa"/>
                  <w:tcBorders>
                    <w:top w:val="single" w:sz="4" w:space="0" w:color="auto"/>
                    <w:left w:val="nil"/>
                    <w:right w:val="nil"/>
                  </w:tcBorders>
                  <w:shd w:val="clear" w:color="auto" w:fill="auto"/>
                  <w:noWrap/>
                  <w:vAlign w:val="center"/>
                  <w:hideMark/>
                </w:tcPr>
                <w:p w14:paraId="58F2EB4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w:t>
                  </w:r>
                </w:p>
              </w:tc>
              <w:tc>
                <w:tcPr>
                  <w:tcW w:w="1040" w:type="dxa"/>
                  <w:tcBorders>
                    <w:top w:val="single" w:sz="4" w:space="0" w:color="auto"/>
                    <w:left w:val="nil"/>
                    <w:right w:val="nil"/>
                  </w:tcBorders>
                  <w:shd w:val="clear" w:color="auto" w:fill="auto"/>
                  <w:noWrap/>
                  <w:vAlign w:val="center"/>
                  <w:hideMark/>
                </w:tcPr>
                <w:p w14:paraId="7A3919D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w:t>
                  </w:r>
                </w:p>
              </w:tc>
            </w:tr>
            <w:tr w:rsidR="004D5D26" w:rsidRPr="00D618F2" w14:paraId="401E45FC" w14:textId="77777777" w:rsidTr="004D5D26">
              <w:trPr>
                <w:trHeight w:val="392"/>
              </w:trPr>
              <w:tc>
                <w:tcPr>
                  <w:tcW w:w="1014" w:type="dxa"/>
                  <w:vMerge/>
                  <w:tcBorders>
                    <w:top w:val="nil"/>
                    <w:left w:val="nil"/>
                    <w:bottom w:val="single" w:sz="4" w:space="0" w:color="000000"/>
                    <w:right w:val="nil"/>
                  </w:tcBorders>
                  <w:vAlign w:val="center"/>
                  <w:hideMark/>
                </w:tcPr>
                <w:p w14:paraId="7CF352D0" w14:textId="77777777" w:rsidR="004D5D26" w:rsidRPr="00D618F2" w:rsidRDefault="004D5D26" w:rsidP="004D5D26">
                  <w:pPr>
                    <w:rPr>
                      <w:rFonts w:eastAsia="Times New Roman" w:cstheme="minorHAnsi"/>
                      <w:b/>
                      <w:bCs/>
                      <w:color w:val="000000"/>
                      <w:lang w:eastAsia="en-GB"/>
                    </w:rPr>
                  </w:pPr>
                </w:p>
              </w:tc>
              <w:tc>
                <w:tcPr>
                  <w:tcW w:w="1124" w:type="dxa"/>
                  <w:tcBorders>
                    <w:left w:val="nil"/>
                    <w:right w:val="nil"/>
                  </w:tcBorders>
                  <w:shd w:val="clear" w:color="auto" w:fill="auto"/>
                  <w:noWrap/>
                  <w:vAlign w:val="center"/>
                  <w:hideMark/>
                </w:tcPr>
                <w:p w14:paraId="1DBCF05F"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w:t>
                  </w:r>
                </w:p>
              </w:tc>
              <w:tc>
                <w:tcPr>
                  <w:tcW w:w="1038" w:type="dxa"/>
                  <w:tcBorders>
                    <w:left w:val="nil"/>
                    <w:right w:val="nil"/>
                  </w:tcBorders>
                  <w:shd w:val="clear" w:color="auto" w:fill="auto"/>
                  <w:noWrap/>
                  <w:vAlign w:val="center"/>
                  <w:hideMark/>
                </w:tcPr>
                <w:p w14:paraId="745E3B4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5E144F8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4C3B03D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0F104D1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7F6A455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13</w:t>
                  </w:r>
                </w:p>
              </w:tc>
              <w:tc>
                <w:tcPr>
                  <w:tcW w:w="1038" w:type="dxa"/>
                  <w:tcBorders>
                    <w:left w:val="nil"/>
                    <w:right w:val="nil"/>
                  </w:tcBorders>
                  <w:shd w:val="clear" w:color="auto" w:fill="auto"/>
                  <w:noWrap/>
                  <w:vAlign w:val="center"/>
                  <w:hideMark/>
                </w:tcPr>
                <w:p w14:paraId="2AF3209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w:t>
                  </w:r>
                </w:p>
              </w:tc>
              <w:tc>
                <w:tcPr>
                  <w:tcW w:w="1040" w:type="dxa"/>
                  <w:tcBorders>
                    <w:left w:val="nil"/>
                    <w:right w:val="nil"/>
                  </w:tcBorders>
                  <w:shd w:val="clear" w:color="auto" w:fill="auto"/>
                  <w:noWrap/>
                  <w:vAlign w:val="center"/>
                  <w:hideMark/>
                </w:tcPr>
                <w:p w14:paraId="4C359EE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10</w:t>
                  </w:r>
                </w:p>
              </w:tc>
            </w:tr>
            <w:tr w:rsidR="004D5D26" w:rsidRPr="00D618F2" w14:paraId="5B930506" w14:textId="77777777" w:rsidTr="004D5D26">
              <w:trPr>
                <w:trHeight w:val="392"/>
              </w:trPr>
              <w:tc>
                <w:tcPr>
                  <w:tcW w:w="1014" w:type="dxa"/>
                  <w:vMerge/>
                  <w:tcBorders>
                    <w:top w:val="nil"/>
                    <w:left w:val="nil"/>
                    <w:bottom w:val="single" w:sz="4" w:space="0" w:color="000000"/>
                    <w:right w:val="nil"/>
                  </w:tcBorders>
                  <w:vAlign w:val="center"/>
                  <w:hideMark/>
                </w:tcPr>
                <w:p w14:paraId="646F9941"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right w:val="nil"/>
                  </w:tcBorders>
                  <w:shd w:val="clear" w:color="auto" w:fill="auto"/>
                  <w:noWrap/>
                  <w:vAlign w:val="center"/>
                  <w:hideMark/>
                </w:tcPr>
                <w:p w14:paraId="2857421C"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w:t>
                  </w:r>
                </w:p>
              </w:tc>
              <w:tc>
                <w:tcPr>
                  <w:tcW w:w="1038" w:type="dxa"/>
                  <w:tcBorders>
                    <w:top w:val="nil"/>
                    <w:left w:val="nil"/>
                    <w:right w:val="nil"/>
                  </w:tcBorders>
                  <w:shd w:val="clear" w:color="auto" w:fill="auto"/>
                  <w:noWrap/>
                  <w:vAlign w:val="center"/>
                  <w:hideMark/>
                </w:tcPr>
                <w:p w14:paraId="368FEA7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4A21A25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075E447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4675670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20FED45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w:t>
                  </w:r>
                </w:p>
              </w:tc>
              <w:tc>
                <w:tcPr>
                  <w:tcW w:w="1038" w:type="dxa"/>
                  <w:tcBorders>
                    <w:top w:val="nil"/>
                    <w:left w:val="nil"/>
                    <w:right w:val="nil"/>
                  </w:tcBorders>
                  <w:shd w:val="clear" w:color="auto" w:fill="auto"/>
                  <w:noWrap/>
                  <w:vAlign w:val="center"/>
                  <w:hideMark/>
                </w:tcPr>
                <w:p w14:paraId="6B258C3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12</w:t>
                  </w:r>
                </w:p>
              </w:tc>
              <w:tc>
                <w:tcPr>
                  <w:tcW w:w="1040" w:type="dxa"/>
                  <w:tcBorders>
                    <w:top w:val="nil"/>
                    <w:left w:val="nil"/>
                    <w:right w:val="nil"/>
                  </w:tcBorders>
                  <w:shd w:val="clear" w:color="auto" w:fill="auto"/>
                  <w:noWrap/>
                  <w:vAlign w:val="center"/>
                  <w:hideMark/>
                </w:tcPr>
                <w:p w14:paraId="1A80D5B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13</w:t>
                  </w:r>
                </w:p>
              </w:tc>
            </w:tr>
            <w:tr w:rsidR="004D5D26" w:rsidRPr="00D618F2" w14:paraId="3ACF81F3" w14:textId="77777777" w:rsidTr="004D5D26">
              <w:trPr>
                <w:trHeight w:val="392"/>
              </w:trPr>
              <w:tc>
                <w:tcPr>
                  <w:tcW w:w="1014" w:type="dxa"/>
                  <w:vMerge/>
                  <w:tcBorders>
                    <w:top w:val="nil"/>
                    <w:left w:val="nil"/>
                    <w:bottom w:val="single" w:sz="4" w:space="0" w:color="000000"/>
                    <w:right w:val="nil"/>
                  </w:tcBorders>
                  <w:vAlign w:val="center"/>
                  <w:hideMark/>
                </w:tcPr>
                <w:p w14:paraId="32349E95"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bottom w:val="single" w:sz="4" w:space="0" w:color="auto"/>
                    <w:right w:val="nil"/>
                  </w:tcBorders>
                  <w:shd w:val="clear" w:color="auto" w:fill="auto"/>
                  <w:noWrap/>
                  <w:vAlign w:val="center"/>
                  <w:hideMark/>
                </w:tcPr>
                <w:p w14:paraId="27B48715"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w:t>
                  </w:r>
                </w:p>
              </w:tc>
              <w:tc>
                <w:tcPr>
                  <w:tcW w:w="1038" w:type="dxa"/>
                  <w:tcBorders>
                    <w:top w:val="nil"/>
                    <w:left w:val="nil"/>
                    <w:bottom w:val="single" w:sz="4" w:space="0" w:color="auto"/>
                    <w:right w:val="nil"/>
                  </w:tcBorders>
                  <w:shd w:val="clear" w:color="auto" w:fill="auto"/>
                  <w:noWrap/>
                  <w:vAlign w:val="center"/>
                  <w:hideMark/>
                </w:tcPr>
                <w:p w14:paraId="53AEF90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7A93AD6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0E6FFC9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793930B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220E1DB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1295E10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top w:val="nil"/>
                    <w:left w:val="nil"/>
                    <w:bottom w:val="single" w:sz="4" w:space="0" w:color="auto"/>
                    <w:right w:val="nil"/>
                  </w:tcBorders>
                  <w:shd w:val="clear" w:color="auto" w:fill="auto"/>
                  <w:noWrap/>
                  <w:vAlign w:val="center"/>
                  <w:hideMark/>
                </w:tcPr>
                <w:p w14:paraId="1AE769B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r>
            <w:tr w:rsidR="004D5D26" w:rsidRPr="00D618F2" w14:paraId="73D82552" w14:textId="77777777" w:rsidTr="004D5D26">
              <w:trPr>
                <w:trHeight w:val="392"/>
              </w:trPr>
              <w:tc>
                <w:tcPr>
                  <w:tcW w:w="1014" w:type="dxa"/>
                  <w:vMerge w:val="restart"/>
                  <w:tcBorders>
                    <w:top w:val="nil"/>
                    <w:left w:val="nil"/>
                    <w:bottom w:val="single" w:sz="4" w:space="0" w:color="000000"/>
                    <w:right w:val="nil"/>
                  </w:tcBorders>
                  <w:shd w:val="clear" w:color="auto" w:fill="auto"/>
                  <w:noWrap/>
                  <w:vAlign w:val="center"/>
                  <w:hideMark/>
                </w:tcPr>
                <w:p w14:paraId="45B91368"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 y</w:t>
                  </w:r>
                </w:p>
              </w:tc>
              <w:tc>
                <w:tcPr>
                  <w:tcW w:w="1124" w:type="dxa"/>
                  <w:tcBorders>
                    <w:top w:val="single" w:sz="4" w:space="0" w:color="auto"/>
                    <w:left w:val="nil"/>
                    <w:right w:val="nil"/>
                  </w:tcBorders>
                  <w:shd w:val="clear" w:color="auto" w:fill="auto"/>
                  <w:noWrap/>
                  <w:vAlign w:val="center"/>
                  <w:hideMark/>
                </w:tcPr>
                <w:p w14:paraId="682A453C"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right w:val="nil"/>
                  </w:tcBorders>
                  <w:shd w:val="clear" w:color="auto" w:fill="auto"/>
                  <w:noWrap/>
                  <w:vAlign w:val="center"/>
                  <w:hideMark/>
                </w:tcPr>
                <w:p w14:paraId="38AF017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88</w:t>
                  </w:r>
                </w:p>
              </w:tc>
              <w:tc>
                <w:tcPr>
                  <w:tcW w:w="1038" w:type="dxa"/>
                  <w:tcBorders>
                    <w:top w:val="single" w:sz="4" w:space="0" w:color="auto"/>
                    <w:left w:val="nil"/>
                    <w:right w:val="nil"/>
                  </w:tcBorders>
                  <w:shd w:val="clear" w:color="auto" w:fill="auto"/>
                  <w:noWrap/>
                  <w:vAlign w:val="center"/>
                  <w:hideMark/>
                </w:tcPr>
                <w:p w14:paraId="2CD6FC1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77</w:t>
                  </w:r>
                </w:p>
              </w:tc>
              <w:tc>
                <w:tcPr>
                  <w:tcW w:w="1038" w:type="dxa"/>
                  <w:tcBorders>
                    <w:top w:val="single" w:sz="4" w:space="0" w:color="auto"/>
                    <w:left w:val="nil"/>
                    <w:right w:val="nil"/>
                  </w:tcBorders>
                  <w:shd w:val="clear" w:color="auto" w:fill="auto"/>
                  <w:noWrap/>
                  <w:vAlign w:val="center"/>
                  <w:hideMark/>
                </w:tcPr>
                <w:p w14:paraId="4E9175A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40</w:t>
                  </w:r>
                </w:p>
              </w:tc>
              <w:tc>
                <w:tcPr>
                  <w:tcW w:w="1038" w:type="dxa"/>
                  <w:tcBorders>
                    <w:top w:val="single" w:sz="4" w:space="0" w:color="auto"/>
                    <w:left w:val="nil"/>
                    <w:right w:val="nil"/>
                  </w:tcBorders>
                  <w:shd w:val="clear" w:color="auto" w:fill="auto"/>
                  <w:noWrap/>
                  <w:vAlign w:val="center"/>
                  <w:hideMark/>
                </w:tcPr>
                <w:p w14:paraId="3D5BD1E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80</w:t>
                  </w:r>
                </w:p>
              </w:tc>
              <w:tc>
                <w:tcPr>
                  <w:tcW w:w="1038" w:type="dxa"/>
                  <w:tcBorders>
                    <w:top w:val="single" w:sz="4" w:space="0" w:color="auto"/>
                    <w:left w:val="nil"/>
                    <w:right w:val="nil"/>
                  </w:tcBorders>
                  <w:shd w:val="clear" w:color="auto" w:fill="auto"/>
                  <w:noWrap/>
                  <w:vAlign w:val="center"/>
                  <w:hideMark/>
                </w:tcPr>
                <w:p w14:paraId="069047E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57</w:t>
                  </w:r>
                </w:p>
              </w:tc>
              <w:tc>
                <w:tcPr>
                  <w:tcW w:w="1038" w:type="dxa"/>
                  <w:tcBorders>
                    <w:top w:val="single" w:sz="4" w:space="0" w:color="auto"/>
                    <w:left w:val="nil"/>
                    <w:right w:val="nil"/>
                  </w:tcBorders>
                  <w:shd w:val="clear" w:color="auto" w:fill="auto"/>
                  <w:noWrap/>
                  <w:vAlign w:val="center"/>
                  <w:hideMark/>
                </w:tcPr>
                <w:p w14:paraId="682389F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13</w:t>
                  </w:r>
                </w:p>
              </w:tc>
              <w:tc>
                <w:tcPr>
                  <w:tcW w:w="1040" w:type="dxa"/>
                  <w:tcBorders>
                    <w:top w:val="single" w:sz="4" w:space="0" w:color="auto"/>
                    <w:left w:val="nil"/>
                    <w:right w:val="nil"/>
                  </w:tcBorders>
                  <w:shd w:val="clear" w:color="auto" w:fill="auto"/>
                  <w:noWrap/>
                  <w:vAlign w:val="center"/>
                  <w:hideMark/>
                </w:tcPr>
                <w:p w14:paraId="366FA34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w:t>
                  </w:r>
                </w:p>
              </w:tc>
            </w:tr>
            <w:tr w:rsidR="004D5D26" w:rsidRPr="00D618F2" w14:paraId="758D1F05" w14:textId="77777777" w:rsidTr="004D5D26">
              <w:trPr>
                <w:trHeight w:val="392"/>
              </w:trPr>
              <w:tc>
                <w:tcPr>
                  <w:tcW w:w="1014" w:type="dxa"/>
                  <w:vMerge/>
                  <w:tcBorders>
                    <w:top w:val="nil"/>
                    <w:left w:val="nil"/>
                    <w:bottom w:val="single" w:sz="4" w:space="0" w:color="000000"/>
                    <w:right w:val="nil"/>
                  </w:tcBorders>
                  <w:vAlign w:val="center"/>
                  <w:hideMark/>
                </w:tcPr>
                <w:p w14:paraId="461CBA04" w14:textId="77777777" w:rsidR="004D5D26" w:rsidRPr="00D618F2" w:rsidRDefault="004D5D26" w:rsidP="004D5D26">
                  <w:pPr>
                    <w:rPr>
                      <w:rFonts w:eastAsia="Times New Roman" w:cstheme="minorHAnsi"/>
                      <w:b/>
                      <w:bCs/>
                      <w:color w:val="000000"/>
                      <w:lang w:eastAsia="en-GB"/>
                    </w:rPr>
                  </w:pPr>
                </w:p>
              </w:tc>
              <w:tc>
                <w:tcPr>
                  <w:tcW w:w="1124" w:type="dxa"/>
                  <w:tcBorders>
                    <w:left w:val="nil"/>
                    <w:right w:val="nil"/>
                  </w:tcBorders>
                  <w:shd w:val="clear" w:color="auto" w:fill="auto"/>
                  <w:noWrap/>
                  <w:vAlign w:val="center"/>
                  <w:hideMark/>
                </w:tcPr>
                <w:p w14:paraId="571915C6"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w:t>
                  </w:r>
                </w:p>
              </w:tc>
              <w:tc>
                <w:tcPr>
                  <w:tcW w:w="1038" w:type="dxa"/>
                  <w:tcBorders>
                    <w:left w:val="nil"/>
                    <w:right w:val="nil"/>
                  </w:tcBorders>
                  <w:shd w:val="clear" w:color="auto" w:fill="auto"/>
                  <w:noWrap/>
                  <w:vAlign w:val="center"/>
                  <w:hideMark/>
                </w:tcPr>
                <w:p w14:paraId="7865437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5FDA13B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4C32DAC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55FEC2F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298AD8B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c>
                <w:tcPr>
                  <w:tcW w:w="1038" w:type="dxa"/>
                  <w:tcBorders>
                    <w:left w:val="nil"/>
                    <w:right w:val="nil"/>
                  </w:tcBorders>
                  <w:shd w:val="clear" w:color="auto" w:fill="auto"/>
                  <w:noWrap/>
                  <w:vAlign w:val="center"/>
                  <w:hideMark/>
                </w:tcPr>
                <w:p w14:paraId="4EA9EEC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c>
                <w:tcPr>
                  <w:tcW w:w="1040" w:type="dxa"/>
                  <w:tcBorders>
                    <w:left w:val="nil"/>
                    <w:right w:val="nil"/>
                  </w:tcBorders>
                  <w:shd w:val="clear" w:color="auto" w:fill="auto"/>
                  <w:noWrap/>
                  <w:vAlign w:val="center"/>
                  <w:hideMark/>
                </w:tcPr>
                <w:p w14:paraId="6839340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r>
            <w:tr w:rsidR="004D5D26" w:rsidRPr="00D618F2" w14:paraId="4B0763FC" w14:textId="77777777" w:rsidTr="004D5D26">
              <w:trPr>
                <w:trHeight w:val="392"/>
              </w:trPr>
              <w:tc>
                <w:tcPr>
                  <w:tcW w:w="1014" w:type="dxa"/>
                  <w:vMerge/>
                  <w:tcBorders>
                    <w:top w:val="nil"/>
                    <w:left w:val="nil"/>
                    <w:bottom w:val="single" w:sz="4" w:space="0" w:color="000000"/>
                    <w:right w:val="nil"/>
                  </w:tcBorders>
                  <w:vAlign w:val="center"/>
                  <w:hideMark/>
                </w:tcPr>
                <w:p w14:paraId="41EBEB0B"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right w:val="nil"/>
                  </w:tcBorders>
                  <w:shd w:val="clear" w:color="auto" w:fill="auto"/>
                  <w:noWrap/>
                  <w:vAlign w:val="center"/>
                  <w:hideMark/>
                </w:tcPr>
                <w:p w14:paraId="12A4D1F3"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w:t>
                  </w:r>
                </w:p>
              </w:tc>
              <w:tc>
                <w:tcPr>
                  <w:tcW w:w="1038" w:type="dxa"/>
                  <w:tcBorders>
                    <w:top w:val="nil"/>
                    <w:left w:val="nil"/>
                    <w:right w:val="nil"/>
                  </w:tcBorders>
                  <w:shd w:val="clear" w:color="auto" w:fill="auto"/>
                  <w:noWrap/>
                  <w:vAlign w:val="center"/>
                  <w:hideMark/>
                </w:tcPr>
                <w:p w14:paraId="58171FA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0A265BB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7C98E2E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1045A1F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5A62754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w:t>
                  </w:r>
                </w:p>
              </w:tc>
              <w:tc>
                <w:tcPr>
                  <w:tcW w:w="1038" w:type="dxa"/>
                  <w:tcBorders>
                    <w:top w:val="nil"/>
                    <w:left w:val="nil"/>
                    <w:right w:val="nil"/>
                  </w:tcBorders>
                  <w:shd w:val="clear" w:color="auto" w:fill="auto"/>
                  <w:noWrap/>
                  <w:vAlign w:val="center"/>
                  <w:hideMark/>
                </w:tcPr>
                <w:p w14:paraId="0E3A707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w:t>
                  </w:r>
                </w:p>
              </w:tc>
              <w:tc>
                <w:tcPr>
                  <w:tcW w:w="1040" w:type="dxa"/>
                  <w:tcBorders>
                    <w:top w:val="nil"/>
                    <w:left w:val="nil"/>
                    <w:right w:val="nil"/>
                  </w:tcBorders>
                  <w:shd w:val="clear" w:color="auto" w:fill="auto"/>
                  <w:noWrap/>
                  <w:vAlign w:val="center"/>
                  <w:hideMark/>
                </w:tcPr>
                <w:p w14:paraId="72F8BA1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w:t>
                  </w:r>
                </w:p>
              </w:tc>
            </w:tr>
            <w:tr w:rsidR="004D5D26" w:rsidRPr="00D618F2" w14:paraId="33D75278" w14:textId="77777777" w:rsidTr="004D5D26">
              <w:trPr>
                <w:trHeight w:val="392"/>
              </w:trPr>
              <w:tc>
                <w:tcPr>
                  <w:tcW w:w="1014" w:type="dxa"/>
                  <w:vMerge/>
                  <w:tcBorders>
                    <w:top w:val="nil"/>
                    <w:left w:val="nil"/>
                    <w:bottom w:val="single" w:sz="4" w:space="0" w:color="000000"/>
                    <w:right w:val="nil"/>
                  </w:tcBorders>
                  <w:vAlign w:val="center"/>
                  <w:hideMark/>
                </w:tcPr>
                <w:p w14:paraId="7593A8C3"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bottom w:val="single" w:sz="4" w:space="0" w:color="auto"/>
                    <w:right w:val="nil"/>
                  </w:tcBorders>
                  <w:shd w:val="clear" w:color="auto" w:fill="auto"/>
                  <w:noWrap/>
                  <w:vAlign w:val="center"/>
                  <w:hideMark/>
                </w:tcPr>
                <w:p w14:paraId="3CBE4876"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w:t>
                  </w:r>
                </w:p>
              </w:tc>
              <w:tc>
                <w:tcPr>
                  <w:tcW w:w="1038" w:type="dxa"/>
                  <w:tcBorders>
                    <w:top w:val="nil"/>
                    <w:left w:val="nil"/>
                    <w:bottom w:val="single" w:sz="4" w:space="0" w:color="auto"/>
                    <w:right w:val="nil"/>
                  </w:tcBorders>
                  <w:shd w:val="clear" w:color="auto" w:fill="auto"/>
                  <w:noWrap/>
                  <w:vAlign w:val="center"/>
                  <w:hideMark/>
                </w:tcPr>
                <w:p w14:paraId="6AEEA80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60B0706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6BD5F0D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09847F5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3B16A29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6E68879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w:t>
                  </w:r>
                </w:p>
              </w:tc>
              <w:tc>
                <w:tcPr>
                  <w:tcW w:w="1040" w:type="dxa"/>
                  <w:tcBorders>
                    <w:top w:val="nil"/>
                    <w:left w:val="nil"/>
                    <w:bottom w:val="single" w:sz="4" w:space="0" w:color="auto"/>
                    <w:right w:val="nil"/>
                  </w:tcBorders>
                  <w:shd w:val="clear" w:color="auto" w:fill="auto"/>
                  <w:noWrap/>
                  <w:vAlign w:val="center"/>
                  <w:hideMark/>
                </w:tcPr>
                <w:p w14:paraId="3B25CA8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w:t>
                  </w:r>
                </w:p>
              </w:tc>
            </w:tr>
            <w:tr w:rsidR="004D5D26" w:rsidRPr="00D618F2" w14:paraId="153D4759" w14:textId="77777777" w:rsidTr="004D5D26">
              <w:trPr>
                <w:trHeight w:val="392"/>
              </w:trPr>
              <w:tc>
                <w:tcPr>
                  <w:tcW w:w="1014" w:type="dxa"/>
                  <w:vMerge w:val="restart"/>
                  <w:tcBorders>
                    <w:top w:val="nil"/>
                    <w:left w:val="nil"/>
                    <w:bottom w:val="single" w:sz="4" w:space="0" w:color="000000"/>
                    <w:right w:val="nil"/>
                  </w:tcBorders>
                  <w:shd w:val="clear" w:color="auto" w:fill="auto"/>
                  <w:noWrap/>
                  <w:vAlign w:val="center"/>
                  <w:hideMark/>
                </w:tcPr>
                <w:p w14:paraId="66838CA0"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 y</w:t>
                  </w:r>
                </w:p>
              </w:tc>
              <w:tc>
                <w:tcPr>
                  <w:tcW w:w="1124" w:type="dxa"/>
                  <w:tcBorders>
                    <w:top w:val="single" w:sz="4" w:space="0" w:color="auto"/>
                    <w:left w:val="nil"/>
                    <w:right w:val="nil"/>
                  </w:tcBorders>
                  <w:shd w:val="clear" w:color="auto" w:fill="auto"/>
                  <w:noWrap/>
                  <w:vAlign w:val="center"/>
                  <w:hideMark/>
                </w:tcPr>
                <w:p w14:paraId="5FB6B775"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right w:val="nil"/>
                  </w:tcBorders>
                  <w:shd w:val="clear" w:color="auto" w:fill="auto"/>
                  <w:noWrap/>
                  <w:vAlign w:val="center"/>
                  <w:hideMark/>
                </w:tcPr>
                <w:p w14:paraId="7FA8DB7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49</w:t>
                  </w:r>
                </w:p>
              </w:tc>
              <w:tc>
                <w:tcPr>
                  <w:tcW w:w="1038" w:type="dxa"/>
                  <w:tcBorders>
                    <w:top w:val="single" w:sz="4" w:space="0" w:color="auto"/>
                    <w:left w:val="nil"/>
                    <w:right w:val="nil"/>
                  </w:tcBorders>
                  <w:shd w:val="clear" w:color="auto" w:fill="auto"/>
                  <w:noWrap/>
                  <w:vAlign w:val="center"/>
                  <w:hideMark/>
                </w:tcPr>
                <w:p w14:paraId="0BF86DE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56</w:t>
                  </w:r>
                </w:p>
              </w:tc>
              <w:tc>
                <w:tcPr>
                  <w:tcW w:w="1038" w:type="dxa"/>
                  <w:tcBorders>
                    <w:top w:val="single" w:sz="4" w:space="0" w:color="auto"/>
                    <w:left w:val="nil"/>
                    <w:right w:val="nil"/>
                  </w:tcBorders>
                  <w:shd w:val="clear" w:color="auto" w:fill="auto"/>
                  <w:noWrap/>
                  <w:vAlign w:val="center"/>
                  <w:hideMark/>
                </w:tcPr>
                <w:p w14:paraId="549BF7C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28</w:t>
                  </w:r>
                </w:p>
              </w:tc>
              <w:tc>
                <w:tcPr>
                  <w:tcW w:w="1038" w:type="dxa"/>
                  <w:tcBorders>
                    <w:top w:val="single" w:sz="4" w:space="0" w:color="auto"/>
                    <w:left w:val="nil"/>
                    <w:right w:val="nil"/>
                  </w:tcBorders>
                  <w:shd w:val="clear" w:color="auto" w:fill="auto"/>
                  <w:noWrap/>
                  <w:vAlign w:val="center"/>
                  <w:hideMark/>
                </w:tcPr>
                <w:p w14:paraId="7E7D591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34</w:t>
                  </w:r>
                </w:p>
              </w:tc>
              <w:tc>
                <w:tcPr>
                  <w:tcW w:w="1038" w:type="dxa"/>
                  <w:tcBorders>
                    <w:top w:val="single" w:sz="4" w:space="0" w:color="auto"/>
                    <w:left w:val="nil"/>
                    <w:right w:val="nil"/>
                  </w:tcBorders>
                  <w:shd w:val="clear" w:color="auto" w:fill="auto"/>
                  <w:noWrap/>
                  <w:vAlign w:val="center"/>
                  <w:hideMark/>
                </w:tcPr>
                <w:p w14:paraId="29D0CD3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42</w:t>
                  </w:r>
                </w:p>
              </w:tc>
              <w:tc>
                <w:tcPr>
                  <w:tcW w:w="1038" w:type="dxa"/>
                  <w:tcBorders>
                    <w:top w:val="single" w:sz="4" w:space="0" w:color="auto"/>
                    <w:left w:val="nil"/>
                    <w:right w:val="nil"/>
                  </w:tcBorders>
                  <w:shd w:val="clear" w:color="auto" w:fill="auto"/>
                  <w:noWrap/>
                  <w:vAlign w:val="center"/>
                  <w:hideMark/>
                </w:tcPr>
                <w:p w14:paraId="4A5D471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47</w:t>
                  </w:r>
                </w:p>
              </w:tc>
              <w:tc>
                <w:tcPr>
                  <w:tcW w:w="1040" w:type="dxa"/>
                  <w:tcBorders>
                    <w:top w:val="single" w:sz="4" w:space="0" w:color="auto"/>
                    <w:left w:val="nil"/>
                    <w:right w:val="nil"/>
                  </w:tcBorders>
                  <w:shd w:val="clear" w:color="auto" w:fill="auto"/>
                  <w:noWrap/>
                  <w:vAlign w:val="center"/>
                  <w:hideMark/>
                </w:tcPr>
                <w:p w14:paraId="777D193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w:t>
                  </w:r>
                </w:p>
              </w:tc>
            </w:tr>
            <w:tr w:rsidR="004D5D26" w:rsidRPr="00D618F2" w14:paraId="3E73BAFD" w14:textId="77777777" w:rsidTr="004D5D26">
              <w:trPr>
                <w:trHeight w:val="392"/>
              </w:trPr>
              <w:tc>
                <w:tcPr>
                  <w:tcW w:w="1014" w:type="dxa"/>
                  <w:vMerge/>
                  <w:tcBorders>
                    <w:top w:val="nil"/>
                    <w:left w:val="nil"/>
                    <w:bottom w:val="single" w:sz="4" w:space="0" w:color="000000"/>
                    <w:right w:val="nil"/>
                  </w:tcBorders>
                  <w:vAlign w:val="center"/>
                  <w:hideMark/>
                </w:tcPr>
                <w:p w14:paraId="6AE6D841" w14:textId="77777777" w:rsidR="004D5D26" w:rsidRPr="00D618F2" w:rsidRDefault="004D5D26" w:rsidP="004D5D26">
                  <w:pPr>
                    <w:rPr>
                      <w:rFonts w:eastAsia="Times New Roman" w:cstheme="minorHAnsi"/>
                      <w:b/>
                      <w:bCs/>
                      <w:color w:val="000000"/>
                      <w:lang w:eastAsia="en-GB"/>
                    </w:rPr>
                  </w:pPr>
                </w:p>
              </w:tc>
              <w:tc>
                <w:tcPr>
                  <w:tcW w:w="1124" w:type="dxa"/>
                  <w:tcBorders>
                    <w:left w:val="nil"/>
                    <w:right w:val="nil"/>
                  </w:tcBorders>
                  <w:shd w:val="clear" w:color="auto" w:fill="auto"/>
                  <w:noWrap/>
                  <w:vAlign w:val="center"/>
                  <w:hideMark/>
                </w:tcPr>
                <w:p w14:paraId="350314EC"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w:t>
                  </w:r>
                </w:p>
              </w:tc>
              <w:tc>
                <w:tcPr>
                  <w:tcW w:w="1038" w:type="dxa"/>
                  <w:tcBorders>
                    <w:left w:val="nil"/>
                    <w:right w:val="nil"/>
                  </w:tcBorders>
                  <w:shd w:val="clear" w:color="auto" w:fill="auto"/>
                  <w:noWrap/>
                  <w:vAlign w:val="center"/>
                  <w:hideMark/>
                </w:tcPr>
                <w:p w14:paraId="52467D5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754484F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60AE07A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0F69026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4A8E677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5422FFB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c>
                <w:tcPr>
                  <w:tcW w:w="1040" w:type="dxa"/>
                  <w:tcBorders>
                    <w:left w:val="nil"/>
                    <w:right w:val="nil"/>
                  </w:tcBorders>
                  <w:shd w:val="clear" w:color="auto" w:fill="auto"/>
                  <w:noWrap/>
                  <w:vAlign w:val="center"/>
                  <w:hideMark/>
                </w:tcPr>
                <w:p w14:paraId="5DB9DD8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r>
            <w:tr w:rsidR="004D5D26" w:rsidRPr="00D618F2" w14:paraId="17937222" w14:textId="77777777" w:rsidTr="004D5D26">
              <w:trPr>
                <w:trHeight w:val="392"/>
              </w:trPr>
              <w:tc>
                <w:tcPr>
                  <w:tcW w:w="1014" w:type="dxa"/>
                  <w:vMerge/>
                  <w:tcBorders>
                    <w:top w:val="nil"/>
                    <w:left w:val="nil"/>
                    <w:bottom w:val="single" w:sz="4" w:space="0" w:color="000000"/>
                    <w:right w:val="nil"/>
                  </w:tcBorders>
                  <w:vAlign w:val="center"/>
                  <w:hideMark/>
                </w:tcPr>
                <w:p w14:paraId="78D951ED"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right w:val="nil"/>
                  </w:tcBorders>
                  <w:shd w:val="clear" w:color="auto" w:fill="auto"/>
                  <w:noWrap/>
                  <w:vAlign w:val="center"/>
                  <w:hideMark/>
                </w:tcPr>
                <w:p w14:paraId="4428DF04"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w:t>
                  </w:r>
                </w:p>
              </w:tc>
              <w:tc>
                <w:tcPr>
                  <w:tcW w:w="1038" w:type="dxa"/>
                  <w:tcBorders>
                    <w:top w:val="nil"/>
                    <w:left w:val="nil"/>
                    <w:right w:val="nil"/>
                  </w:tcBorders>
                  <w:shd w:val="clear" w:color="auto" w:fill="auto"/>
                  <w:noWrap/>
                  <w:vAlign w:val="center"/>
                  <w:hideMark/>
                </w:tcPr>
                <w:p w14:paraId="6F00884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0278CDE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6F7F12A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78FC137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7983E25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538F3EA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w:t>
                  </w:r>
                </w:p>
              </w:tc>
              <w:tc>
                <w:tcPr>
                  <w:tcW w:w="1040" w:type="dxa"/>
                  <w:tcBorders>
                    <w:top w:val="nil"/>
                    <w:left w:val="nil"/>
                    <w:right w:val="nil"/>
                  </w:tcBorders>
                  <w:shd w:val="clear" w:color="auto" w:fill="auto"/>
                  <w:noWrap/>
                  <w:vAlign w:val="center"/>
                  <w:hideMark/>
                </w:tcPr>
                <w:p w14:paraId="39629FA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w:t>
                  </w:r>
                </w:p>
              </w:tc>
            </w:tr>
            <w:tr w:rsidR="004D5D26" w:rsidRPr="00D618F2" w14:paraId="7E7CA210" w14:textId="77777777" w:rsidTr="004D5D26">
              <w:trPr>
                <w:trHeight w:val="392"/>
              </w:trPr>
              <w:tc>
                <w:tcPr>
                  <w:tcW w:w="1014" w:type="dxa"/>
                  <w:vMerge/>
                  <w:tcBorders>
                    <w:top w:val="nil"/>
                    <w:left w:val="nil"/>
                    <w:bottom w:val="single" w:sz="4" w:space="0" w:color="000000"/>
                    <w:right w:val="nil"/>
                  </w:tcBorders>
                  <w:vAlign w:val="center"/>
                  <w:hideMark/>
                </w:tcPr>
                <w:p w14:paraId="0E8E3921"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bottom w:val="single" w:sz="4" w:space="0" w:color="auto"/>
                    <w:right w:val="nil"/>
                  </w:tcBorders>
                  <w:shd w:val="clear" w:color="auto" w:fill="auto"/>
                  <w:noWrap/>
                  <w:vAlign w:val="center"/>
                  <w:hideMark/>
                </w:tcPr>
                <w:p w14:paraId="01325200"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w:t>
                  </w:r>
                </w:p>
              </w:tc>
              <w:tc>
                <w:tcPr>
                  <w:tcW w:w="1038" w:type="dxa"/>
                  <w:tcBorders>
                    <w:top w:val="nil"/>
                    <w:left w:val="nil"/>
                    <w:bottom w:val="single" w:sz="4" w:space="0" w:color="auto"/>
                    <w:right w:val="nil"/>
                  </w:tcBorders>
                  <w:shd w:val="clear" w:color="auto" w:fill="auto"/>
                  <w:noWrap/>
                  <w:vAlign w:val="center"/>
                  <w:hideMark/>
                </w:tcPr>
                <w:p w14:paraId="0280878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17DBB1A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623B9C8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23F01F4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4DED96B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2EBB470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c>
                <w:tcPr>
                  <w:tcW w:w="1040" w:type="dxa"/>
                  <w:tcBorders>
                    <w:top w:val="nil"/>
                    <w:left w:val="nil"/>
                    <w:bottom w:val="single" w:sz="4" w:space="0" w:color="auto"/>
                    <w:right w:val="nil"/>
                  </w:tcBorders>
                  <w:shd w:val="clear" w:color="auto" w:fill="auto"/>
                  <w:noWrap/>
                  <w:vAlign w:val="center"/>
                  <w:hideMark/>
                </w:tcPr>
                <w:p w14:paraId="61A127B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10</w:t>
                  </w:r>
                </w:p>
              </w:tc>
            </w:tr>
            <w:tr w:rsidR="004D5D26" w:rsidRPr="00D618F2" w14:paraId="691BAFC5" w14:textId="77777777" w:rsidTr="004D5D26">
              <w:trPr>
                <w:trHeight w:val="392"/>
              </w:trPr>
              <w:tc>
                <w:tcPr>
                  <w:tcW w:w="1014" w:type="dxa"/>
                  <w:vMerge w:val="restart"/>
                  <w:tcBorders>
                    <w:top w:val="nil"/>
                    <w:left w:val="nil"/>
                    <w:bottom w:val="single" w:sz="4" w:space="0" w:color="000000"/>
                    <w:right w:val="nil"/>
                  </w:tcBorders>
                  <w:shd w:val="clear" w:color="auto" w:fill="auto"/>
                  <w:noWrap/>
                  <w:vAlign w:val="center"/>
                  <w:hideMark/>
                </w:tcPr>
                <w:p w14:paraId="0E624E2E"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 y</w:t>
                  </w:r>
                </w:p>
              </w:tc>
              <w:tc>
                <w:tcPr>
                  <w:tcW w:w="1124" w:type="dxa"/>
                  <w:tcBorders>
                    <w:top w:val="single" w:sz="4" w:space="0" w:color="auto"/>
                    <w:left w:val="nil"/>
                    <w:right w:val="nil"/>
                  </w:tcBorders>
                  <w:shd w:val="clear" w:color="auto" w:fill="auto"/>
                  <w:noWrap/>
                  <w:vAlign w:val="center"/>
                  <w:hideMark/>
                </w:tcPr>
                <w:p w14:paraId="6C5DF2AE"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single" w:sz="4" w:space="0" w:color="auto"/>
                    <w:left w:val="nil"/>
                    <w:right w:val="nil"/>
                  </w:tcBorders>
                  <w:shd w:val="clear" w:color="auto" w:fill="auto"/>
                  <w:noWrap/>
                  <w:vAlign w:val="center"/>
                  <w:hideMark/>
                </w:tcPr>
                <w:p w14:paraId="6B33F15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32</w:t>
                  </w:r>
                </w:p>
              </w:tc>
              <w:tc>
                <w:tcPr>
                  <w:tcW w:w="1038" w:type="dxa"/>
                  <w:tcBorders>
                    <w:top w:val="single" w:sz="4" w:space="0" w:color="auto"/>
                    <w:left w:val="nil"/>
                    <w:right w:val="nil"/>
                  </w:tcBorders>
                  <w:shd w:val="clear" w:color="auto" w:fill="auto"/>
                  <w:noWrap/>
                  <w:vAlign w:val="center"/>
                  <w:hideMark/>
                </w:tcPr>
                <w:p w14:paraId="42BED22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27</w:t>
                  </w:r>
                </w:p>
              </w:tc>
              <w:tc>
                <w:tcPr>
                  <w:tcW w:w="1038" w:type="dxa"/>
                  <w:tcBorders>
                    <w:top w:val="single" w:sz="4" w:space="0" w:color="auto"/>
                    <w:left w:val="nil"/>
                    <w:right w:val="nil"/>
                  </w:tcBorders>
                  <w:shd w:val="clear" w:color="auto" w:fill="auto"/>
                  <w:noWrap/>
                  <w:vAlign w:val="center"/>
                  <w:hideMark/>
                </w:tcPr>
                <w:p w14:paraId="2D90EE8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19</w:t>
                  </w:r>
                </w:p>
              </w:tc>
              <w:tc>
                <w:tcPr>
                  <w:tcW w:w="1038" w:type="dxa"/>
                  <w:tcBorders>
                    <w:top w:val="single" w:sz="4" w:space="0" w:color="auto"/>
                    <w:left w:val="nil"/>
                    <w:right w:val="nil"/>
                  </w:tcBorders>
                  <w:shd w:val="clear" w:color="auto" w:fill="auto"/>
                  <w:noWrap/>
                  <w:vAlign w:val="center"/>
                  <w:hideMark/>
                </w:tcPr>
                <w:p w14:paraId="2C1B41A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21</w:t>
                  </w:r>
                </w:p>
              </w:tc>
              <w:tc>
                <w:tcPr>
                  <w:tcW w:w="1038" w:type="dxa"/>
                  <w:tcBorders>
                    <w:top w:val="single" w:sz="4" w:space="0" w:color="auto"/>
                    <w:left w:val="nil"/>
                    <w:right w:val="nil"/>
                  </w:tcBorders>
                  <w:shd w:val="clear" w:color="auto" w:fill="auto"/>
                  <w:noWrap/>
                  <w:vAlign w:val="center"/>
                  <w:hideMark/>
                </w:tcPr>
                <w:p w14:paraId="2CB3702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21</w:t>
                  </w:r>
                </w:p>
              </w:tc>
              <w:tc>
                <w:tcPr>
                  <w:tcW w:w="1038" w:type="dxa"/>
                  <w:tcBorders>
                    <w:top w:val="single" w:sz="4" w:space="0" w:color="auto"/>
                    <w:left w:val="nil"/>
                    <w:right w:val="nil"/>
                  </w:tcBorders>
                  <w:shd w:val="clear" w:color="auto" w:fill="auto"/>
                  <w:noWrap/>
                  <w:vAlign w:val="center"/>
                  <w:hideMark/>
                </w:tcPr>
                <w:p w14:paraId="7AE1532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24</w:t>
                  </w:r>
                </w:p>
              </w:tc>
              <w:tc>
                <w:tcPr>
                  <w:tcW w:w="1040" w:type="dxa"/>
                  <w:tcBorders>
                    <w:top w:val="single" w:sz="4" w:space="0" w:color="auto"/>
                    <w:left w:val="nil"/>
                    <w:right w:val="nil"/>
                  </w:tcBorders>
                  <w:shd w:val="clear" w:color="auto" w:fill="auto"/>
                  <w:noWrap/>
                  <w:vAlign w:val="center"/>
                  <w:hideMark/>
                </w:tcPr>
                <w:p w14:paraId="313F6BE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27</w:t>
                  </w:r>
                </w:p>
              </w:tc>
            </w:tr>
            <w:tr w:rsidR="004D5D26" w:rsidRPr="00D618F2" w14:paraId="793FCBCB" w14:textId="77777777" w:rsidTr="004D5D26">
              <w:trPr>
                <w:trHeight w:val="392"/>
              </w:trPr>
              <w:tc>
                <w:tcPr>
                  <w:tcW w:w="1014" w:type="dxa"/>
                  <w:vMerge/>
                  <w:tcBorders>
                    <w:top w:val="nil"/>
                    <w:left w:val="nil"/>
                    <w:bottom w:val="single" w:sz="4" w:space="0" w:color="000000"/>
                    <w:right w:val="nil"/>
                  </w:tcBorders>
                  <w:vAlign w:val="center"/>
                  <w:hideMark/>
                </w:tcPr>
                <w:p w14:paraId="66330882" w14:textId="77777777" w:rsidR="004D5D26" w:rsidRPr="00D618F2" w:rsidRDefault="004D5D26" w:rsidP="004D5D26">
                  <w:pPr>
                    <w:rPr>
                      <w:rFonts w:eastAsia="Times New Roman" w:cstheme="minorHAnsi"/>
                      <w:b/>
                      <w:bCs/>
                      <w:color w:val="000000"/>
                      <w:lang w:eastAsia="en-GB"/>
                    </w:rPr>
                  </w:pPr>
                </w:p>
              </w:tc>
              <w:tc>
                <w:tcPr>
                  <w:tcW w:w="1124" w:type="dxa"/>
                  <w:tcBorders>
                    <w:left w:val="nil"/>
                    <w:right w:val="nil"/>
                  </w:tcBorders>
                  <w:shd w:val="clear" w:color="auto" w:fill="auto"/>
                  <w:noWrap/>
                  <w:vAlign w:val="center"/>
                  <w:hideMark/>
                </w:tcPr>
                <w:p w14:paraId="4EDA4B4D"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w:t>
                  </w:r>
                </w:p>
              </w:tc>
              <w:tc>
                <w:tcPr>
                  <w:tcW w:w="1038" w:type="dxa"/>
                  <w:tcBorders>
                    <w:left w:val="nil"/>
                    <w:right w:val="nil"/>
                  </w:tcBorders>
                  <w:shd w:val="clear" w:color="auto" w:fill="auto"/>
                  <w:noWrap/>
                  <w:vAlign w:val="center"/>
                  <w:hideMark/>
                </w:tcPr>
                <w:p w14:paraId="2787AE4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1B35A37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73CC3B7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7D11D8A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30B2A20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left w:val="nil"/>
                    <w:right w:val="nil"/>
                  </w:tcBorders>
                  <w:shd w:val="clear" w:color="auto" w:fill="auto"/>
                  <w:noWrap/>
                  <w:vAlign w:val="center"/>
                  <w:hideMark/>
                </w:tcPr>
                <w:p w14:paraId="4FFF4C3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left w:val="nil"/>
                    <w:right w:val="nil"/>
                  </w:tcBorders>
                  <w:shd w:val="clear" w:color="auto" w:fill="auto"/>
                  <w:noWrap/>
                  <w:vAlign w:val="center"/>
                  <w:hideMark/>
                </w:tcPr>
                <w:p w14:paraId="101B0FF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r>
            <w:tr w:rsidR="004D5D26" w:rsidRPr="00D618F2" w14:paraId="327CA16F" w14:textId="77777777" w:rsidTr="004D5D26">
              <w:trPr>
                <w:trHeight w:val="392"/>
              </w:trPr>
              <w:tc>
                <w:tcPr>
                  <w:tcW w:w="1014" w:type="dxa"/>
                  <w:vMerge/>
                  <w:tcBorders>
                    <w:top w:val="nil"/>
                    <w:left w:val="nil"/>
                    <w:bottom w:val="single" w:sz="4" w:space="0" w:color="000000"/>
                    <w:right w:val="nil"/>
                  </w:tcBorders>
                  <w:vAlign w:val="center"/>
                  <w:hideMark/>
                </w:tcPr>
                <w:p w14:paraId="1F7A27E1"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right w:val="nil"/>
                  </w:tcBorders>
                  <w:shd w:val="clear" w:color="auto" w:fill="auto"/>
                  <w:noWrap/>
                  <w:vAlign w:val="center"/>
                  <w:hideMark/>
                </w:tcPr>
                <w:p w14:paraId="2C58A367"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w:t>
                  </w:r>
                </w:p>
              </w:tc>
              <w:tc>
                <w:tcPr>
                  <w:tcW w:w="1038" w:type="dxa"/>
                  <w:tcBorders>
                    <w:top w:val="nil"/>
                    <w:left w:val="nil"/>
                    <w:right w:val="nil"/>
                  </w:tcBorders>
                  <w:shd w:val="clear" w:color="auto" w:fill="auto"/>
                  <w:noWrap/>
                  <w:vAlign w:val="center"/>
                  <w:hideMark/>
                </w:tcPr>
                <w:p w14:paraId="5F8176E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04BAE5D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110F465D"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120B238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505F697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right w:val="nil"/>
                  </w:tcBorders>
                  <w:shd w:val="clear" w:color="auto" w:fill="auto"/>
                  <w:noWrap/>
                  <w:vAlign w:val="center"/>
                  <w:hideMark/>
                </w:tcPr>
                <w:p w14:paraId="775D7EC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top w:val="nil"/>
                    <w:left w:val="nil"/>
                    <w:right w:val="nil"/>
                  </w:tcBorders>
                  <w:shd w:val="clear" w:color="auto" w:fill="auto"/>
                  <w:noWrap/>
                  <w:vAlign w:val="center"/>
                  <w:hideMark/>
                </w:tcPr>
                <w:p w14:paraId="58D65B6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r>
            <w:tr w:rsidR="004D5D26" w:rsidRPr="00D618F2" w14:paraId="524E3115" w14:textId="77777777" w:rsidTr="004D5D26">
              <w:trPr>
                <w:trHeight w:val="392"/>
              </w:trPr>
              <w:tc>
                <w:tcPr>
                  <w:tcW w:w="1014" w:type="dxa"/>
                  <w:vMerge/>
                  <w:tcBorders>
                    <w:top w:val="nil"/>
                    <w:left w:val="nil"/>
                    <w:bottom w:val="single" w:sz="4" w:space="0" w:color="000000"/>
                    <w:right w:val="nil"/>
                  </w:tcBorders>
                  <w:vAlign w:val="center"/>
                  <w:hideMark/>
                </w:tcPr>
                <w:p w14:paraId="7249E933" w14:textId="77777777" w:rsidR="004D5D26" w:rsidRPr="00D618F2" w:rsidRDefault="004D5D26" w:rsidP="004D5D26">
                  <w:pPr>
                    <w:rPr>
                      <w:rFonts w:eastAsia="Times New Roman" w:cstheme="minorHAnsi"/>
                      <w:b/>
                      <w:bCs/>
                      <w:color w:val="000000"/>
                      <w:lang w:eastAsia="en-GB"/>
                    </w:rPr>
                  </w:pPr>
                </w:p>
              </w:tc>
              <w:tc>
                <w:tcPr>
                  <w:tcW w:w="1124" w:type="dxa"/>
                  <w:tcBorders>
                    <w:top w:val="nil"/>
                    <w:left w:val="nil"/>
                    <w:bottom w:val="single" w:sz="4" w:space="0" w:color="auto"/>
                    <w:right w:val="nil"/>
                  </w:tcBorders>
                  <w:shd w:val="clear" w:color="auto" w:fill="auto"/>
                  <w:noWrap/>
                  <w:vAlign w:val="center"/>
                  <w:hideMark/>
                </w:tcPr>
                <w:p w14:paraId="18844D7B"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3</w:t>
                  </w:r>
                </w:p>
              </w:tc>
              <w:tc>
                <w:tcPr>
                  <w:tcW w:w="1038" w:type="dxa"/>
                  <w:tcBorders>
                    <w:top w:val="nil"/>
                    <w:left w:val="nil"/>
                    <w:bottom w:val="single" w:sz="4" w:space="0" w:color="auto"/>
                    <w:right w:val="nil"/>
                  </w:tcBorders>
                  <w:shd w:val="clear" w:color="auto" w:fill="auto"/>
                  <w:noWrap/>
                  <w:vAlign w:val="center"/>
                  <w:hideMark/>
                </w:tcPr>
                <w:p w14:paraId="269D163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736A0E1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46ABD84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49951E1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78B053A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38" w:type="dxa"/>
                  <w:tcBorders>
                    <w:top w:val="nil"/>
                    <w:left w:val="nil"/>
                    <w:bottom w:val="single" w:sz="4" w:space="0" w:color="auto"/>
                    <w:right w:val="nil"/>
                  </w:tcBorders>
                  <w:shd w:val="clear" w:color="auto" w:fill="auto"/>
                  <w:noWrap/>
                  <w:vAlign w:val="center"/>
                  <w:hideMark/>
                </w:tcPr>
                <w:p w14:paraId="1F87600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w:t>
                  </w:r>
                </w:p>
              </w:tc>
              <w:tc>
                <w:tcPr>
                  <w:tcW w:w="1040" w:type="dxa"/>
                  <w:tcBorders>
                    <w:top w:val="nil"/>
                    <w:left w:val="nil"/>
                    <w:bottom w:val="single" w:sz="4" w:space="0" w:color="auto"/>
                    <w:right w:val="nil"/>
                  </w:tcBorders>
                  <w:shd w:val="clear" w:color="auto" w:fill="auto"/>
                  <w:noWrap/>
                  <w:vAlign w:val="center"/>
                  <w:hideMark/>
                </w:tcPr>
                <w:p w14:paraId="277BC55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0</w:t>
                  </w:r>
                </w:p>
              </w:tc>
            </w:tr>
            <w:tr w:rsidR="004D5D26" w:rsidRPr="00D618F2" w14:paraId="0FB7B314" w14:textId="77777777" w:rsidTr="004D5D26">
              <w:trPr>
                <w:trHeight w:val="392"/>
              </w:trPr>
              <w:tc>
                <w:tcPr>
                  <w:tcW w:w="1014" w:type="dxa"/>
                  <w:tcBorders>
                    <w:top w:val="single" w:sz="4" w:space="0" w:color="auto"/>
                    <w:left w:val="nil"/>
                    <w:bottom w:val="single" w:sz="4" w:space="0" w:color="auto"/>
                    <w:right w:val="nil"/>
                  </w:tcBorders>
                  <w:shd w:val="clear" w:color="auto" w:fill="auto"/>
                  <w:noWrap/>
                  <w:vAlign w:val="center"/>
                  <w:hideMark/>
                </w:tcPr>
                <w:p w14:paraId="1CBDDF5A"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4 y</w:t>
                  </w:r>
                </w:p>
              </w:tc>
              <w:tc>
                <w:tcPr>
                  <w:tcW w:w="1124" w:type="dxa"/>
                  <w:tcBorders>
                    <w:top w:val="nil"/>
                    <w:left w:val="nil"/>
                    <w:bottom w:val="single" w:sz="4" w:space="0" w:color="auto"/>
                    <w:right w:val="nil"/>
                  </w:tcBorders>
                  <w:shd w:val="clear" w:color="auto" w:fill="auto"/>
                  <w:noWrap/>
                  <w:vAlign w:val="center"/>
                  <w:hideMark/>
                </w:tcPr>
                <w:p w14:paraId="3B2E48AD"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79A6EB8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29</w:t>
                  </w:r>
                </w:p>
              </w:tc>
              <w:tc>
                <w:tcPr>
                  <w:tcW w:w="1038" w:type="dxa"/>
                  <w:tcBorders>
                    <w:top w:val="nil"/>
                    <w:left w:val="nil"/>
                    <w:bottom w:val="single" w:sz="4" w:space="0" w:color="auto"/>
                    <w:right w:val="nil"/>
                  </w:tcBorders>
                  <w:shd w:val="clear" w:color="auto" w:fill="auto"/>
                  <w:noWrap/>
                  <w:vAlign w:val="center"/>
                  <w:hideMark/>
                </w:tcPr>
                <w:p w14:paraId="13A6ED0B"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26</w:t>
                  </w:r>
                </w:p>
              </w:tc>
              <w:tc>
                <w:tcPr>
                  <w:tcW w:w="1038" w:type="dxa"/>
                  <w:tcBorders>
                    <w:top w:val="nil"/>
                    <w:left w:val="nil"/>
                    <w:bottom w:val="single" w:sz="4" w:space="0" w:color="auto"/>
                    <w:right w:val="nil"/>
                  </w:tcBorders>
                  <w:shd w:val="clear" w:color="auto" w:fill="auto"/>
                  <w:noWrap/>
                  <w:vAlign w:val="center"/>
                  <w:hideMark/>
                </w:tcPr>
                <w:p w14:paraId="05E085A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18</w:t>
                  </w:r>
                </w:p>
              </w:tc>
              <w:tc>
                <w:tcPr>
                  <w:tcW w:w="1038" w:type="dxa"/>
                  <w:tcBorders>
                    <w:top w:val="nil"/>
                    <w:left w:val="nil"/>
                    <w:bottom w:val="single" w:sz="4" w:space="0" w:color="auto"/>
                    <w:right w:val="nil"/>
                  </w:tcBorders>
                  <w:shd w:val="clear" w:color="auto" w:fill="auto"/>
                  <w:noWrap/>
                  <w:vAlign w:val="center"/>
                  <w:hideMark/>
                </w:tcPr>
                <w:p w14:paraId="11743C8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w:t>
                  </w:r>
                </w:p>
              </w:tc>
              <w:tc>
                <w:tcPr>
                  <w:tcW w:w="1038" w:type="dxa"/>
                  <w:tcBorders>
                    <w:top w:val="nil"/>
                    <w:left w:val="nil"/>
                    <w:bottom w:val="single" w:sz="4" w:space="0" w:color="auto"/>
                    <w:right w:val="nil"/>
                  </w:tcBorders>
                  <w:shd w:val="clear" w:color="auto" w:fill="auto"/>
                  <w:noWrap/>
                  <w:vAlign w:val="center"/>
                  <w:hideMark/>
                </w:tcPr>
                <w:p w14:paraId="3342A6E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22</w:t>
                  </w:r>
                </w:p>
              </w:tc>
              <w:tc>
                <w:tcPr>
                  <w:tcW w:w="1038" w:type="dxa"/>
                  <w:tcBorders>
                    <w:top w:val="nil"/>
                    <w:left w:val="nil"/>
                    <w:bottom w:val="single" w:sz="4" w:space="0" w:color="auto"/>
                    <w:right w:val="nil"/>
                  </w:tcBorders>
                  <w:shd w:val="clear" w:color="auto" w:fill="auto"/>
                  <w:noWrap/>
                  <w:vAlign w:val="center"/>
                  <w:hideMark/>
                </w:tcPr>
                <w:p w14:paraId="1F0933E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19</w:t>
                  </w:r>
                </w:p>
              </w:tc>
              <w:tc>
                <w:tcPr>
                  <w:tcW w:w="1040" w:type="dxa"/>
                  <w:tcBorders>
                    <w:top w:val="nil"/>
                    <w:left w:val="nil"/>
                    <w:bottom w:val="single" w:sz="4" w:space="0" w:color="auto"/>
                    <w:right w:val="nil"/>
                  </w:tcBorders>
                  <w:shd w:val="clear" w:color="auto" w:fill="auto"/>
                  <w:noWrap/>
                  <w:vAlign w:val="center"/>
                  <w:hideMark/>
                </w:tcPr>
                <w:p w14:paraId="3F17D0F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21</w:t>
                  </w:r>
                </w:p>
              </w:tc>
            </w:tr>
            <w:tr w:rsidR="004D5D26" w:rsidRPr="00D618F2" w14:paraId="29C3312D" w14:textId="77777777" w:rsidTr="004D5D26">
              <w:trPr>
                <w:trHeight w:val="392"/>
              </w:trPr>
              <w:tc>
                <w:tcPr>
                  <w:tcW w:w="1014" w:type="dxa"/>
                  <w:tcBorders>
                    <w:top w:val="nil"/>
                    <w:left w:val="nil"/>
                    <w:bottom w:val="single" w:sz="4" w:space="0" w:color="auto"/>
                    <w:right w:val="nil"/>
                  </w:tcBorders>
                  <w:shd w:val="clear" w:color="auto" w:fill="auto"/>
                  <w:noWrap/>
                  <w:vAlign w:val="center"/>
                  <w:hideMark/>
                </w:tcPr>
                <w:p w14:paraId="155DAD9B"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5-14 y</w:t>
                  </w:r>
                </w:p>
              </w:tc>
              <w:tc>
                <w:tcPr>
                  <w:tcW w:w="1124" w:type="dxa"/>
                  <w:tcBorders>
                    <w:top w:val="nil"/>
                    <w:left w:val="nil"/>
                    <w:bottom w:val="single" w:sz="4" w:space="0" w:color="auto"/>
                    <w:right w:val="nil"/>
                  </w:tcBorders>
                  <w:shd w:val="clear" w:color="auto" w:fill="auto"/>
                  <w:noWrap/>
                  <w:vAlign w:val="center"/>
                  <w:hideMark/>
                </w:tcPr>
                <w:p w14:paraId="45D9D4A5"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50BFA6C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45</w:t>
                  </w:r>
                </w:p>
              </w:tc>
              <w:tc>
                <w:tcPr>
                  <w:tcW w:w="1038" w:type="dxa"/>
                  <w:tcBorders>
                    <w:top w:val="nil"/>
                    <w:left w:val="nil"/>
                    <w:bottom w:val="single" w:sz="4" w:space="0" w:color="auto"/>
                    <w:right w:val="nil"/>
                  </w:tcBorders>
                  <w:shd w:val="clear" w:color="auto" w:fill="auto"/>
                  <w:noWrap/>
                  <w:vAlign w:val="center"/>
                  <w:hideMark/>
                </w:tcPr>
                <w:p w14:paraId="636D8B7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60</w:t>
                  </w:r>
                </w:p>
              </w:tc>
              <w:tc>
                <w:tcPr>
                  <w:tcW w:w="1038" w:type="dxa"/>
                  <w:tcBorders>
                    <w:top w:val="nil"/>
                    <w:left w:val="nil"/>
                    <w:bottom w:val="single" w:sz="4" w:space="0" w:color="auto"/>
                    <w:right w:val="nil"/>
                  </w:tcBorders>
                  <w:shd w:val="clear" w:color="auto" w:fill="auto"/>
                  <w:noWrap/>
                  <w:vAlign w:val="center"/>
                  <w:hideMark/>
                </w:tcPr>
                <w:p w14:paraId="7C8C1B0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39</w:t>
                  </w:r>
                </w:p>
              </w:tc>
              <w:tc>
                <w:tcPr>
                  <w:tcW w:w="1038" w:type="dxa"/>
                  <w:tcBorders>
                    <w:top w:val="nil"/>
                    <w:left w:val="nil"/>
                    <w:bottom w:val="single" w:sz="4" w:space="0" w:color="auto"/>
                    <w:right w:val="nil"/>
                  </w:tcBorders>
                  <w:shd w:val="clear" w:color="auto" w:fill="auto"/>
                  <w:noWrap/>
                  <w:vAlign w:val="center"/>
                  <w:hideMark/>
                </w:tcPr>
                <w:p w14:paraId="25F61B10"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48</w:t>
                  </w:r>
                </w:p>
              </w:tc>
              <w:tc>
                <w:tcPr>
                  <w:tcW w:w="1038" w:type="dxa"/>
                  <w:tcBorders>
                    <w:top w:val="nil"/>
                    <w:left w:val="nil"/>
                    <w:bottom w:val="single" w:sz="4" w:space="0" w:color="auto"/>
                    <w:right w:val="nil"/>
                  </w:tcBorders>
                  <w:shd w:val="clear" w:color="auto" w:fill="auto"/>
                  <w:noWrap/>
                  <w:vAlign w:val="center"/>
                  <w:hideMark/>
                </w:tcPr>
                <w:p w14:paraId="6D78F2C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61</w:t>
                  </w:r>
                </w:p>
              </w:tc>
              <w:tc>
                <w:tcPr>
                  <w:tcW w:w="1038" w:type="dxa"/>
                  <w:tcBorders>
                    <w:top w:val="nil"/>
                    <w:left w:val="nil"/>
                    <w:bottom w:val="single" w:sz="4" w:space="0" w:color="auto"/>
                    <w:right w:val="nil"/>
                  </w:tcBorders>
                  <w:shd w:val="clear" w:color="auto" w:fill="auto"/>
                  <w:noWrap/>
                  <w:vAlign w:val="center"/>
                  <w:hideMark/>
                </w:tcPr>
                <w:p w14:paraId="54069E73"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46</w:t>
                  </w:r>
                </w:p>
              </w:tc>
              <w:tc>
                <w:tcPr>
                  <w:tcW w:w="1040" w:type="dxa"/>
                  <w:tcBorders>
                    <w:top w:val="nil"/>
                    <w:left w:val="nil"/>
                    <w:bottom w:val="single" w:sz="4" w:space="0" w:color="auto"/>
                    <w:right w:val="nil"/>
                  </w:tcBorders>
                  <w:shd w:val="clear" w:color="auto" w:fill="auto"/>
                  <w:noWrap/>
                  <w:vAlign w:val="center"/>
                  <w:hideMark/>
                </w:tcPr>
                <w:p w14:paraId="1CF979D2"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55</w:t>
                  </w:r>
                </w:p>
              </w:tc>
            </w:tr>
            <w:tr w:rsidR="004D5D26" w:rsidRPr="00D618F2" w14:paraId="4F18AB50" w14:textId="77777777" w:rsidTr="004D5D26">
              <w:trPr>
                <w:trHeight w:val="392"/>
              </w:trPr>
              <w:tc>
                <w:tcPr>
                  <w:tcW w:w="1014" w:type="dxa"/>
                  <w:tcBorders>
                    <w:top w:val="nil"/>
                    <w:left w:val="nil"/>
                    <w:bottom w:val="single" w:sz="4" w:space="0" w:color="auto"/>
                    <w:right w:val="nil"/>
                  </w:tcBorders>
                  <w:shd w:val="clear" w:color="auto" w:fill="auto"/>
                  <w:noWrap/>
                  <w:vAlign w:val="center"/>
                  <w:hideMark/>
                </w:tcPr>
                <w:p w14:paraId="4042548E"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15-24 y</w:t>
                  </w:r>
                </w:p>
              </w:tc>
              <w:tc>
                <w:tcPr>
                  <w:tcW w:w="1124" w:type="dxa"/>
                  <w:tcBorders>
                    <w:top w:val="nil"/>
                    <w:left w:val="nil"/>
                    <w:bottom w:val="single" w:sz="4" w:space="0" w:color="auto"/>
                    <w:right w:val="nil"/>
                  </w:tcBorders>
                  <w:shd w:val="clear" w:color="auto" w:fill="auto"/>
                  <w:noWrap/>
                  <w:vAlign w:val="center"/>
                  <w:hideMark/>
                </w:tcPr>
                <w:p w14:paraId="4BB290D2"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1C6A9BD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79</w:t>
                  </w:r>
                </w:p>
              </w:tc>
              <w:tc>
                <w:tcPr>
                  <w:tcW w:w="1038" w:type="dxa"/>
                  <w:tcBorders>
                    <w:top w:val="nil"/>
                    <w:left w:val="nil"/>
                    <w:bottom w:val="single" w:sz="4" w:space="0" w:color="auto"/>
                    <w:right w:val="nil"/>
                  </w:tcBorders>
                  <w:shd w:val="clear" w:color="auto" w:fill="auto"/>
                  <w:noWrap/>
                  <w:vAlign w:val="center"/>
                  <w:hideMark/>
                </w:tcPr>
                <w:p w14:paraId="40E9288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74</w:t>
                  </w:r>
                </w:p>
              </w:tc>
              <w:tc>
                <w:tcPr>
                  <w:tcW w:w="1038" w:type="dxa"/>
                  <w:tcBorders>
                    <w:top w:val="nil"/>
                    <w:left w:val="nil"/>
                    <w:bottom w:val="single" w:sz="4" w:space="0" w:color="auto"/>
                    <w:right w:val="nil"/>
                  </w:tcBorders>
                  <w:shd w:val="clear" w:color="auto" w:fill="auto"/>
                  <w:noWrap/>
                  <w:vAlign w:val="center"/>
                  <w:hideMark/>
                </w:tcPr>
                <w:p w14:paraId="4BC476F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63</w:t>
                  </w:r>
                </w:p>
              </w:tc>
              <w:tc>
                <w:tcPr>
                  <w:tcW w:w="1038" w:type="dxa"/>
                  <w:tcBorders>
                    <w:top w:val="nil"/>
                    <w:left w:val="nil"/>
                    <w:bottom w:val="single" w:sz="4" w:space="0" w:color="auto"/>
                    <w:right w:val="nil"/>
                  </w:tcBorders>
                  <w:shd w:val="clear" w:color="auto" w:fill="auto"/>
                  <w:noWrap/>
                  <w:vAlign w:val="center"/>
                  <w:hideMark/>
                </w:tcPr>
                <w:p w14:paraId="4B14DD36"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52</w:t>
                  </w:r>
                </w:p>
              </w:tc>
              <w:tc>
                <w:tcPr>
                  <w:tcW w:w="1038" w:type="dxa"/>
                  <w:tcBorders>
                    <w:top w:val="nil"/>
                    <w:left w:val="nil"/>
                    <w:bottom w:val="single" w:sz="4" w:space="0" w:color="auto"/>
                    <w:right w:val="nil"/>
                  </w:tcBorders>
                  <w:shd w:val="clear" w:color="auto" w:fill="auto"/>
                  <w:noWrap/>
                  <w:vAlign w:val="center"/>
                  <w:hideMark/>
                </w:tcPr>
                <w:p w14:paraId="7A7747A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75</w:t>
                  </w:r>
                </w:p>
              </w:tc>
              <w:tc>
                <w:tcPr>
                  <w:tcW w:w="1038" w:type="dxa"/>
                  <w:tcBorders>
                    <w:top w:val="nil"/>
                    <w:left w:val="nil"/>
                    <w:bottom w:val="single" w:sz="4" w:space="0" w:color="auto"/>
                    <w:right w:val="nil"/>
                  </w:tcBorders>
                  <w:shd w:val="clear" w:color="auto" w:fill="auto"/>
                  <w:noWrap/>
                  <w:vAlign w:val="center"/>
                  <w:hideMark/>
                </w:tcPr>
                <w:p w14:paraId="4D04556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92</w:t>
                  </w:r>
                </w:p>
              </w:tc>
              <w:tc>
                <w:tcPr>
                  <w:tcW w:w="1040" w:type="dxa"/>
                  <w:tcBorders>
                    <w:top w:val="nil"/>
                    <w:left w:val="nil"/>
                    <w:bottom w:val="single" w:sz="4" w:space="0" w:color="auto"/>
                    <w:right w:val="nil"/>
                  </w:tcBorders>
                  <w:shd w:val="clear" w:color="auto" w:fill="auto"/>
                  <w:noWrap/>
                  <w:vAlign w:val="center"/>
                  <w:hideMark/>
                </w:tcPr>
                <w:p w14:paraId="3A4DA0A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94</w:t>
                  </w:r>
                </w:p>
              </w:tc>
            </w:tr>
            <w:tr w:rsidR="004D5D26" w:rsidRPr="00D618F2" w14:paraId="523FAC6E" w14:textId="77777777" w:rsidTr="004D5D26">
              <w:trPr>
                <w:trHeight w:val="392"/>
              </w:trPr>
              <w:tc>
                <w:tcPr>
                  <w:tcW w:w="1014" w:type="dxa"/>
                  <w:tcBorders>
                    <w:top w:val="nil"/>
                    <w:left w:val="nil"/>
                    <w:bottom w:val="single" w:sz="4" w:space="0" w:color="auto"/>
                    <w:right w:val="nil"/>
                  </w:tcBorders>
                  <w:shd w:val="clear" w:color="auto" w:fill="auto"/>
                  <w:noWrap/>
                  <w:vAlign w:val="center"/>
                  <w:hideMark/>
                </w:tcPr>
                <w:p w14:paraId="0070FFF2"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25-44 y</w:t>
                  </w:r>
                </w:p>
              </w:tc>
              <w:tc>
                <w:tcPr>
                  <w:tcW w:w="1124" w:type="dxa"/>
                  <w:tcBorders>
                    <w:top w:val="nil"/>
                    <w:left w:val="nil"/>
                    <w:bottom w:val="single" w:sz="4" w:space="0" w:color="auto"/>
                    <w:right w:val="nil"/>
                  </w:tcBorders>
                  <w:shd w:val="clear" w:color="auto" w:fill="auto"/>
                  <w:noWrap/>
                  <w:vAlign w:val="center"/>
                  <w:hideMark/>
                </w:tcPr>
                <w:p w14:paraId="0A179F44"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4745979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31</w:t>
                  </w:r>
                </w:p>
              </w:tc>
              <w:tc>
                <w:tcPr>
                  <w:tcW w:w="1038" w:type="dxa"/>
                  <w:tcBorders>
                    <w:top w:val="nil"/>
                    <w:left w:val="nil"/>
                    <w:bottom w:val="single" w:sz="4" w:space="0" w:color="auto"/>
                    <w:right w:val="nil"/>
                  </w:tcBorders>
                  <w:shd w:val="clear" w:color="auto" w:fill="auto"/>
                  <w:noWrap/>
                  <w:vAlign w:val="center"/>
                  <w:hideMark/>
                </w:tcPr>
                <w:p w14:paraId="53D587C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33</w:t>
                  </w:r>
                </w:p>
              </w:tc>
              <w:tc>
                <w:tcPr>
                  <w:tcW w:w="1038" w:type="dxa"/>
                  <w:tcBorders>
                    <w:top w:val="nil"/>
                    <w:left w:val="nil"/>
                    <w:bottom w:val="single" w:sz="4" w:space="0" w:color="auto"/>
                    <w:right w:val="nil"/>
                  </w:tcBorders>
                  <w:shd w:val="clear" w:color="auto" w:fill="auto"/>
                  <w:noWrap/>
                  <w:vAlign w:val="center"/>
                  <w:hideMark/>
                </w:tcPr>
                <w:p w14:paraId="41C6F8D8"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26</w:t>
                  </w:r>
                </w:p>
              </w:tc>
              <w:tc>
                <w:tcPr>
                  <w:tcW w:w="1038" w:type="dxa"/>
                  <w:tcBorders>
                    <w:top w:val="nil"/>
                    <w:left w:val="nil"/>
                    <w:bottom w:val="single" w:sz="4" w:space="0" w:color="auto"/>
                    <w:right w:val="nil"/>
                  </w:tcBorders>
                  <w:shd w:val="clear" w:color="auto" w:fill="auto"/>
                  <w:noWrap/>
                  <w:vAlign w:val="center"/>
                  <w:hideMark/>
                </w:tcPr>
                <w:p w14:paraId="0945539C"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19</w:t>
                  </w:r>
                </w:p>
              </w:tc>
              <w:tc>
                <w:tcPr>
                  <w:tcW w:w="1038" w:type="dxa"/>
                  <w:tcBorders>
                    <w:top w:val="nil"/>
                    <w:left w:val="nil"/>
                    <w:bottom w:val="single" w:sz="4" w:space="0" w:color="auto"/>
                    <w:right w:val="nil"/>
                  </w:tcBorders>
                  <w:shd w:val="clear" w:color="auto" w:fill="auto"/>
                  <w:noWrap/>
                  <w:vAlign w:val="center"/>
                  <w:hideMark/>
                </w:tcPr>
                <w:p w14:paraId="43A532A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19</w:t>
                  </w:r>
                </w:p>
              </w:tc>
              <w:tc>
                <w:tcPr>
                  <w:tcW w:w="1038" w:type="dxa"/>
                  <w:tcBorders>
                    <w:top w:val="nil"/>
                    <w:left w:val="nil"/>
                    <w:bottom w:val="single" w:sz="4" w:space="0" w:color="auto"/>
                    <w:right w:val="nil"/>
                  </w:tcBorders>
                  <w:shd w:val="clear" w:color="auto" w:fill="auto"/>
                  <w:noWrap/>
                  <w:vAlign w:val="center"/>
                  <w:hideMark/>
                </w:tcPr>
                <w:p w14:paraId="3396211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27</w:t>
                  </w:r>
                </w:p>
              </w:tc>
              <w:tc>
                <w:tcPr>
                  <w:tcW w:w="1040" w:type="dxa"/>
                  <w:tcBorders>
                    <w:top w:val="nil"/>
                    <w:left w:val="nil"/>
                    <w:bottom w:val="single" w:sz="4" w:space="0" w:color="auto"/>
                    <w:right w:val="nil"/>
                  </w:tcBorders>
                  <w:shd w:val="clear" w:color="auto" w:fill="auto"/>
                  <w:noWrap/>
                  <w:vAlign w:val="center"/>
                  <w:hideMark/>
                </w:tcPr>
                <w:p w14:paraId="21804E11"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25</w:t>
                  </w:r>
                </w:p>
              </w:tc>
            </w:tr>
            <w:tr w:rsidR="004D5D26" w:rsidRPr="00D618F2" w14:paraId="0E9A475E" w14:textId="77777777" w:rsidTr="004D5D26">
              <w:trPr>
                <w:trHeight w:val="392"/>
              </w:trPr>
              <w:tc>
                <w:tcPr>
                  <w:tcW w:w="1014" w:type="dxa"/>
                  <w:tcBorders>
                    <w:top w:val="nil"/>
                    <w:left w:val="nil"/>
                    <w:bottom w:val="single" w:sz="4" w:space="0" w:color="auto"/>
                    <w:right w:val="nil"/>
                  </w:tcBorders>
                  <w:shd w:val="clear" w:color="auto" w:fill="auto"/>
                  <w:noWrap/>
                  <w:vAlign w:val="center"/>
                  <w:hideMark/>
                </w:tcPr>
                <w:p w14:paraId="6FC6D206"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45+ y</w:t>
                  </w:r>
                </w:p>
              </w:tc>
              <w:tc>
                <w:tcPr>
                  <w:tcW w:w="1124" w:type="dxa"/>
                  <w:tcBorders>
                    <w:top w:val="nil"/>
                    <w:left w:val="nil"/>
                    <w:bottom w:val="single" w:sz="4" w:space="0" w:color="auto"/>
                    <w:right w:val="nil"/>
                  </w:tcBorders>
                  <w:shd w:val="clear" w:color="auto" w:fill="auto"/>
                  <w:noWrap/>
                  <w:vAlign w:val="center"/>
                  <w:hideMark/>
                </w:tcPr>
                <w:p w14:paraId="397416C2" w14:textId="77777777" w:rsidR="004D5D26" w:rsidRPr="00D618F2" w:rsidRDefault="004D5D26" w:rsidP="004D5D26">
                  <w:pPr>
                    <w:jc w:val="center"/>
                    <w:rPr>
                      <w:rFonts w:eastAsia="Times New Roman" w:cstheme="minorHAnsi"/>
                      <w:b/>
                      <w:bCs/>
                      <w:color w:val="000000"/>
                      <w:lang w:eastAsia="en-GB"/>
                    </w:rPr>
                  </w:pPr>
                  <w:r w:rsidRPr="00D618F2">
                    <w:rPr>
                      <w:rFonts w:eastAsia="Times New Roman" w:cstheme="minorHAnsi"/>
                      <w:b/>
                      <w:bCs/>
                      <w:color w:val="000000"/>
                      <w:lang w:eastAsia="en-GB"/>
                    </w:rPr>
                    <w:t>0</w:t>
                  </w:r>
                </w:p>
              </w:tc>
              <w:tc>
                <w:tcPr>
                  <w:tcW w:w="1038" w:type="dxa"/>
                  <w:tcBorders>
                    <w:top w:val="nil"/>
                    <w:left w:val="nil"/>
                    <w:bottom w:val="single" w:sz="4" w:space="0" w:color="auto"/>
                    <w:right w:val="nil"/>
                  </w:tcBorders>
                  <w:shd w:val="clear" w:color="auto" w:fill="auto"/>
                  <w:noWrap/>
                  <w:vAlign w:val="center"/>
                  <w:hideMark/>
                </w:tcPr>
                <w:p w14:paraId="3599DD94"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81</w:t>
                  </w:r>
                </w:p>
              </w:tc>
              <w:tc>
                <w:tcPr>
                  <w:tcW w:w="1038" w:type="dxa"/>
                  <w:tcBorders>
                    <w:top w:val="nil"/>
                    <w:left w:val="nil"/>
                    <w:bottom w:val="single" w:sz="4" w:space="0" w:color="auto"/>
                    <w:right w:val="nil"/>
                  </w:tcBorders>
                  <w:shd w:val="clear" w:color="auto" w:fill="auto"/>
                  <w:noWrap/>
                  <w:vAlign w:val="center"/>
                  <w:hideMark/>
                </w:tcPr>
                <w:p w14:paraId="6AD64D15"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73</w:t>
                  </w:r>
                </w:p>
              </w:tc>
              <w:tc>
                <w:tcPr>
                  <w:tcW w:w="1038" w:type="dxa"/>
                  <w:tcBorders>
                    <w:top w:val="nil"/>
                    <w:left w:val="nil"/>
                    <w:bottom w:val="single" w:sz="4" w:space="0" w:color="auto"/>
                    <w:right w:val="nil"/>
                  </w:tcBorders>
                  <w:shd w:val="clear" w:color="auto" w:fill="auto"/>
                  <w:noWrap/>
                  <w:vAlign w:val="center"/>
                  <w:hideMark/>
                </w:tcPr>
                <w:p w14:paraId="3A58020F"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55</w:t>
                  </w:r>
                </w:p>
              </w:tc>
              <w:tc>
                <w:tcPr>
                  <w:tcW w:w="1038" w:type="dxa"/>
                  <w:tcBorders>
                    <w:top w:val="nil"/>
                    <w:left w:val="nil"/>
                    <w:bottom w:val="single" w:sz="4" w:space="0" w:color="auto"/>
                    <w:right w:val="nil"/>
                  </w:tcBorders>
                  <w:shd w:val="clear" w:color="auto" w:fill="auto"/>
                  <w:noWrap/>
                  <w:vAlign w:val="center"/>
                  <w:hideMark/>
                </w:tcPr>
                <w:p w14:paraId="5D53D4C9"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56</w:t>
                  </w:r>
                </w:p>
              </w:tc>
              <w:tc>
                <w:tcPr>
                  <w:tcW w:w="1038" w:type="dxa"/>
                  <w:tcBorders>
                    <w:top w:val="nil"/>
                    <w:left w:val="nil"/>
                    <w:bottom w:val="single" w:sz="4" w:space="0" w:color="auto"/>
                    <w:right w:val="nil"/>
                  </w:tcBorders>
                  <w:shd w:val="clear" w:color="auto" w:fill="auto"/>
                  <w:noWrap/>
                  <w:vAlign w:val="center"/>
                  <w:hideMark/>
                </w:tcPr>
                <w:p w14:paraId="74170CF7"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78</w:t>
                  </w:r>
                </w:p>
              </w:tc>
              <w:tc>
                <w:tcPr>
                  <w:tcW w:w="1038" w:type="dxa"/>
                  <w:tcBorders>
                    <w:top w:val="nil"/>
                    <w:left w:val="nil"/>
                    <w:bottom w:val="single" w:sz="4" w:space="0" w:color="auto"/>
                    <w:right w:val="nil"/>
                  </w:tcBorders>
                  <w:shd w:val="clear" w:color="auto" w:fill="auto"/>
                  <w:noWrap/>
                  <w:vAlign w:val="center"/>
                  <w:hideMark/>
                </w:tcPr>
                <w:p w14:paraId="335959CA"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72</w:t>
                  </w:r>
                </w:p>
              </w:tc>
              <w:tc>
                <w:tcPr>
                  <w:tcW w:w="1040" w:type="dxa"/>
                  <w:tcBorders>
                    <w:top w:val="nil"/>
                    <w:left w:val="nil"/>
                    <w:bottom w:val="single" w:sz="4" w:space="0" w:color="auto"/>
                    <w:right w:val="nil"/>
                  </w:tcBorders>
                  <w:shd w:val="clear" w:color="auto" w:fill="auto"/>
                  <w:noWrap/>
                  <w:vAlign w:val="center"/>
                  <w:hideMark/>
                </w:tcPr>
                <w:p w14:paraId="05D6702E" w14:textId="77777777" w:rsidR="004D5D26" w:rsidRPr="00D618F2" w:rsidRDefault="004D5D26" w:rsidP="004D5D26">
                  <w:pPr>
                    <w:jc w:val="center"/>
                    <w:rPr>
                      <w:rFonts w:eastAsia="Times New Roman" w:cstheme="minorHAnsi"/>
                      <w:color w:val="000000"/>
                      <w:lang w:eastAsia="en-GB"/>
                    </w:rPr>
                  </w:pPr>
                  <w:r w:rsidRPr="00D618F2">
                    <w:rPr>
                      <w:rFonts w:eastAsia="Times New Roman" w:cstheme="minorHAnsi"/>
                      <w:color w:val="000000"/>
                      <w:lang w:eastAsia="en-GB"/>
                    </w:rPr>
                    <w:t>72</w:t>
                  </w:r>
                </w:p>
              </w:tc>
            </w:tr>
          </w:tbl>
          <w:p w14:paraId="61C6D42A" w14:textId="77777777" w:rsidR="004D5D26" w:rsidRPr="00D618F2" w:rsidRDefault="004D5D26" w:rsidP="00847F99"/>
        </w:tc>
      </w:tr>
      <w:tr w:rsidR="004D5D26" w:rsidRPr="00D618F2" w14:paraId="2C428559" w14:textId="77777777" w:rsidTr="004D5D26">
        <w:tc>
          <w:tcPr>
            <w:tcW w:w="9622" w:type="dxa"/>
          </w:tcPr>
          <w:p w14:paraId="03D8B91F" w14:textId="291050B0" w:rsidR="004D5D26" w:rsidRPr="00D618F2" w:rsidRDefault="004D5D26" w:rsidP="00847F99">
            <w:r w:rsidRPr="00D618F2">
              <w:rPr>
                <w:i/>
                <w:iCs/>
              </w:rPr>
              <w:t>m: months; y: years.</w:t>
            </w:r>
          </w:p>
        </w:tc>
      </w:tr>
    </w:tbl>
    <w:p w14:paraId="0D235962" w14:textId="0C61B434" w:rsidR="00946A2F" w:rsidRPr="00D618F2" w:rsidRDefault="00847F99" w:rsidP="008B54EA">
      <w:pPr>
        <w:pStyle w:val="Heading1"/>
        <w:numPr>
          <w:ilvl w:val="0"/>
          <w:numId w:val="0"/>
        </w:numPr>
      </w:pPr>
      <w:r w:rsidRPr="00D618F2">
        <w:lastRenderedPageBreak/>
        <w:t>S</w:t>
      </w:r>
      <w:r w:rsidR="007A37DC" w:rsidRPr="00D618F2">
        <w:t>3</w:t>
      </w:r>
      <w:r w:rsidRPr="00D618F2">
        <w:t xml:space="preserve"> </w:t>
      </w:r>
      <w:r w:rsidR="00650449" w:rsidRPr="00D618F2">
        <w:t>Vaccine uptake</w:t>
      </w:r>
      <w:r w:rsidR="007A37DC" w:rsidRPr="00D618F2">
        <w:t xml:space="preserve"> </w:t>
      </w:r>
      <w:r w:rsidR="00650449" w:rsidRPr="00D618F2">
        <w:t>and person-years data</w:t>
      </w:r>
      <w:r w:rsidR="00946A2F" w:rsidRPr="00D618F2">
        <w:t xml:space="preserve"> </w:t>
      </w:r>
    </w:p>
    <w:p w14:paraId="0D426E1C" w14:textId="6EB52F75" w:rsidR="00650449" w:rsidRPr="00D618F2" w:rsidRDefault="00A1162E" w:rsidP="00650449">
      <w:r w:rsidRPr="00D618F2">
        <w:t>We received d</w:t>
      </w:r>
      <w:r w:rsidR="00650449" w:rsidRPr="00D618F2">
        <w:t xml:space="preserve">ata on 4CMenB’s uptake </w:t>
      </w:r>
      <w:r w:rsidRPr="00D618F2">
        <w:t>from</w:t>
      </w:r>
      <w:r w:rsidR="00650449" w:rsidRPr="00D618F2">
        <w:t xml:space="preserve"> </w:t>
      </w:r>
      <w:r w:rsidRPr="00D618F2">
        <w:t>Public Health England</w:t>
      </w:r>
      <w:r w:rsidR="00650449" w:rsidRPr="00D618F2">
        <w:t>. W</w:t>
      </w:r>
      <w:r w:rsidR="00DE67A6" w:rsidRPr="00D618F2">
        <w:t>e calculated</w:t>
      </w:r>
      <w:r w:rsidR="00A475D4" w:rsidRPr="00D618F2">
        <w:t xml:space="preserve"> </w:t>
      </w:r>
      <w:r w:rsidR="00DE67A6" w:rsidRPr="00D618F2">
        <w:t xml:space="preserve">the </w:t>
      </w:r>
      <w:r w:rsidR="00A475D4" w:rsidRPr="00D618F2">
        <w:t>monthly proportion</w:t>
      </w:r>
      <w:r w:rsidR="004F035C" w:rsidRPr="00D618F2">
        <w:t>s</w:t>
      </w:r>
      <w:r w:rsidR="00A475D4" w:rsidRPr="00D618F2">
        <w:t xml:space="preserve"> of </w:t>
      </w:r>
      <w:r w:rsidR="004F035C" w:rsidRPr="00D618F2">
        <w:t xml:space="preserve">the </w:t>
      </w:r>
      <w:r w:rsidR="00A475D4" w:rsidRPr="00D618F2">
        <w:t xml:space="preserve">vaccinated population </w:t>
      </w:r>
      <w:r w:rsidR="007020CF" w:rsidRPr="00D618F2">
        <w:t>by</w:t>
      </w:r>
      <w:r w:rsidR="00A475D4" w:rsidRPr="00D618F2">
        <w:t xml:space="preserve"> month of age and number of doses</w:t>
      </w:r>
      <w:r w:rsidR="00DE67A6" w:rsidRPr="00D618F2">
        <w:t xml:space="preserve"> </w:t>
      </w:r>
      <w:r w:rsidR="00212746" w:rsidRPr="00D618F2">
        <w:t xml:space="preserve">from uptake statistics, </w:t>
      </w:r>
      <w:r w:rsidR="006710C1" w:rsidRPr="00D618F2">
        <w:t xml:space="preserve">following the same approach </w:t>
      </w:r>
      <w:r w:rsidR="001C7365">
        <w:t>as in</w:t>
      </w:r>
      <w:r w:rsidR="001C7365" w:rsidRPr="00D618F2">
        <w:t xml:space="preserve"> </w:t>
      </w:r>
      <w:r w:rsidR="006C517C" w:rsidRPr="00D618F2">
        <w:t>the original study analysis</w:t>
      </w:r>
      <w:r w:rsidRPr="00D618F2">
        <w:t>.</w:t>
      </w:r>
      <w:r w:rsidR="00BA0E0A" w:rsidRPr="00D618F2">
        <w:fldChar w:fldCharType="begin" w:fldLock="1"/>
      </w:r>
      <w:r w:rsidR="00B30432" w:rsidRPr="00D618F2">
        <w:instrText>ADDIN CSL_CITATION {"citationItems":[{"id":"ITEM-1","itemData":{"DOI":"10.1056/NEJMoa1901229","ISSN":"15334406","abstract":"In September 2015, the United Kingdom introduced the multicomponent meningococcal group B vaccine (4CMenB, Bexsero) into its publicly funded national immunization program at a reduced two-dose priming schedule for infants, with a 12-month booster. METHODS Using data from enhanced national surveillance of invasive meningococcal disease in England, we evaluated the effect of vaccination on the incidence of meningococcal group B disease during the first 3 years of the program. The effect of vaccination was assessed by comparing the observed incidence of disease with the expected incidence based on the incidence during the 4-year prevaccination period in equivalent cohorts and with the use of disease trends in cohorts of children younger than 5 years of age who were not eligible to receive the vaccine. Vaccine effectiveness was estimated with the use of the indirect screening method. RESULTS 4CMenB uptake in England remained consistently high; data from the first 3 months of 2018 showed that 92.5% of children had completed the primary immunizations by their first birthday and 87.9% had received all three doses by 2 years. From September 2015 through August 2018, the incidence of meningococcal group B disease in England (average annual birth cohort, approximately 650,000 infants) was significantly lower in vaccine-eligible cohorts than the expected incidence (63 observed cases as compared with 253 expected cases; incidence rate ratio, 0.25; 95% confidence interval [CI], 0.19 to 0.36), with a 75% reduction in age groups that were fully eligible for vaccination. The adjusted vaccine effectiveness against meningococcal group B disease was 52.7% (95% CI, −33.5 to 83.2) with a two-dose priming schedule for infants and 59.1% (95% CI, −31.1 to 87.2) with a two-dose priming schedule plus a booster at 1 year). Over the 3-year period, there were 169 cases of meningococcal group B disease in the vaccine-eligible cohorts, and an estimated 277 cases (95% CI, 236 to 323) were prevented. CONCLUSIONS The 4CMenB program was associated with continued positive effect against meningococcal group B disease in children in England, and protection after three doses of the vaccine was sustained for at least 2 years.","author":[{"dropping-particle":"","family":"Ladhani","given":"Shamez N.","non-dropping-particle":"","parse-names":false,"suffix":""},{"dropping-particle":"","family":"Andrews","given":"Nick","non-dropping-particle":"","parse-names":false,"suffix":""},{"dropping-particle":"","family":"Parikh","given":"Sydel R.","non-dropping-particle":"","parse-names":false,"suffix":""},{"dropping-particle":"","family":"Campbell","given":"Helen","non-dropping-particle":"","parse-names":false,"suffix":""},{"dropping-particle":"","family":"White","given":"Joanne","non-dropping-particle":"","parse-names":false,"suffix":""},{"dropping-particle":"","family":"Edelstein","given":"Michael","non-dropping-particle":"","parse-names":false,"suffix":""},{"dropping-particle":"","family":"Bai","given":"Xilian","non-dropping-particle":"","parse-names":false,"suffix":""},{"dropping-particle":"","family":"Lucidarme","given":"Jay","non-dropping-particle":"","parse-names":false,"suffix":""},{"dropping-particle":"","family":"Borrow","given":"Ray","non-dropping-particle":"","parse-names":false,"suffix":""},{"dropping-particle":"","family":"Ramsay","given":"Mary E.","non-dropping-particle":"","parse-names":false,"suffix":""}],"container-title":"New England Journal of Medicine","id":"ITEM-1","issue":"4","issued":{"date-parts":[["2020"]]},"page":"309-317","title":"Vaccination of infants with meningococcal group B vaccine (4CMenB) in England","type":"article-journal","volume":"382"},"uris":["http://www.mendeley.com/documents/?uuid=6684ce41-8e23-4e09-bf25-89188734bd21"]}],"mendeley":{"formattedCitation":"&lt;sup&gt;4&lt;/sup&gt;","plainTextFormattedCitation":"4","previouslyFormattedCitation":"&lt;sup&gt;4&lt;/sup&gt;"},"properties":{"noteIndex":0},"schema":"https://github.com/citation-style-language/schema/raw/master/csl-citation.json"}</w:instrText>
      </w:r>
      <w:r w:rsidR="00BA0E0A" w:rsidRPr="00D618F2">
        <w:fldChar w:fldCharType="separate"/>
      </w:r>
      <w:r w:rsidR="00635977" w:rsidRPr="00D618F2">
        <w:rPr>
          <w:noProof/>
          <w:vertAlign w:val="superscript"/>
        </w:rPr>
        <w:t>4</w:t>
      </w:r>
      <w:r w:rsidR="00BA0E0A" w:rsidRPr="00D618F2">
        <w:fldChar w:fldCharType="end"/>
      </w:r>
      <w:r w:rsidR="00DE67A6" w:rsidRPr="00D618F2">
        <w:t xml:space="preserve"> </w:t>
      </w:r>
      <w:r w:rsidRPr="00D618F2">
        <w:t>First, we combined</w:t>
      </w:r>
      <w:r w:rsidR="006C517C" w:rsidRPr="00D618F2">
        <w:t xml:space="preserve"> two datasets: </w:t>
      </w:r>
      <w:proofErr w:type="spellStart"/>
      <w:r w:rsidR="006C517C" w:rsidRPr="00D618F2">
        <w:t>i</w:t>
      </w:r>
      <w:proofErr w:type="spellEnd"/>
      <w:r w:rsidR="006C517C" w:rsidRPr="00D618F2">
        <w:t xml:space="preserve">) monthly uptake data for each cohort reaching 6, 12 and 18 months of age, and ii) daily uptake data from nearly 60,000 individuals (30,000 for the booster dose) from different geographical areas across England. </w:t>
      </w:r>
      <w:r w:rsidRPr="00D618F2">
        <w:t>Then, u</w:t>
      </w:r>
      <w:r w:rsidR="006C517C" w:rsidRPr="00D618F2">
        <w:t xml:space="preserve">ptake curves were shifted by 14 days to </w:t>
      </w:r>
      <w:r w:rsidR="00A35247" w:rsidRPr="00D618F2">
        <w:t>consider</w:t>
      </w:r>
      <w:r w:rsidR="006C517C" w:rsidRPr="00D618F2">
        <w:t xml:space="preserve"> the time needed to develop an immune response. </w:t>
      </w:r>
      <w:r w:rsidR="00DE67A6" w:rsidRPr="00D618F2">
        <w:t xml:space="preserve">We </w:t>
      </w:r>
      <w:r w:rsidR="006C517C" w:rsidRPr="00D618F2">
        <w:t>considered 100% of the population</w:t>
      </w:r>
      <w:r w:rsidR="00DE67A6" w:rsidRPr="00D618F2">
        <w:t xml:space="preserve"> born before May 2015</w:t>
      </w:r>
      <w:r w:rsidR="00762E9D" w:rsidRPr="00762E9D">
        <w:t xml:space="preserve"> </w:t>
      </w:r>
      <w:r w:rsidR="00762E9D">
        <w:t xml:space="preserve">as </w:t>
      </w:r>
      <w:r w:rsidR="00762E9D" w:rsidRPr="00D618F2">
        <w:t>non-vaccinated</w:t>
      </w:r>
      <w:r w:rsidR="00DE67A6" w:rsidRPr="00D618F2">
        <w:t>.</w:t>
      </w:r>
    </w:p>
    <w:p w14:paraId="0BC26AD1" w14:textId="3EA09DB6" w:rsidR="006C517C" w:rsidRPr="00D618F2" w:rsidRDefault="007A37DC" w:rsidP="008D2827">
      <w:r w:rsidRPr="00D618F2">
        <w:tab/>
      </w:r>
      <w:r w:rsidR="00650449" w:rsidRPr="00D618F2">
        <w:t>The annual number of person-years by age</w:t>
      </w:r>
      <w:r w:rsidR="00A1162E" w:rsidRPr="00D618F2">
        <w:t>, stratified by</w:t>
      </w:r>
      <w:r w:rsidR="00650449" w:rsidRPr="00D618F2">
        <w:t xml:space="preserve"> number of vaccine doses </w:t>
      </w:r>
      <w:r w:rsidR="00A1162E" w:rsidRPr="00D618F2">
        <w:t xml:space="preserve">injected, </w:t>
      </w:r>
      <w:r w:rsidR="00650449" w:rsidRPr="00D618F2">
        <w:t xml:space="preserve">was derived </w:t>
      </w:r>
      <w:r w:rsidR="008006D6">
        <w:t xml:space="preserve">by </w:t>
      </w:r>
      <w:r w:rsidR="00650449" w:rsidRPr="00D618F2">
        <w:t>combining England’s population estimates with vaccine uptake</w:t>
      </w:r>
      <w:r w:rsidR="00A1162E" w:rsidRPr="00D618F2">
        <w:t>. First, w</w:t>
      </w:r>
      <w:r w:rsidR="007020CF" w:rsidRPr="00D618F2">
        <w:t>e downloaded England’s m</w:t>
      </w:r>
      <w:r w:rsidR="006C517C" w:rsidRPr="00D618F2">
        <w:t xml:space="preserve">id-year population estimates </w:t>
      </w:r>
      <w:r w:rsidR="007020CF" w:rsidRPr="00D618F2">
        <w:t xml:space="preserve">by </w:t>
      </w:r>
      <w:r w:rsidR="006C517C" w:rsidRPr="00D618F2">
        <w:t>year of age from the U</w:t>
      </w:r>
      <w:r w:rsidR="00A1162E" w:rsidRPr="00D618F2">
        <w:t>nited Kingdom</w:t>
      </w:r>
      <w:r w:rsidR="006C517C" w:rsidRPr="00D618F2">
        <w:t>’s Office for National Statistics (</w:t>
      </w:r>
      <w:hyperlink r:id="rId11" w:history="1">
        <w:r w:rsidR="00A1162E" w:rsidRPr="00D618F2">
          <w:rPr>
            <w:rStyle w:val="Hyperlink"/>
          </w:rPr>
          <w:t>https://www.ons.gov.uk</w:t>
        </w:r>
      </w:hyperlink>
      <w:r w:rsidR="006C517C" w:rsidRPr="00D618F2">
        <w:t>)</w:t>
      </w:r>
      <w:r w:rsidR="00A1162E" w:rsidRPr="00D618F2">
        <w:t>. Then, we</w:t>
      </w:r>
      <w:r w:rsidR="006C517C" w:rsidRPr="00D618F2">
        <w:t xml:space="preserve"> interpolated</w:t>
      </w:r>
      <w:r w:rsidR="00BA0E0A" w:rsidRPr="00D618F2">
        <w:t xml:space="preserve"> the data</w:t>
      </w:r>
      <w:r w:rsidR="006C517C" w:rsidRPr="00D618F2">
        <w:t xml:space="preserve"> to mid-months (from September 2011 to August 2018) and month of age. </w:t>
      </w:r>
      <w:r w:rsidR="00A1162E" w:rsidRPr="00D618F2">
        <w:t>After that,</w:t>
      </w:r>
      <w:r w:rsidR="006C517C" w:rsidRPr="00D618F2">
        <w:t xml:space="preserve"> </w:t>
      </w:r>
      <w:r w:rsidR="00A1162E" w:rsidRPr="00D618F2">
        <w:t xml:space="preserve">we </w:t>
      </w:r>
      <w:r w:rsidR="006C517C" w:rsidRPr="00D618F2">
        <w:t xml:space="preserve">used the </w:t>
      </w:r>
      <w:r w:rsidR="00A1162E" w:rsidRPr="00D618F2">
        <w:t>above</w:t>
      </w:r>
      <w:r w:rsidR="008006D6">
        <w:t>-</w:t>
      </w:r>
      <w:r w:rsidR="00A1162E" w:rsidRPr="00D618F2">
        <w:t xml:space="preserve">described </w:t>
      </w:r>
      <w:r w:rsidR="00212746" w:rsidRPr="00D618F2">
        <w:t>proportion</w:t>
      </w:r>
      <w:r w:rsidR="00A1162E" w:rsidRPr="00D618F2">
        <w:t>s</w:t>
      </w:r>
      <w:r w:rsidR="00212746" w:rsidRPr="00D618F2">
        <w:t xml:space="preserve"> of vaccinated individuals</w:t>
      </w:r>
      <w:r w:rsidR="006C517C" w:rsidRPr="00D618F2">
        <w:t xml:space="preserve"> to further stratify </w:t>
      </w:r>
      <w:r w:rsidR="006710C1" w:rsidRPr="00D618F2">
        <w:t>England’s</w:t>
      </w:r>
      <w:r w:rsidR="006C517C" w:rsidRPr="00D618F2">
        <w:t xml:space="preserve"> population by the number of vaccine doses received, from zero to three doses. </w:t>
      </w:r>
      <w:r w:rsidR="00A1162E" w:rsidRPr="00D618F2">
        <w:t>Subsequently, we</w:t>
      </w:r>
      <w:r w:rsidR="006C517C" w:rsidRPr="00D618F2">
        <w:t xml:space="preserve"> aggregated the population in the same age groups used for</w:t>
      </w:r>
      <w:r w:rsidR="009F36C9" w:rsidRPr="00D618F2">
        <w:t xml:space="preserve"> disease</w:t>
      </w:r>
      <w:r w:rsidR="006C517C" w:rsidRPr="00D618F2">
        <w:t xml:space="preserve"> cases. Finally, we summed over </w:t>
      </w:r>
      <w:r w:rsidR="00212746" w:rsidRPr="00D618F2">
        <w:t xml:space="preserve">months of </w:t>
      </w:r>
      <w:r w:rsidR="006C517C" w:rsidRPr="00D618F2">
        <w:t xml:space="preserve">time and divided by </w:t>
      </w:r>
      <w:r w:rsidR="008006D6">
        <w:t>12</w:t>
      </w:r>
      <w:r w:rsidR="006C517C" w:rsidRPr="00D618F2">
        <w:t xml:space="preserve">, </w:t>
      </w:r>
      <w:r w:rsidR="00A35247" w:rsidRPr="00D618F2">
        <w:t>to</w:t>
      </w:r>
      <w:r w:rsidR="006C517C" w:rsidRPr="00D618F2">
        <w:t xml:space="preserve"> calculate the annual number of person-years for each age group and number of doses received. The resulting person-years are plotted in</w:t>
      </w:r>
      <w:r w:rsidR="00E90C19" w:rsidRPr="00D618F2">
        <w:t xml:space="preserve"> Figure S1 and Figure S2</w:t>
      </w:r>
      <w:r w:rsidR="00212746" w:rsidRPr="00D618F2">
        <w:t>.</w:t>
      </w:r>
    </w:p>
    <w:p w14:paraId="3CAFDDF2" w14:textId="77777777" w:rsidR="00212746" w:rsidRPr="00D618F2" w:rsidRDefault="00212746" w:rsidP="008D28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622"/>
      </w:tblGrid>
      <w:tr w:rsidR="00212746" w:rsidRPr="00D618F2" w14:paraId="31588439" w14:textId="77777777" w:rsidTr="00BA0E0A">
        <w:tc>
          <w:tcPr>
            <w:tcW w:w="9622" w:type="dxa"/>
          </w:tcPr>
          <w:p w14:paraId="250E517A" w14:textId="42BB0E31" w:rsidR="00212746" w:rsidRPr="00D618F2" w:rsidRDefault="00212746" w:rsidP="008D2827">
            <w:pPr>
              <w:rPr>
                <w:b/>
                <w:bCs/>
              </w:rPr>
            </w:pPr>
            <w:bookmarkStart w:id="2" w:name="_Ref51340618"/>
            <w:bookmarkStart w:id="3" w:name="_Toc47892125"/>
            <w:bookmarkStart w:id="4" w:name="_Ref51340613"/>
            <w:r w:rsidRPr="00D618F2">
              <w:rPr>
                <w:b/>
                <w:bCs/>
              </w:rPr>
              <w:t>Figure S</w:t>
            </w:r>
            <w:r w:rsidR="00B30432" w:rsidRPr="00D618F2">
              <w:rPr>
                <w:b/>
                <w:bCs/>
              </w:rPr>
              <w:t>1.</w:t>
            </w:r>
            <w:bookmarkEnd w:id="2"/>
            <w:r w:rsidRPr="00D618F2">
              <w:rPr>
                <w:b/>
                <w:bCs/>
              </w:rPr>
              <w:t xml:space="preserve"> Person-years by age and year</w:t>
            </w:r>
            <w:bookmarkEnd w:id="3"/>
            <w:bookmarkEnd w:id="4"/>
            <w:r w:rsidR="00BA0E0A" w:rsidRPr="00D618F2">
              <w:rPr>
                <w:b/>
                <w:bCs/>
              </w:rPr>
              <w:br/>
            </w:r>
          </w:p>
        </w:tc>
      </w:tr>
      <w:tr w:rsidR="00212746" w:rsidRPr="00D618F2" w14:paraId="2E7CD508" w14:textId="77777777" w:rsidTr="00BA0E0A">
        <w:tc>
          <w:tcPr>
            <w:tcW w:w="9622" w:type="dxa"/>
            <w:vAlign w:val="center"/>
          </w:tcPr>
          <w:p w14:paraId="2BD53C73" w14:textId="099E4D35" w:rsidR="00212746" w:rsidRPr="00D618F2" w:rsidRDefault="00212746" w:rsidP="008D2827">
            <w:pPr>
              <w:jc w:val="center"/>
            </w:pPr>
            <w:r w:rsidRPr="008668C8">
              <w:rPr>
                <w:rFonts w:ascii="Arial" w:hAnsi="Arial"/>
                <w:noProof/>
                <w:sz w:val="22"/>
              </w:rPr>
              <w:drawing>
                <wp:inline distT="0" distB="0" distL="0" distR="0" wp14:anchorId="1904ABE5" wp14:editId="2F70E399">
                  <wp:extent cx="5772150" cy="288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on-years_barplot.pdf"/>
                          <pic:cNvPicPr/>
                        </pic:nvPicPr>
                        <pic:blipFill>
                          <a:blip r:embed="rId12">
                            <a:extLst>
                              <a:ext uri="{28A0092B-C50C-407E-A947-70E740481C1C}">
                                <a14:useLocalDpi xmlns:a14="http://schemas.microsoft.com/office/drawing/2010/main" val="0"/>
                              </a:ext>
                            </a:extLst>
                          </a:blip>
                          <a:stretch>
                            <a:fillRect/>
                          </a:stretch>
                        </pic:blipFill>
                        <pic:spPr>
                          <a:xfrm>
                            <a:off x="0" y="0"/>
                            <a:ext cx="5772150" cy="2886075"/>
                          </a:xfrm>
                          <a:prstGeom prst="rect">
                            <a:avLst/>
                          </a:prstGeom>
                        </pic:spPr>
                      </pic:pic>
                    </a:graphicData>
                  </a:graphic>
                </wp:inline>
              </w:drawing>
            </w:r>
          </w:p>
        </w:tc>
      </w:tr>
      <w:tr w:rsidR="00212746" w:rsidRPr="00D618F2" w14:paraId="151FDA4D" w14:textId="77777777" w:rsidTr="00BA0E0A">
        <w:tc>
          <w:tcPr>
            <w:tcW w:w="9622" w:type="dxa"/>
          </w:tcPr>
          <w:p w14:paraId="060551CD" w14:textId="7FD4EB36" w:rsidR="00212746" w:rsidRPr="00D618F2" w:rsidRDefault="00BA0E0A" w:rsidP="008D2827">
            <w:pPr>
              <w:rPr>
                <w:rFonts w:cs="Arial"/>
                <w:bCs/>
                <w:i/>
                <w:iCs/>
                <w:sz w:val="22"/>
                <w:szCs w:val="22"/>
              </w:rPr>
            </w:pPr>
            <w:r w:rsidRPr="00D618F2">
              <w:rPr>
                <w:i/>
                <w:iCs/>
                <w:sz w:val="22"/>
                <w:szCs w:val="22"/>
              </w:rPr>
              <w:br/>
            </w:r>
            <w:r w:rsidR="00212746" w:rsidRPr="00D618F2">
              <w:rPr>
                <w:i/>
                <w:iCs/>
              </w:rPr>
              <w:t>Total number of person-years by age group (horizontal axis) and year (September</w:t>
            </w:r>
            <w:r w:rsidR="00DC6533">
              <w:rPr>
                <w:rFonts w:cstheme="minorHAnsi"/>
                <w:i/>
                <w:iCs/>
              </w:rPr>
              <w:t>–</w:t>
            </w:r>
            <w:r w:rsidR="00212746" w:rsidRPr="00D618F2">
              <w:rPr>
                <w:i/>
                <w:iCs/>
              </w:rPr>
              <w:t>August, different colors).</w:t>
            </w:r>
            <w:r w:rsidR="00212746" w:rsidRPr="00D618F2">
              <w:rPr>
                <w:rFonts w:cs="Arial"/>
                <w:bCs/>
                <w:i/>
                <w:iCs/>
              </w:rPr>
              <w:t xml:space="preserve"> </w:t>
            </w:r>
            <w:r w:rsidR="00AF21AD" w:rsidRPr="00D618F2">
              <w:rPr>
                <w:rFonts w:cs="Arial"/>
                <w:bCs/>
                <w:i/>
                <w:iCs/>
              </w:rPr>
              <w:t>We report here person-years independently o</w:t>
            </w:r>
            <w:r w:rsidR="00AC0951">
              <w:rPr>
                <w:rFonts w:cs="Arial"/>
                <w:bCs/>
                <w:i/>
                <w:iCs/>
              </w:rPr>
              <w:t>f</w:t>
            </w:r>
            <w:r w:rsidR="00AF21AD" w:rsidRPr="00D618F2">
              <w:rPr>
                <w:rFonts w:cs="Arial"/>
                <w:bCs/>
                <w:i/>
                <w:iCs/>
              </w:rPr>
              <w:t xml:space="preserve"> the number of doses they received (reported in figure</w:t>
            </w:r>
            <w:r w:rsidR="00E90C19" w:rsidRPr="00D618F2">
              <w:rPr>
                <w:rFonts w:cs="Arial"/>
                <w:bCs/>
                <w:i/>
                <w:iCs/>
              </w:rPr>
              <w:t xml:space="preserve"> S2</w:t>
            </w:r>
            <w:r w:rsidR="00AF21AD" w:rsidRPr="00D618F2">
              <w:rPr>
                <w:rFonts w:cs="Arial"/>
                <w:bCs/>
                <w:i/>
                <w:iCs/>
              </w:rPr>
              <w:t xml:space="preserve">). </w:t>
            </w:r>
            <w:r w:rsidR="008B54EA" w:rsidRPr="00D618F2">
              <w:rPr>
                <w:rFonts w:cs="Arial"/>
                <w:bCs/>
                <w:i/>
                <w:iCs/>
              </w:rPr>
              <w:br/>
            </w:r>
            <w:r w:rsidR="00212746" w:rsidRPr="00D618F2">
              <w:rPr>
                <w:rFonts w:cs="Arial"/>
                <w:bCs/>
                <w:i/>
                <w:iCs/>
              </w:rPr>
              <w:t>m: months; y: years.</w:t>
            </w:r>
          </w:p>
        </w:tc>
      </w:tr>
    </w:tbl>
    <w:p w14:paraId="6B5767D6" w14:textId="07AA4C10" w:rsidR="00F501D2" w:rsidRPr="00D618F2" w:rsidRDefault="00F501D2" w:rsidP="008D2827">
      <w:pPr>
        <w:rPr>
          <w:rFonts w:cstheme="minorHAnsi"/>
          <w:sz w:val="22"/>
          <w:szCs w:val="22"/>
        </w:rPr>
      </w:pPr>
      <w:r w:rsidRPr="00D618F2">
        <w:rPr>
          <w:rFonts w:cstheme="minorHAns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622"/>
      </w:tblGrid>
      <w:tr w:rsidR="009F36C9" w:rsidRPr="00D618F2" w14:paraId="1D0DE765" w14:textId="77777777" w:rsidTr="00BA0E0A">
        <w:trPr>
          <w:trHeight w:val="411"/>
        </w:trPr>
        <w:tc>
          <w:tcPr>
            <w:tcW w:w="9622" w:type="dxa"/>
          </w:tcPr>
          <w:p w14:paraId="46288F4A" w14:textId="4E3CB7BB" w:rsidR="009F36C9" w:rsidRPr="00D618F2" w:rsidRDefault="009F36C9" w:rsidP="008D2827">
            <w:pPr>
              <w:pStyle w:val="Caption"/>
              <w:keepNext/>
              <w:rPr>
                <w:rFonts w:cstheme="minorHAnsi"/>
                <w:sz w:val="24"/>
                <w:szCs w:val="24"/>
              </w:rPr>
            </w:pPr>
            <w:bookmarkStart w:id="5" w:name="_Ref51340622"/>
            <w:bookmarkStart w:id="6" w:name="_Toc47892126"/>
            <w:r w:rsidRPr="00D618F2">
              <w:rPr>
                <w:rFonts w:cstheme="minorHAnsi"/>
                <w:color w:val="000000" w:themeColor="text1"/>
                <w:sz w:val="24"/>
                <w:szCs w:val="24"/>
              </w:rPr>
              <w:lastRenderedPageBreak/>
              <w:t>Figure S</w:t>
            </w:r>
            <w:r w:rsidR="00E90C19" w:rsidRPr="00D618F2">
              <w:rPr>
                <w:rFonts w:cstheme="minorHAnsi"/>
                <w:color w:val="000000" w:themeColor="text1"/>
                <w:sz w:val="24"/>
                <w:szCs w:val="24"/>
              </w:rPr>
              <w:t>2</w:t>
            </w:r>
            <w:bookmarkEnd w:id="5"/>
            <w:r w:rsidRPr="00D618F2">
              <w:rPr>
                <w:rFonts w:cstheme="minorHAnsi"/>
                <w:color w:val="000000" w:themeColor="text1"/>
                <w:sz w:val="24"/>
                <w:szCs w:val="24"/>
              </w:rPr>
              <w:t>. Person-years / 100,000 by age, year and doses received</w:t>
            </w:r>
            <w:bookmarkEnd w:id="6"/>
          </w:p>
        </w:tc>
      </w:tr>
      <w:tr w:rsidR="009F36C9" w:rsidRPr="00D618F2" w14:paraId="065D32C6" w14:textId="77777777" w:rsidTr="00BA0E0A">
        <w:tc>
          <w:tcPr>
            <w:tcW w:w="9622" w:type="dxa"/>
            <w:vAlign w:val="center"/>
          </w:tcPr>
          <w:p w14:paraId="3972DB8B" w14:textId="7D9BB6C5" w:rsidR="009F36C9" w:rsidRPr="00D618F2" w:rsidRDefault="009F36C9" w:rsidP="008D2827">
            <w:pPr>
              <w:pStyle w:val="Caption"/>
              <w:keepNext/>
              <w:jc w:val="center"/>
              <w:rPr>
                <w:rFonts w:cstheme="minorHAnsi"/>
              </w:rPr>
            </w:pPr>
            <w:r w:rsidRPr="008668C8">
              <w:rPr>
                <w:noProof/>
              </w:rPr>
              <w:drawing>
                <wp:inline distT="0" distB="0" distL="0" distR="0" wp14:anchorId="59BFB108" wp14:editId="29F75759">
                  <wp:extent cx="5768488" cy="4615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794398" cy="4635759"/>
                          </a:xfrm>
                          <a:prstGeom prst="rect">
                            <a:avLst/>
                          </a:prstGeom>
                        </pic:spPr>
                      </pic:pic>
                    </a:graphicData>
                  </a:graphic>
                </wp:inline>
              </w:drawing>
            </w:r>
          </w:p>
        </w:tc>
      </w:tr>
      <w:tr w:rsidR="009F36C9" w:rsidRPr="00D618F2" w14:paraId="5FB3E0D0" w14:textId="77777777" w:rsidTr="00BA0E0A">
        <w:tc>
          <w:tcPr>
            <w:tcW w:w="9622" w:type="dxa"/>
          </w:tcPr>
          <w:p w14:paraId="40719026" w14:textId="0200A9FD" w:rsidR="009F36C9" w:rsidRPr="00D618F2" w:rsidRDefault="00AF21AD" w:rsidP="008D2827">
            <w:pPr>
              <w:pStyle w:val="Caption"/>
              <w:keepNext/>
              <w:rPr>
                <w:rFonts w:cstheme="minorHAnsi"/>
                <w:b w:val="0"/>
                <w:bCs/>
                <w:i/>
                <w:iCs w:val="0"/>
                <w:color w:val="000000" w:themeColor="text1"/>
                <w:szCs w:val="22"/>
              </w:rPr>
            </w:pPr>
            <w:r w:rsidRPr="00D618F2">
              <w:rPr>
                <w:rFonts w:cstheme="minorHAnsi"/>
                <w:b w:val="0"/>
                <w:bCs/>
                <w:i/>
                <w:iCs w:val="0"/>
                <w:color w:val="000000" w:themeColor="text1"/>
                <w:sz w:val="24"/>
                <w:szCs w:val="24"/>
              </w:rPr>
              <w:t>Person-years</w:t>
            </w:r>
            <w:r w:rsidR="009F36C9" w:rsidRPr="00D618F2">
              <w:rPr>
                <w:rFonts w:cstheme="minorHAnsi"/>
                <w:b w:val="0"/>
                <w:bCs/>
                <w:i/>
                <w:iCs w:val="0"/>
                <w:color w:val="000000" w:themeColor="text1"/>
                <w:sz w:val="24"/>
                <w:szCs w:val="24"/>
              </w:rPr>
              <w:t xml:space="preserve"> by age (from 0</w:t>
            </w:r>
            <w:r w:rsidR="00AC0951">
              <w:rPr>
                <w:rFonts w:cstheme="minorHAnsi"/>
                <w:b w:val="0"/>
                <w:bCs/>
                <w:i/>
                <w:iCs w:val="0"/>
                <w:color w:val="000000" w:themeColor="text1"/>
                <w:sz w:val="24"/>
                <w:szCs w:val="24"/>
              </w:rPr>
              <w:t>–</w:t>
            </w:r>
            <w:r w:rsidR="009F36C9" w:rsidRPr="00D618F2">
              <w:rPr>
                <w:rFonts w:cstheme="minorHAnsi"/>
                <w:b w:val="0"/>
                <w:bCs/>
                <w:i/>
                <w:iCs w:val="0"/>
                <w:color w:val="000000" w:themeColor="text1"/>
                <w:sz w:val="24"/>
                <w:szCs w:val="24"/>
              </w:rPr>
              <w:t>1 m to 4 y, horizontal axes), year (</w:t>
            </w:r>
            <w:r w:rsidR="00525244" w:rsidRPr="00D618F2">
              <w:rPr>
                <w:rFonts w:cstheme="minorHAnsi"/>
                <w:b w:val="0"/>
                <w:bCs/>
                <w:i/>
                <w:iCs w:val="0"/>
                <w:color w:val="000000" w:themeColor="text1"/>
                <w:sz w:val="24"/>
                <w:szCs w:val="24"/>
              </w:rPr>
              <w:t>2015</w:t>
            </w:r>
            <w:r w:rsidR="00AC0951">
              <w:rPr>
                <w:rFonts w:cstheme="minorHAnsi"/>
                <w:b w:val="0"/>
                <w:bCs/>
                <w:i/>
                <w:iCs w:val="0"/>
                <w:color w:val="000000" w:themeColor="text1"/>
                <w:sz w:val="24"/>
                <w:szCs w:val="24"/>
              </w:rPr>
              <w:t>–</w:t>
            </w:r>
            <w:r w:rsidR="00525244" w:rsidRPr="00D618F2">
              <w:rPr>
                <w:rFonts w:cstheme="minorHAnsi"/>
                <w:b w:val="0"/>
                <w:bCs/>
                <w:i/>
                <w:iCs w:val="0"/>
                <w:color w:val="000000" w:themeColor="text1"/>
                <w:sz w:val="24"/>
                <w:szCs w:val="24"/>
              </w:rPr>
              <w:t xml:space="preserve">2018, </w:t>
            </w:r>
            <w:r w:rsidR="009F36C9" w:rsidRPr="00D618F2">
              <w:rPr>
                <w:rFonts w:cstheme="minorHAnsi"/>
                <w:b w:val="0"/>
                <w:bCs/>
                <w:i/>
                <w:iCs w:val="0"/>
                <w:color w:val="000000" w:themeColor="text1"/>
                <w:sz w:val="24"/>
                <w:szCs w:val="24"/>
              </w:rPr>
              <w:t xml:space="preserve">columns) and number of doses </w:t>
            </w:r>
            <w:r w:rsidRPr="00D618F2">
              <w:rPr>
                <w:rFonts w:cstheme="minorHAnsi"/>
                <w:b w:val="0"/>
                <w:bCs/>
                <w:i/>
                <w:iCs w:val="0"/>
                <w:color w:val="000000" w:themeColor="text1"/>
                <w:sz w:val="24"/>
                <w:szCs w:val="24"/>
              </w:rPr>
              <w:t xml:space="preserve">received </w:t>
            </w:r>
            <w:r w:rsidR="009F36C9" w:rsidRPr="00D618F2">
              <w:rPr>
                <w:rFonts w:cstheme="minorHAnsi"/>
                <w:b w:val="0"/>
                <w:bCs/>
                <w:i/>
                <w:iCs w:val="0"/>
                <w:color w:val="000000" w:themeColor="text1"/>
                <w:sz w:val="24"/>
                <w:szCs w:val="24"/>
              </w:rPr>
              <w:t>(</w:t>
            </w:r>
            <w:r w:rsidR="00525244" w:rsidRPr="00D618F2">
              <w:rPr>
                <w:rFonts w:cstheme="minorHAnsi"/>
                <w:b w:val="0"/>
                <w:bCs/>
                <w:i/>
                <w:iCs w:val="0"/>
                <w:color w:val="000000" w:themeColor="text1"/>
                <w:sz w:val="24"/>
                <w:szCs w:val="24"/>
              </w:rPr>
              <w:t>0</w:t>
            </w:r>
            <w:r w:rsidR="00317438">
              <w:rPr>
                <w:rFonts w:cstheme="minorHAnsi"/>
                <w:b w:val="0"/>
                <w:bCs/>
                <w:i/>
                <w:iCs w:val="0"/>
                <w:color w:val="000000" w:themeColor="text1"/>
                <w:sz w:val="24"/>
                <w:szCs w:val="24"/>
              </w:rPr>
              <w:t>–</w:t>
            </w:r>
            <w:r w:rsidR="00525244" w:rsidRPr="00D618F2">
              <w:rPr>
                <w:rFonts w:cstheme="minorHAnsi"/>
                <w:b w:val="0"/>
                <w:bCs/>
                <w:i/>
                <w:iCs w:val="0"/>
                <w:color w:val="000000" w:themeColor="text1"/>
                <w:sz w:val="24"/>
                <w:szCs w:val="24"/>
              </w:rPr>
              <w:t xml:space="preserve">3, </w:t>
            </w:r>
            <w:r w:rsidR="009F36C9" w:rsidRPr="00D618F2">
              <w:rPr>
                <w:rFonts w:cstheme="minorHAnsi"/>
                <w:b w:val="0"/>
                <w:bCs/>
                <w:i/>
                <w:iCs w:val="0"/>
                <w:color w:val="000000" w:themeColor="text1"/>
                <w:sz w:val="24"/>
                <w:szCs w:val="24"/>
              </w:rPr>
              <w:t>rows).</w:t>
            </w:r>
            <w:r w:rsidR="00525244" w:rsidRPr="00D618F2">
              <w:rPr>
                <w:rFonts w:cstheme="minorHAnsi"/>
                <w:b w:val="0"/>
                <w:bCs/>
                <w:i/>
                <w:iCs w:val="0"/>
                <w:color w:val="000000" w:themeColor="text1"/>
                <w:sz w:val="24"/>
                <w:szCs w:val="24"/>
              </w:rPr>
              <w:t xml:space="preserve"> We report here only age groups and years </w:t>
            </w:r>
            <w:r w:rsidR="000C67A4">
              <w:rPr>
                <w:rFonts w:cstheme="minorHAnsi"/>
                <w:b w:val="0"/>
                <w:bCs/>
                <w:i/>
                <w:iCs w:val="0"/>
                <w:color w:val="000000" w:themeColor="text1"/>
                <w:sz w:val="24"/>
                <w:szCs w:val="24"/>
              </w:rPr>
              <w:t>for which</w:t>
            </w:r>
            <w:r w:rsidR="000C67A4" w:rsidRPr="00D618F2">
              <w:rPr>
                <w:rFonts w:cstheme="minorHAnsi"/>
                <w:b w:val="0"/>
                <w:bCs/>
                <w:i/>
                <w:iCs w:val="0"/>
                <w:color w:val="000000" w:themeColor="text1"/>
                <w:sz w:val="24"/>
                <w:szCs w:val="24"/>
              </w:rPr>
              <w:t xml:space="preserve"> </w:t>
            </w:r>
            <w:r w:rsidR="00525244" w:rsidRPr="00D618F2">
              <w:rPr>
                <w:rFonts w:cstheme="minorHAnsi"/>
                <w:b w:val="0"/>
                <w:bCs/>
                <w:i/>
                <w:iCs w:val="0"/>
                <w:color w:val="000000" w:themeColor="text1"/>
                <w:sz w:val="24"/>
                <w:szCs w:val="24"/>
              </w:rPr>
              <w:t xml:space="preserve">the </w:t>
            </w:r>
            <w:r w:rsidR="004F035C" w:rsidRPr="00D618F2">
              <w:rPr>
                <w:rFonts w:cstheme="minorHAnsi"/>
                <w:b w:val="0"/>
                <w:bCs/>
                <w:i/>
                <w:iCs w:val="0"/>
                <w:color w:val="000000" w:themeColor="text1"/>
                <w:sz w:val="24"/>
                <w:szCs w:val="24"/>
              </w:rPr>
              <w:t>national immunization program</w:t>
            </w:r>
            <w:r w:rsidR="00525244" w:rsidRPr="00D618F2">
              <w:rPr>
                <w:rFonts w:cstheme="minorHAnsi"/>
                <w:b w:val="0"/>
                <w:bCs/>
                <w:i/>
                <w:iCs w:val="0"/>
                <w:color w:val="000000" w:themeColor="text1"/>
                <w:sz w:val="24"/>
                <w:szCs w:val="24"/>
              </w:rPr>
              <w:t xml:space="preserve"> was implemented. </w:t>
            </w:r>
            <w:r w:rsidR="004F035C" w:rsidRPr="00D618F2">
              <w:rPr>
                <w:rFonts w:cstheme="minorHAnsi"/>
                <w:b w:val="0"/>
                <w:bCs/>
                <w:i/>
                <w:iCs w:val="0"/>
                <w:color w:val="000000" w:themeColor="text1"/>
                <w:sz w:val="24"/>
                <w:szCs w:val="24"/>
              </w:rPr>
              <w:t>All the o</w:t>
            </w:r>
            <w:r w:rsidR="00525244" w:rsidRPr="00D618F2">
              <w:rPr>
                <w:rFonts w:cstheme="minorHAnsi"/>
                <w:b w:val="0"/>
                <w:bCs/>
                <w:i/>
                <w:iCs w:val="0"/>
                <w:color w:val="000000" w:themeColor="text1"/>
                <w:sz w:val="24"/>
                <w:szCs w:val="24"/>
              </w:rPr>
              <w:t>ther age groups and years</w:t>
            </w:r>
            <w:r w:rsidR="004F035C" w:rsidRPr="00D618F2">
              <w:rPr>
                <w:rFonts w:cstheme="minorHAnsi"/>
                <w:b w:val="0"/>
                <w:bCs/>
                <w:i/>
                <w:iCs w:val="0"/>
                <w:color w:val="000000" w:themeColor="text1"/>
                <w:sz w:val="24"/>
                <w:szCs w:val="24"/>
              </w:rPr>
              <w:t xml:space="preserve"> that</w:t>
            </w:r>
            <w:r w:rsidR="00525244" w:rsidRPr="00D618F2">
              <w:rPr>
                <w:rFonts w:cstheme="minorHAnsi"/>
                <w:b w:val="0"/>
                <w:bCs/>
                <w:i/>
                <w:iCs w:val="0"/>
                <w:color w:val="000000" w:themeColor="text1"/>
                <w:sz w:val="24"/>
                <w:szCs w:val="24"/>
              </w:rPr>
              <w:t xml:space="preserve"> are</w:t>
            </w:r>
            <w:r w:rsidR="004F035C" w:rsidRPr="00D618F2">
              <w:rPr>
                <w:rFonts w:cstheme="minorHAnsi"/>
                <w:b w:val="0"/>
                <w:bCs/>
                <w:i/>
                <w:iCs w:val="0"/>
                <w:color w:val="000000" w:themeColor="text1"/>
                <w:sz w:val="24"/>
                <w:szCs w:val="24"/>
              </w:rPr>
              <w:t xml:space="preserve"> exclusively</w:t>
            </w:r>
            <w:r w:rsidR="00525244" w:rsidRPr="00D618F2">
              <w:rPr>
                <w:rFonts w:cstheme="minorHAnsi"/>
                <w:b w:val="0"/>
                <w:bCs/>
                <w:i/>
                <w:iCs w:val="0"/>
                <w:color w:val="000000" w:themeColor="text1"/>
                <w:sz w:val="24"/>
                <w:szCs w:val="24"/>
              </w:rPr>
              <w:t xml:space="preserve"> composed </w:t>
            </w:r>
            <w:r w:rsidR="000C67A4">
              <w:rPr>
                <w:rFonts w:cstheme="minorHAnsi"/>
                <w:b w:val="0"/>
                <w:bCs/>
                <w:i/>
                <w:iCs w:val="0"/>
                <w:color w:val="000000" w:themeColor="text1"/>
                <w:sz w:val="24"/>
                <w:szCs w:val="24"/>
              </w:rPr>
              <w:t>of</w:t>
            </w:r>
            <w:r w:rsidR="000C67A4" w:rsidRPr="00D618F2">
              <w:rPr>
                <w:rFonts w:cstheme="minorHAnsi"/>
                <w:b w:val="0"/>
                <w:bCs/>
                <w:i/>
                <w:iCs w:val="0"/>
                <w:color w:val="000000" w:themeColor="text1"/>
                <w:sz w:val="24"/>
                <w:szCs w:val="24"/>
              </w:rPr>
              <w:t xml:space="preserve"> </w:t>
            </w:r>
            <w:r w:rsidR="00B92F82" w:rsidRPr="00D618F2">
              <w:rPr>
                <w:rFonts w:cstheme="minorHAnsi"/>
                <w:b w:val="0"/>
                <w:bCs/>
                <w:i/>
                <w:iCs w:val="0"/>
                <w:color w:val="000000" w:themeColor="text1"/>
                <w:sz w:val="24"/>
                <w:szCs w:val="24"/>
              </w:rPr>
              <w:t>non-</w:t>
            </w:r>
            <w:r w:rsidR="00525244" w:rsidRPr="00D618F2">
              <w:rPr>
                <w:rFonts w:cstheme="minorHAnsi"/>
                <w:b w:val="0"/>
                <w:bCs/>
                <w:i/>
                <w:iCs w:val="0"/>
                <w:color w:val="000000" w:themeColor="text1"/>
                <w:sz w:val="24"/>
                <w:szCs w:val="24"/>
              </w:rPr>
              <w:t xml:space="preserve">vaccinated </w:t>
            </w:r>
            <w:r w:rsidR="00894DDF">
              <w:rPr>
                <w:rFonts w:cstheme="minorHAnsi"/>
                <w:b w:val="0"/>
                <w:bCs/>
                <w:i/>
                <w:iCs w:val="0"/>
                <w:color w:val="000000" w:themeColor="text1"/>
                <w:sz w:val="24"/>
                <w:szCs w:val="24"/>
              </w:rPr>
              <w:t xml:space="preserve">persons </w:t>
            </w:r>
            <w:r w:rsidR="00525244" w:rsidRPr="00D618F2">
              <w:rPr>
                <w:rFonts w:cstheme="minorHAnsi"/>
                <w:b w:val="0"/>
                <w:bCs/>
                <w:i/>
                <w:iCs w:val="0"/>
                <w:color w:val="000000" w:themeColor="text1"/>
                <w:sz w:val="24"/>
                <w:szCs w:val="24"/>
              </w:rPr>
              <w:t>are reported in figure S1.</w:t>
            </w:r>
            <w:r w:rsidR="008062E3" w:rsidRPr="00D618F2">
              <w:rPr>
                <w:rFonts w:cstheme="minorHAnsi"/>
                <w:b w:val="0"/>
                <w:bCs/>
                <w:i/>
                <w:iCs w:val="0"/>
                <w:color w:val="000000" w:themeColor="text1"/>
                <w:sz w:val="24"/>
                <w:szCs w:val="24"/>
              </w:rPr>
              <w:t xml:space="preserve"> </w:t>
            </w:r>
            <w:r w:rsidR="008B54EA" w:rsidRPr="00D618F2">
              <w:rPr>
                <w:rFonts w:cstheme="minorHAnsi"/>
                <w:b w:val="0"/>
                <w:bCs/>
                <w:i/>
                <w:iCs w:val="0"/>
                <w:color w:val="000000" w:themeColor="text1"/>
                <w:sz w:val="24"/>
                <w:szCs w:val="24"/>
              </w:rPr>
              <w:br/>
            </w:r>
            <w:r w:rsidR="009F36C9" w:rsidRPr="00D618F2">
              <w:rPr>
                <w:rFonts w:cstheme="minorHAnsi"/>
                <w:b w:val="0"/>
                <w:bCs/>
                <w:i/>
                <w:iCs w:val="0"/>
                <w:color w:val="000000" w:themeColor="text1"/>
                <w:sz w:val="24"/>
                <w:szCs w:val="24"/>
              </w:rPr>
              <w:t>m: months; y: years.</w:t>
            </w:r>
          </w:p>
        </w:tc>
      </w:tr>
    </w:tbl>
    <w:p w14:paraId="325199D7" w14:textId="5DDA9D0C" w:rsidR="001F4407" w:rsidRPr="00D618F2" w:rsidRDefault="00333DDB" w:rsidP="000C33AC">
      <w:pPr>
        <w:pStyle w:val="Heading1"/>
        <w:numPr>
          <w:ilvl w:val="0"/>
          <w:numId w:val="0"/>
        </w:numPr>
        <w:ind w:left="432" w:hanging="432"/>
        <w:rPr>
          <w:rFonts w:eastAsiaTheme="minorEastAsia" w:cs="Arial"/>
        </w:rPr>
      </w:pPr>
      <w:r w:rsidRPr="00D618F2">
        <w:rPr>
          <w:rFonts w:ascii="Arial" w:hAnsi="Arial" w:cs="Arial"/>
          <w:sz w:val="22"/>
          <w:szCs w:val="22"/>
        </w:rPr>
        <w:softHyphen/>
      </w:r>
      <w:r w:rsidRPr="00D618F2">
        <w:rPr>
          <w:rFonts w:ascii="Arial" w:hAnsi="Arial" w:cs="Arial"/>
          <w:sz w:val="22"/>
          <w:szCs w:val="22"/>
        </w:rPr>
        <w:softHyphen/>
      </w:r>
      <w:r w:rsidRPr="00D618F2">
        <w:rPr>
          <w:rFonts w:ascii="Arial" w:hAnsi="Arial" w:cs="Arial"/>
          <w:sz w:val="22"/>
          <w:szCs w:val="22"/>
        </w:rPr>
        <w:softHyphen/>
      </w:r>
      <w:r w:rsidR="00C1100D" w:rsidRPr="00D618F2">
        <w:rPr>
          <w:rFonts w:ascii="Arial" w:hAnsi="Arial" w:cs="Arial"/>
          <w:sz w:val="22"/>
          <w:szCs w:val="22"/>
        </w:rPr>
        <w:br w:type="page"/>
      </w:r>
      <w:r w:rsidR="009E3781" w:rsidRPr="00D618F2">
        <w:lastRenderedPageBreak/>
        <w:t>S4 M</w:t>
      </w:r>
      <w:r w:rsidR="00D33FD8" w:rsidRPr="00D618F2">
        <w:t>odel’s inference</w:t>
      </w:r>
    </w:p>
    <w:p w14:paraId="791916AA" w14:textId="6E85EF5A" w:rsidR="00BE025A" w:rsidRPr="00D618F2" w:rsidRDefault="00AF1994" w:rsidP="001E50CF">
      <w:pPr>
        <w:rPr>
          <w:rFonts w:eastAsiaTheme="minorEastAsia" w:cs="Arial"/>
        </w:rPr>
      </w:pPr>
      <w:r w:rsidRPr="00D618F2">
        <w:rPr>
          <w:rFonts w:eastAsiaTheme="minorEastAsia" w:cs="Arial"/>
        </w:rPr>
        <w:t xml:space="preserve">We used Bayesian inference to </w:t>
      </w:r>
      <w:r w:rsidR="005058FC" w:rsidRPr="00D618F2">
        <w:rPr>
          <w:rFonts w:eastAsiaTheme="minorEastAsia" w:cs="Arial"/>
        </w:rPr>
        <w:t xml:space="preserve">fit the </w:t>
      </w:r>
      <w:r w:rsidR="009E3781" w:rsidRPr="00D618F2">
        <w:rPr>
          <w:rFonts w:eastAsiaTheme="minorEastAsia" w:cs="Arial"/>
        </w:rPr>
        <w:t xml:space="preserve">IMD </w:t>
      </w:r>
      <w:r w:rsidR="005058FC" w:rsidRPr="00D618F2">
        <w:rPr>
          <w:rFonts w:eastAsiaTheme="minorEastAsia" w:cs="Arial"/>
        </w:rPr>
        <w:t>incidence</w:t>
      </w:r>
      <w:r w:rsidR="009E3781" w:rsidRPr="00D618F2">
        <w:rPr>
          <w:rFonts w:eastAsiaTheme="minorEastAsia" w:cs="Arial"/>
        </w:rPr>
        <w:t xml:space="preserve"> model</w:t>
      </w:r>
      <w:r w:rsidR="00BA0E0A" w:rsidRPr="00D618F2">
        <w:rPr>
          <w:rFonts w:eastAsiaTheme="minorEastAsia" w:cs="Arial"/>
        </w:rPr>
        <w:t xml:space="preserve"> (</w:t>
      </w:r>
      <w:r w:rsidR="009E3781" w:rsidRPr="00D618F2">
        <w:rPr>
          <w:rFonts w:eastAsiaTheme="minorEastAsia" w:cs="Arial"/>
        </w:rPr>
        <w:t>e</w:t>
      </w:r>
      <w:r w:rsidR="00BA0E0A" w:rsidRPr="00D618F2">
        <w:rPr>
          <w:rFonts w:eastAsiaTheme="minorEastAsia" w:cs="Arial"/>
        </w:rPr>
        <w:t>q</w:t>
      </w:r>
      <w:r w:rsidR="009E3781" w:rsidRPr="00D618F2">
        <w:rPr>
          <w:rFonts w:eastAsiaTheme="minorEastAsia" w:cs="Arial"/>
        </w:rPr>
        <w:t>uation</w:t>
      </w:r>
      <w:r w:rsidR="005A27AF" w:rsidRPr="00D618F2">
        <w:rPr>
          <w:rFonts w:eastAsiaTheme="minorEastAsia" w:cs="Arial"/>
        </w:rPr>
        <w:t xml:space="preserve"> </w:t>
      </w:r>
      <w:r w:rsidR="009E3781" w:rsidRPr="00D618F2">
        <w:rPr>
          <w:rFonts w:eastAsiaTheme="minorEastAsia" w:cs="Arial"/>
        </w:rPr>
        <w:t>2</w:t>
      </w:r>
      <w:r w:rsidR="005058FC" w:rsidRPr="00D618F2">
        <w:rPr>
          <w:rFonts w:eastAsiaTheme="minorEastAsia" w:cs="Arial"/>
        </w:rPr>
        <w:t xml:space="preserve"> </w:t>
      </w:r>
      <w:r w:rsidR="00BA0E0A" w:rsidRPr="00D618F2">
        <w:rPr>
          <w:rFonts w:eastAsiaTheme="minorEastAsia" w:cs="Arial"/>
        </w:rPr>
        <w:t xml:space="preserve">in the main </w:t>
      </w:r>
      <w:r w:rsidR="009E3781" w:rsidRPr="00D618F2">
        <w:rPr>
          <w:rFonts w:eastAsiaTheme="minorEastAsia" w:cs="Arial"/>
        </w:rPr>
        <w:t>manuscript)</w:t>
      </w:r>
      <w:r w:rsidRPr="00D618F2">
        <w:rPr>
          <w:rFonts w:eastAsiaTheme="minorEastAsia" w:cs="Arial"/>
        </w:rPr>
        <w:t>, with non-informative prior distributions</w:t>
      </w:r>
      <w:r w:rsidR="005C2A6D" w:rsidRPr="00D618F2">
        <w:fldChar w:fldCharType="begin" w:fldLock="1"/>
      </w:r>
      <w:r w:rsidR="00635977" w:rsidRPr="00D618F2">
        <w:rPr>
          <w:rFonts w:eastAsiaTheme="minorEastAsia" w:cs="Arial"/>
        </w:rPr>
        <w:instrText>ADDIN CSL_CITATION {"citationItems":[{"id":"ITEM-1","itemData":{"ISBN":"9781439840955","author":[{"dropping-particle":"","family":"Gelman","given":"A","non-dropping-particle":"","parse-names":false,"suffix":""},{"dropping-particle":"","family":"Carlin","given":"J B","non-dropping-particle":"","parse-names":false,"suffix":""},{"dropping-particle":"","family":"Stern","given":"H S","non-dropping-particle":"","parse-names":false,"suffix":""},{"dropping-particle":"","family":"Dunson","given":"D B","non-dropping-particle":"","parse-names":false,"suffix":""},{"dropping-particle":"","family":"Vehtari","given":"A","non-dropping-particle":"","parse-names":false,"suffix":""},{"dropping-particle":"","family":"Rubin","given":"D B","non-dropping-particle":"","parse-names":false,"suffix":""}],"collection-title":"Chapman &amp; Hall/CRC Texts in Statistical Science","id":"ITEM-1","issued":{"date-parts":[["2013"]]},"publisher":"Taylor &amp; Francis","title":"Bayesian Data Analysis, Third Edition","type":"book"},"uris":["http://www.mendeley.com/documents/?uuid=5c4282c6-8682-424b-8dea-5a23dc0d0a21"]}],"mendeley":{"formattedCitation":"&lt;sup&gt;5&lt;/sup&gt;","plainTextFormattedCitation":"5","previouslyFormattedCitation":"&lt;sup&gt;5&lt;/sup&gt;"},"properties":{"noteIndex":0},"schema":"https://github.com/citation-style-language/schema/raw/master/csl-citation.json"}</w:instrText>
      </w:r>
      <w:r w:rsidR="005C2A6D" w:rsidRPr="00D618F2">
        <w:fldChar w:fldCharType="separate"/>
      </w:r>
      <w:r w:rsidR="00595B43" w:rsidRPr="00D618F2">
        <w:rPr>
          <w:rFonts w:eastAsiaTheme="minorEastAsia" w:cs="Arial"/>
          <w:noProof/>
          <w:vertAlign w:val="superscript"/>
        </w:rPr>
        <w:t>5</w:t>
      </w:r>
      <w:r w:rsidR="005C2A6D" w:rsidRPr="00D618F2">
        <w:fldChar w:fldCharType="end"/>
      </w:r>
      <w:r w:rsidRPr="00D618F2">
        <w:rPr>
          <w:rFonts w:eastAsiaTheme="minorEastAsia" w:cs="Arial"/>
        </w:rPr>
        <w:t xml:space="preserve"> on </w:t>
      </w:r>
      <m:oMath>
        <m:r>
          <w:rPr>
            <w:rFonts w:ascii="Cambria Math" w:eastAsiaTheme="minorEastAsia" w:hAnsi="Cambria Math" w:cs="Arial"/>
          </w:rPr>
          <m:t>ρ</m:t>
        </m:r>
        <m:r>
          <m:rPr>
            <m:nor/>
          </m:rPr>
          <w:rPr>
            <w:rFonts w:eastAsiaTheme="minorEastAsia" w:cs="Arial"/>
          </w:rPr>
          <m:t>,</m:t>
        </m:r>
        <m:r>
          <w:rPr>
            <w:rFonts w:ascii="Cambria Math" w:eastAsiaTheme="minorEastAsia" w:hAnsi="Cambria Math" w:cs="Arial"/>
          </w:rPr>
          <m:t xml:space="preserve"> θ</m:t>
        </m:r>
        <m:r>
          <m:rPr>
            <m:nor/>
          </m:rPr>
          <w:rPr>
            <w:rFonts w:eastAsiaTheme="minorEastAsia" w:cs="Arial"/>
          </w:rPr>
          <m:t xml:space="preserve"> and</m:t>
        </m:r>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σ</m:t>
            </m:r>
          </m:e>
          <m:sub>
            <m:r>
              <w:rPr>
                <w:rFonts w:ascii="Cambria Math" w:eastAsiaTheme="minorEastAsia" w:hAnsi="Cambria Math" w:cs="Arial"/>
              </w:rPr>
              <m:t>β</m:t>
            </m:r>
          </m:sub>
        </m:sSub>
      </m:oMath>
      <w:r w:rsidRPr="00D618F2">
        <w:rPr>
          <w:rFonts w:eastAsiaTheme="minorEastAsia" w:cs="Arial"/>
        </w:rPr>
        <w:t>. We numerically derived posterior distributions using Markov chain Monte Carlo</w:t>
      </w:r>
      <w:r w:rsidR="0046367A" w:rsidRPr="00D618F2">
        <w:rPr>
          <w:rFonts w:eastAsiaTheme="minorEastAsia" w:cs="Arial"/>
        </w:rPr>
        <w:t xml:space="preserve"> </w:t>
      </w:r>
      <w:r w:rsidRPr="00D618F2">
        <w:rPr>
          <w:rFonts w:eastAsiaTheme="minorEastAsia" w:cs="Arial"/>
        </w:rPr>
        <w:t>sampling</w:t>
      </w:r>
      <w:r w:rsidR="005058FC" w:rsidRPr="00D618F2">
        <w:rPr>
          <w:rFonts w:eastAsiaTheme="minorEastAsia" w:cs="Arial"/>
        </w:rPr>
        <w:t xml:space="preserve"> with 40,000 iterations (</w:t>
      </w:r>
      <w:r w:rsidR="00894DDF">
        <w:rPr>
          <w:rFonts w:eastAsiaTheme="minorEastAsia" w:cs="Arial"/>
        </w:rPr>
        <w:t>four</w:t>
      </w:r>
      <w:r w:rsidR="005058FC" w:rsidRPr="00D618F2">
        <w:rPr>
          <w:rFonts w:eastAsiaTheme="minorEastAsia" w:cs="Arial"/>
        </w:rPr>
        <w:t xml:space="preserve"> </w:t>
      </w:r>
      <w:r w:rsidR="005A27AF" w:rsidRPr="00D618F2">
        <w:rPr>
          <w:rFonts w:eastAsiaTheme="minorEastAsia" w:cs="Arial"/>
        </w:rPr>
        <w:t>independent</w:t>
      </w:r>
      <w:r w:rsidR="005058FC" w:rsidRPr="00D618F2">
        <w:rPr>
          <w:rFonts w:eastAsiaTheme="minorEastAsia" w:cs="Arial"/>
        </w:rPr>
        <w:t xml:space="preserve"> chains of size 10,000 after </w:t>
      </w:r>
      <w:r w:rsidR="005A27AF" w:rsidRPr="00D618F2">
        <w:rPr>
          <w:rFonts w:eastAsiaTheme="minorEastAsia" w:cs="Arial"/>
        </w:rPr>
        <w:t>additional</w:t>
      </w:r>
      <w:r w:rsidR="005058FC" w:rsidRPr="00D618F2">
        <w:rPr>
          <w:rFonts w:eastAsiaTheme="minorEastAsia" w:cs="Arial"/>
        </w:rPr>
        <w:t xml:space="preserve"> 5,000 </w:t>
      </w:r>
      <w:r w:rsidR="00B4265C" w:rsidRPr="00D618F2">
        <w:rPr>
          <w:rFonts w:eastAsiaTheme="minorEastAsia" w:cs="Arial"/>
        </w:rPr>
        <w:t xml:space="preserve">burned </w:t>
      </w:r>
      <w:r w:rsidR="005058FC" w:rsidRPr="00D618F2">
        <w:rPr>
          <w:rFonts w:eastAsiaTheme="minorEastAsia" w:cs="Arial"/>
        </w:rPr>
        <w:t xml:space="preserve">tuning steps for each chain). </w:t>
      </w:r>
      <w:r w:rsidR="004F035C" w:rsidRPr="00D618F2">
        <w:rPr>
          <w:rFonts w:eastAsiaTheme="minorEastAsia" w:cs="Arial"/>
        </w:rPr>
        <w:t>S</w:t>
      </w:r>
      <w:r w:rsidR="005058FC" w:rsidRPr="00D618F2">
        <w:rPr>
          <w:rFonts w:eastAsiaTheme="minorEastAsia" w:cs="Arial"/>
        </w:rPr>
        <w:t xml:space="preserve">ampling was performed </w:t>
      </w:r>
      <w:r w:rsidR="00A1162E" w:rsidRPr="00D618F2">
        <w:rPr>
          <w:rFonts w:eastAsiaTheme="minorEastAsia" w:cs="Arial"/>
        </w:rPr>
        <w:t>through</w:t>
      </w:r>
      <w:r w:rsidR="005058FC" w:rsidRPr="00D618F2">
        <w:rPr>
          <w:rFonts w:eastAsiaTheme="minorEastAsia" w:cs="Arial"/>
        </w:rPr>
        <w:t xml:space="preserve"> the No-U-Turn sampler of Python’s PyMC3 package</w:t>
      </w:r>
      <w:r w:rsidR="00A1162E" w:rsidRPr="00D618F2">
        <w:rPr>
          <w:rFonts w:eastAsiaTheme="minorEastAsia" w:cs="Arial"/>
        </w:rPr>
        <w:t xml:space="preserve">, </w:t>
      </w:r>
      <w:r w:rsidR="004F035C" w:rsidRPr="00D618F2">
        <w:rPr>
          <w:rFonts w:eastAsiaTheme="minorEastAsia" w:cs="Arial"/>
        </w:rPr>
        <w:t xml:space="preserve">a self-tuning variant of </w:t>
      </w:r>
      <w:r w:rsidR="00A1162E" w:rsidRPr="00D618F2">
        <w:rPr>
          <w:rFonts w:eastAsiaTheme="minorEastAsia" w:cs="Arial"/>
        </w:rPr>
        <w:t>Hamiltonian Monte Carlo</w:t>
      </w:r>
      <w:r w:rsidR="00874EE6" w:rsidRPr="00D618F2">
        <w:rPr>
          <w:rFonts w:eastAsiaTheme="minorEastAsia" w:cs="Arial"/>
        </w:rPr>
        <w:t>.</w:t>
      </w:r>
      <w:r w:rsidR="005058FC" w:rsidRPr="00D618F2">
        <w:fldChar w:fldCharType="begin" w:fldLock="1"/>
      </w:r>
      <w:r w:rsidR="00BE025A" w:rsidRPr="00D618F2">
        <w:instrText>ADDIN CSL_CITATION {"citationItems":[{"id":"ITEM-1","itemData":{"DOI":"10.7717/peerj-cs.55","ISSN":"2376-5992","abstract":"Probabilistic programming allows for automatic Bayesian inference on user-defined probabilistic models. Recent advances in Markov chain Monte Carlo (MCMC) sampling allow inference on increasingly complex models. This class of MCMC, known as Hamiltonian Monte Carlo, requires gradient information which is often not readily available. PyMC3 is a new open source probabilistic programming framework written in Python that uses Theano to compute gradients via automatic differentiation as well as compile probabilistic programs on-the-fly to C for increased speed. Contrary to other probabilistic programming languages, PyMC3 allows model specification directly in Python code. The lack of a domain specific language allows for great flexibility and direct interaction with the model. This paper is a tutorial-style introduction to this software package.","author":[{"dropping-particle":"","family":"Salvatier","given":"John","non-dropping-particle":"","parse-names":false,"suffix":""},{"dropping-particle":"V.","family":"Wiecki","given":"Thomas","non-dropping-particle":"","parse-names":false,"suffix":""},{"dropping-particle":"","family":"Fonnesbeck","given":"Christopher","non-dropping-particle":"","parse-names":false,"suffix":""}],"container-title":"PeerJ Computer Science","id":"ITEM-1","issued":{"date-parts":[["2016","4","6"]]},"page":"e55","title":"Probabilistic programming in Python using PyMC3","type":"article-journal","volume":"2"},"uris":["http://www.mendeley.com/documents/?uuid=c5f7b681-8416-46b6-9f57-a74025a9fb95"]},{"id":"ITEM-2","itemData":{"ISSN":"15337928","abstract":"Hamiltonian Monte Carlo (HMC) is a Markov chain Monte Carlo (MCMC) algorithm that avoids the random walk behavior and sensitivity to correlated parameters that plague many MCMC methods by taking a series of steps informed by first-order gradient information. These features allow it to converge to high-dimensional target distributions much more quickly than simpler methods such as random walk Metropolis or Gibbs sampling. However, HMC's performance is highly sensitive to two user-specified parameters: a step size e and a desired number of steps L. In particular, if L is too small then the algorithm exhibits undesirable random walk behavior, while if L is too large the algorithm wastes computation. We introduce the No-U-Turn Sampler (NUTS), an extension to HMC that eliminates the need to set a number of steps L. NUTS uses a recursive algorithm to build a set of likely candidate points that spans a wide swath of the target distribution, stopping automatically when it starts to double back and retrace its steps. Empirically, NUTS performs at least as efficiently as (and sometimes more efficiently than) a well tuned standard HMC method, without requiring user intervention or costly tuning runs. We also derive a method for adapting the step size parameter e on the fly based on primal-dual averaging. NUTS can thus be used with no hand-tuning at all, making it suitable for applications such as BUGS-style automatic inference engines that require efficient \"turnkey\" samplers. © 2014 Matthew D. Hoffman and Andrew Gelman.","author":[{"dropping-particle":"","family":"Hoffman","given":"Matthew D.","non-dropping-particle":"","parse-names":false,"suffix":""},{"dropping-particle":"","family":"Gelman","given":"Andrew","non-dropping-particle":"","parse-names":false,"suffix":""}],"container-title":"Journal of Machine Learning Research","id":"ITEM-2","issued":{"date-parts":[["2014"]]},"page":"1593-1623","title":"The no-U-turn sampler: Adaptively setting path lengths in Hamiltonian Monte Carlo","type":"article-journal","volume":"15"},"uris":["http://www.mendeley.com/documents/?uuid=6f51a59f-37e8-494b-8975-bd1e94e0a882"]},{"id":"ITEM-3","itemData":{"DOI":"10.1016/0370-2693(87)91197-X","ISSN":"03702693","author":[{"dropping-particle":"","family":"Duane","given":"Simon","non-dropping-particle":"","parse-names":false,"suffix":""},{"dropping-particle":"","family":"Kennedy","given":"A.D.","non-dropping-particle":"","parse-names":false,"suffix":""},{"dropping-particle":"","family":"Pendleton","given":"Brian J.","non-dropping-particle":"","parse-names":false,"suffix":""},{"dropping-particle":"","family":"Roweth","given":"Duncan","non-dropping-particle":"","parse-names":false,"suffix":""}],"container-title":"Physics Letters B","id":"ITEM-3","issue":"2","issued":{"date-parts":[["1987","9"]]},"page":"216-222","title":"Hybrid Monte Carlo","type":"article-journal","volume":"195"},"uris":["http://www.mendeley.com/documents/?uuid=569a6392-ac6b-4588-922f-4565cdb291be"]}],"mendeley":{"formattedCitation":"&lt;sup&gt;6–8&lt;/sup&gt;","plainTextFormattedCitation":"6–8","previouslyFormattedCitation":"&lt;sup&gt;6–8&lt;/sup&gt;"},"properties":{"noteIndex":0},"schema":"https://github.com/citation-style-language/schema/raw/master/csl-citation.json"}</w:instrText>
      </w:r>
      <w:r w:rsidR="005058FC" w:rsidRPr="00D618F2">
        <w:fldChar w:fldCharType="separate"/>
      </w:r>
      <w:r w:rsidR="00BE025A" w:rsidRPr="00D618F2">
        <w:rPr>
          <w:noProof/>
          <w:vertAlign w:val="superscript"/>
        </w:rPr>
        <w:t>6–8</w:t>
      </w:r>
      <w:r w:rsidR="005058FC" w:rsidRPr="00D618F2">
        <w:fldChar w:fldCharType="end"/>
      </w:r>
      <w:r w:rsidR="005058FC" w:rsidRPr="00D618F2">
        <w:rPr>
          <w:rFonts w:eastAsiaTheme="minorEastAsia" w:cs="Arial"/>
        </w:rPr>
        <w:t xml:space="preserve"> </w:t>
      </w:r>
    </w:p>
    <w:p w14:paraId="282A98D0" w14:textId="1DE5FE3B" w:rsidR="005058FC" w:rsidRPr="00D618F2" w:rsidRDefault="009E3781" w:rsidP="001E50CF">
      <w:pPr>
        <w:rPr>
          <w:rFonts w:eastAsiaTheme="minorEastAsia" w:cs="Arial"/>
        </w:rPr>
      </w:pPr>
      <w:r w:rsidRPr="00D618F2">
        <w:rPr>
          <w:rFonts w:eastAsiaTheme="minorEastAsia" w:cs="Arial"/>
        </w:rPr>
        <w:t xml:space="preserve">Table S2 </w:t>
      </w:r>
      <w:r w:rsidR="005058FC" w:rsidRPr="00D618F2">
        <w:t xml:space="preserve">reports all the parameters.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right w:w="170" w:type="dxa"/>
        </w:tblCellMar>
        <w:tblLook w:val="04A0" w:firstRow="1" w:lastRow="0" w:firstColumn="1" w:lastColumn="0" w:noHBand="0" w:noVBand="1"/>
      </w:tblPr>
      <w:tblGrid>
        <w:gridCol w:w="9622"/>
      </w:tblGrid>
      <w:tr w:rsidR="005A27AF" w:rsidRPr="00D618F2" w14:paraId="5DDCD891" w14:textId="77777777" w:rsidTr="001E50CF">
        <w:trPr>
          <w:trHeight w:val="73"/>
        </w:trPr>
        <w:tc>
          <w:tcPr>
            <w:tcW w:w="9622" w:type="dxa"/>
            <w:vAlign w:val="bottom"/>
          </w:tcPr>
          <w:p w14:paraId="3607A1F4" w14:textId="723687AA" w:rsidR="005A27AF" w:rsidRPr="00D618F2" w:rsidRDefault="005A27AF" w:rsidP="001E50CF">
            <w:pPr>
              <w:spacing w:after="120"/>
              <w:rPr>
                <w:rFonts w:eastAsiaTheme="minorEastAsia" w:cs="Arial"/>
                <w:b/>
                <w:bCs/>
              </w:rPr>
            </w:pPr>
            <w:bookmarkStart w:id="7" w:name="_Ref51340540"/>
            <w:bookmarkStart w:id="8" w:name="_Toc47892128"/>
            <w:r w:rsidRPr="00D618F2">
              <w:rPr>
                <w:b/>
                <w:bCs/>
              </w:rPr>
              <w:t>Table S</w:t>
            </w:r>
            <w:r w:rsidR="009E3781" w:rsidRPr="00D618F2">
              <w:rPr>
                <w:b/>
                <w:bCs/>
              </w:rPr>
              <w:t>2</w:t>
            </w:r>
            <w:bookmarkEnd w:id="7"/>
            <w:r w:rsidRPr="00D618F2">
              <w:rPr>
                <w:b/>
                <w:bCs/>
              </w:rPr>
              <w:t>. Best estimates of the parameters</w:t>
            </w:r>
            <w:bookmarkEnd w:id="8"/>
          </w:p>
        </w:tc>
      </w:tr>
      <w:tr w:rsidR="005A27AF" w:rsidRPr="00D618F2" w14:paraId="0234CB36" w14:textId="77777777" w:rsidTr="001E50CF">
        <w:tc>
          <w:tcPr>
            <w:tcW w:w="9622" w:type="dxa"/>
          </w:tcPr>
          <w:tbl>
            <w:tblPr>
              <w:tblStyle w:val="TableGrid"/>
              <w:tblW w:w="0" w:type="auto"/>
              <w:jc w:val="center"/>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2268"/>
              <w:gridCol w:w="3150"/>
            </w:tblGrid>
            <w:tr w:rsidR="005A27AF" w:rsidRPr="00D618F2" w14:paraId="268EBC79" w14:textId="77777777" w:rsidTr="001E50CF">
              <w:trPr>
                <w:trHeight w:val="340"/>
                <w:jc w:val="center"/>
              </w:trPr>
              <w:tc>
                <w:tcPr>
                  <w:tcW w:w="2268" w:type="dxa"/>
                  <w:tcBorders>
                    <w:bottom w:val="single" w:sz="4" w:space="0" w:color="auto"/>
                  </w:tcBorders>
                  <w:shd w:val="clear" w:color="auto" w:fill="F2F2F2" w:themeFill="background1" w:themeFillShade="F2"/>
                  <w:vAlign w:val="center"/>
                </w:tcPr>
                <w:p w14:paraId="3241E6FA" w14:textId="77777777" w:rsidR="005A27AF" w:rsidRPr="00D618F2" w:rsidRDefault="005A27AF" w:rsidP="008D2827">
                  <w:pPr>
                    <w:jc w:val="center"/>
                    <w:rPr>
                      <w:rFonts w:eastAsia="Calibri" w:cs="Arial"/>
                      <w:b/>
                    </w:rPr>
                  </w:pPr>
                  <w:r w:rsidRPr="00D618F2">
                    <w:rPr>
                      <w:rFonts w:eastAsia="Calibri" w:cs="Arial"/>
                      <w:b/>
                    </w:rPr>
                    <w:t>Parameter</w:t>
                  </w:r>
                </w:p>
              </w:tc>
              <w:tc>
                <w:tcPr>
                  <w:tcW w:w="3150" w:type="dxa"/>
                  <w:tcBorders>
                    <w:bottom w:val="single" w:sz="4" w:space="0" w:color="auto"/>
                  </w:tcBorders>
                  <w:shd w:val="clear" w:color="auto" w:fill="F2F2F2" w:themeFill="background1" w:themeFillShade="F2"/>
                  <w:vAlign w:val="center"/>
                </w:tcPr>
                <w:p w14:paraId="2546C20A" w14:textId="0F9319D9" w:rsidR="005A27AF" w:rsidRPr="00D618F2" w:rsidRDefault="00B4265C" w:rsidP="008D2827">
                  <w:pPr>
                    <w:jc w:val="center"/>
                    <w:rPr>
                      <w:rFonts w:cs="Arial"/>
                      <w:b/>
                    </w:rPr>
                  </w:pPr>
                  <w:r w:rsidRPr="00D618F2">
                    <w:rPr>
                      <w:rFonts w:cs="Arial"/>
                      <w:b/>
                    </w:rPr>
                    <w:t>Posterior m</w:t>
                  </w:r>
                  <w:r w:rsidR="005A27AF" w:rsidRPr="00D618F2">
                    <w:rPr>
                      <w:rFonts w:cs="Arial"/>
                      <w:b/>
                    </w:rPr>
                    <w:t>ean [95%</w:t>
                  </w:r>
                  <w:r w:rsidR="00971EF7">
                    <w:rPr>
                      <w:rFonts w:cs="Arial"/>
                      <w:b/>
                    </w:rPr>
                    <w:t xml:space="preserve"> </w:t>
                  </w:r>
                  <w:r w:rsidR="008062E3" w:rsidRPr="00D618F2">
                    <w:rPr>
                      <w:rFonts w:cs="Arial"/>
                      <w:b/>
                    </w:rPr>
                    <w:t>B</w:t>
                  </w:r>
                  <w:r w:rsidR="005A27AF" w:rsidRPr="00D618F2">
                    <w:rPr>
                      <w:rFonts w:cs="Arial"/>
                      <w:b/>
                    </w:rPr>
                    <w:t>CI]</w:t>
                  </w:r>
                </w:p>
              </w:tc>
            </w:tr>
            <w:tr w:rsidR="005A27AF" w:rsidRPr="00D618F2" w14:paraId="3064B6B7" w14:textId="77777777" w:rsidTr="001E50CF">
              <w:trPr>
                <w:trHeight w:val="340"/>
                <w:jc w:val="center"/>
              </w:trPr>
              <w:tc>
                <w:tcPr>
                  <w:tcW w:w="2268" w:type="dxa"/>
                  <w:tcBorders>
                    <w:bottom w:val="nil"/>
                  </w:tcBorders>
                  <w:vAlign w:val="center"/>
                </w:tcPr>
                <w:p w14:paraId="4CE12255"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0–1m</m:t>
                          </m:r>
                        </m:sub>
                      </m:sSub>
                    </m:oMath>
                  </m:oMathPara>
                </w:p>
              </w:tc>
              <w:tc>
                <w:tcPr>
                  <w:tcW w:w="3150" w:type="dxa"/>
                  <w:tcBorders>
                    <w:bottom w:val="nil"/>
                  </w:tcBorders>
                  <w:vAlign w:val="center"/>
                </w:tcPr>
                <w:p w14:paraId="73EEEF71" w14:textId="77777777" w:rsidR="005A27AF" w:rsidRPr="00D618F2" w:rsidRDefault="005A27AF" w:rsidP="008D2827">
                  <w:pPr>
                    <w:jc w:val="center"/>
                    <w:rPr>
                      <w:rFonts w:cs="Arial"/>
                    </w:rPr>
                  </w:pPr>
                  <w:r w:rsidRPr="00D618F2">
                    <w:rPr>
                      <w:rFonts w:cs="Arial"/>
                      <w:color w:val="000000"/>
                    </w:rPr>
                    <w:t>-9.20 [-9.42; -8.98]</w:t>
                  </w:r>
                </w:p>
              </w:tc>
            </w:tr>
            <w:tr w:rsidR="005A27AF" w:rsidRPr="00D618F2" w14:paraId="19D8F989" w14:textId="77777777" w:rsidTr="001E50CF">
              <w:trPr>
                <w:trHeight w:val="340"/>
                <w:jc w:val="center"/>
              </w:trPr>
              <w:tc>
                <w:tcPr>
                  <w:tcW w:w="2268" w:type="dxa"/>
                  <w:tcBorders>
                    <w:top w:val="nil"/>
                    <w:bottom w:val="nil"/>
                  </w:tcBorders>
                  <w:vAlign w:val="center"/>
                </w:tcPr>
                <w:p w14:paraId="22C25D47"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2–3m</m:t>
                          </m:r>
                        </m:sub>
                      </m:sSub>
                    </m:oMath>
                  </m:oMathPara>
                </w:p>
              </w:tc>
              <w:tc>
                <w:tcPr>
                  <w:tcW w:w="3150" w:type="dxa"/>
                  <w:tcBorders>
                    <w:top w:val="nil"/>
                    <w:bottom w:val="nil"/>
                  </w:tcBorders>
                  <w:vAlign w:val="center"/>
                </w:tcPr>
                <w:p w14:paraId="15813B9F" w14:textId="77777777" w:rsidR="005A27AF" w:rsidRPr="00D618F2" w:rsidRDefault="005A27AF" w:rsidP="008D2827">
                  <w:pPr>
                    <w:jc w:val="center"/>
                    <w:rPr>
                      <w:rFonts w:cs="Arial"/>
                    </w:rPr>
                  </w:pPr>
                  <w:r w:rsidRPr="00D618F2">
                    <w:rPr>
                      <w:rFonts w:cs="Arial"/>
                      <w:color w:val="000000"/>
                    </w:rPr>
                    <w:t>-8.58 [-8.76; -8.40]</w:t>
                  </w:r>
                </w:p>
              </w:tc>
            </w:tr>
            <w:tr w:rsidR="005A27AF" w:rsidRPr="00D618F2" w14:paraId="392E7BB7" w14:textId="77777777" w:rsidTr="001E50CF">
              <w:trPr>
                <w:trHeight w:val="340"/>
                <w:jc w:val="center"/>
              </w:trPr>
              <w:tc>
                <w:tcPr>
                  <w:tcW w:w="2268" w:type="dxa"/>
                  <w:tcBorders>
                    <w:top w:val="nil"/>
                    <w:bottom w:val="nil"/>
                  </w:tcBorders>
                  <w:vAlign w:val="center"/>
                </w:tcPr>
                <w:p w14:paraId="33E9CE25"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4–11m</m:t>
                          </m:r>
                        </m:sub>
                      </m:sSub>
                    </m:oMath>
                  </m:oMathPara>
                </w:p>
              </w:tc>
              <w:tc>
                <w:tcPr>
                  <w:tcW w:w="3150" w:type="dxa"/>
                  <w:tcBorders>
                    <w:top w:val="nil"/>
                    <w:bottom w:val="nil"/>
                  </w:tcBorders>
                  <w:vAlign w:val="center"/>
                </w:tcPr>
                <w:p w14:paraId="2B961EF6" w14:textId="77777777" w:rsidR="005A27AF" w:rsidRPr="00D618F2" w:rsidRDefault="005A27AF" w:rsidP="008D2827">
                  <w:pPr>
                    <w:jc w:val="center"/>
                    <w:rPr>
                      <w:rFonts w:cs="Arial"/>
                    </w:rPr>
                  </w:pPr>
                  <w:r w:rsidRPr="00D618F2">
                    <w:rPr>
                      <w:rFonts w:cs="Arial"/>
                      <w:color w:val="000000"/>
                    </w:rPr>
                    <w:t>-8.48 [-8.58; -8.38]</w:t>
                  </w:r>
                </w:p>
              </w:tc>
            </w:tr>
            <w:tr w:rsidR="005A27AF" w:rsidRPr="00D618F2" w14:paraId="2B56AB00" w14:textId="77777777" w:rsidTr="001E50CF">
              <w:trPr>
                <w:trHeight w:val="340"/>
                <w:jc w:val="center"/>
              </w:trPr>
              <w:tc>
                <w:tcPr>
                  <w:tcW w:w="2268" w:type="dxa"/>
                  <w:tcBorders>
                    <w:top w:val="nil"/>
                    <w:bottom w:val="nil"/>
                  </w:tcBorders>
                  <w:vAlign w:val="center"/>
                </w:tcPr>
                <w:p w14:paraId="474CE5BC"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1y</m:t>
                          </m:r>
                        </m:sub>
                      </m:sSub>
                    </m:oMath>
                  </m:oMathPara>
                </w:p>
              </w:tc>
              <w:tc>
                <w:tcPr>
                  <w:tcW w:w="3150" w:type="dxa"/>
                  <w:tcBorders>
                    <w:top w:val="nil"/>
                    <w:bottom w:val="nil"/>
                  </w:tcBorders>
                  <w:vAlign w:val="center"/>
                </w:tcPr>
                <w:p w14:paraId="6C16375C" w14:textId="77777777" w:rsidR="005A27AF" w:rsidRPr="00D618F2" w:rsidRDefault="005A27AF" w:rsidP="008D2827">
                  <w:pPr>
                    <w:jc w:val="center"/>
                    <w:rPr>
                      <w:rFonts w:cs="Arial"/>
                    </w:rPr>
                  </w:pPr>
                  <w:r w:rsidRPr="00D618F2">
                    <w:rPr>
                      <w:rFonts w:cs="Arial"/>
                      <w:color w:val="000000"/>
                    </w:rPr>
                    <w:t>-9.20 [-9.30; -9.09]</w:t>
                  </w:r>
                </w:p>
              </w:tc>
            </w:tr>
            <w:tr w:rsidR="005A27AF" w:rsidRPr="00D618F2" w14:paraId="0EAF5746" w14:textId="77777777" w:rsidTr="001E50CF">
              <w:trPr>
                <w:trHeight w:val="340"/>
                <w:jc w:val="center"/>
              </w:trPr>
              <w:tc>
                <w:tcPr>
                  <w:tcW w:w="2268" w:type="dxa"/>
                  <w:tcBorders>
                    <w:top w:val="nil"/>
                    <w:bottom w:val="nil"/>
                  </w:tcBorders>
                  <w:vAlign w:val="center"/>
                </w:tcPr>
                <w:p w14:paraId="36EAEC1A"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2y</m:t>
                          </m:r>
                        </m:sub>
                      </m:sSub>
                    </m:oMath>
                  </m:oMathPara>
                </w:p>
              </w:tc>
              <w:tc>
                <w:tcPr>
                  <w:tcW w:w="3150" w:type="dxa"/>
                  <w:tcBorders>
                    <w:top w:val="nil"/>
                    <w:bottom w:val="nil"/>
                  </w:tcBorders>
                  <w:vAlign w:val="center"/>
                </w:tcPr>
                <w:p w14:paraId="6D7077C3" w14:textId="77777777" w:rsidR="005A27AF" w:rsidRPr="00D618F2" w:rsidRDefault="005A27AF" w:rsidP="008D2827">
                  <w:pPr>
                    <w:jc w:val="center"/>
                    <w:rPr>
                      <w:rFonts w:cs="Arial"/>
                    </w:rPr>
                  </w:pPr>
                  <w:r w:rsidRPr="00D618F2">
                    <w:rPr>
                      <w:rFonts w:cs="Arial"/>
                      <w:color w:val="000000"/>
                    </w:rPr>
                    <w:t>-9.67 [-9.79; -9.55]</w:t>
                  </w:r>
                </w:p>
              </w:tc>
            </w:tr>
            <w:tr w:rsidR="005A27AF" w:rsidRPr="00D618F2" w14:paraId="572233FE" w14:textId="77777777" w:rsidTr="001E50CF">
              <w:trPr>
                <w:trHeight w:val="340"/>
                <w:jc w:val="center"/>
              </w:trPr>
              <w:tc>
                <w:tcPr>
                  <w:tcW w:w="2268" w:type="dxa"/>
                  <w:tcBorders>
                    <w:top w:val="nil"/>
                    <w:bottom w:val="nil"/>
                  </w:tcBorders>
                  <w:vAlign w:val="center"/>
                </w:tcPr>
                <w:p w14:paraId="77B3CD67"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3y</m:t>
                          </m:r>
                        </m:sub>
                      </m:sSub>
                    </m:oMath>
                  </m:oMathPara>
                </w:p>
              </w:tc>
              <w:tc>
                <w:tcPr>
                  <w:tcW w:w="3150" w:type="dxa"/>
                  <w:tcBorders>
                    <w:top w:val="nil"/>
                    <w:bottom w:val="nil"/>
                  </w:tcBorders>
                  <w:vAlign w:val="center"/>
                </w:tcPr>
                <w:p w14:paraId="47DBD25E" w14:textId="77777777" w:rsidR="005A27AF" w:rsidRPr="00D618F2" w:rsidRDefault="005A27AF" w:rsidP="008D2827">
                  <w:pPr>
                    <w:jc w:val="center"/>
                    <w:rPr>
                      <w:rFonts w:cs="Arial"/>
                    </w:rPr>
                  </w:pPr>
                  <w:r w:rsidRPr="00D618F2">
                    <w:rPr>
                      <w:rFonts w:cs="Arial"/>
                      <w:color w:val="000000"/>
                    </w:rPr>
                    <w:t>-10.24 [-10.40; -10.09]</w:t>
                  </w:r>
                </w:p>
              </w:tc>
            </w:tr>
            <w:tr w:rsidR="005A27AF" w:rsidRPr="00D618F2" w14:paraId="66D3F551" w14:textId="77777777" w:rsidTr="001E50CF">
              <w:trPr>
                <w:trHeight w:val="340"/>
                <w:jc w:val="center"/>
              </w:trPr>
              <w:tc>
                <w:tcPr>
                  <w:tcW w:w="2268" w:type="dxa"/>
                  <w:tcBorders>
                    <w:top w:val="nil"/>
                    <w:bottom w:val="nil"/>
                  </w:tcBorders>
                  <w:vAlign w:val="center"/>
                </w:tcPr>
                <w:p w14:paraId="56317AED"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4y</m:t>
                          </m:r>
                        </m:sub>
                      </m:sSub>
                    </m:oMath>
                  </m:oMathPara>
                </w:p>
              </w:tc>
              <w:tc>
                <w:tcPr>
                  <w:tcW w:w="3150" w:type="dxa"/>
                  <w:tcBorders>
                    <w:top w:val="nil"/>
                    <w:bottom w:val="nil"/>
                  </w:tcBorders>
                  <w:vAlign w:val="center"/>
                </w:tcPr>
                <w:p w14:paraId="4345C644" w14:textId="77777777" w:rsidR="005A27AF" w:rsidRPr="00D618F2" w:rsidRDefault="005A27AF" w:rsidP="008D2827">
                  <w:pPr>
                    <w:jc w:val="center"/>
                    <w:rPr>
                      <w:rFonts w:cs="Arial"/>
                    </w:rPr>
                  </w:pPr>
                  <w:r w:rsidRPr="00D618F2">
                    <w:rPr>
                      <w:rFonts w:cs="Arial"/>
                      <w:color w:val="000000"/>
                    </w:rPr>
                    <w:t>-10.43 [-10.59; -10.26]</w:t>
                  </w:r>
                </w:p>
              </w:tc>
            </w:tr>
            <w:tr w:rsidR="005A27AF" w:rsidRPr="00D618F2" w14:paraId="433D35BF" w14:textId="77777777" w:rsidTr="001E50CF">
              <w:trPr>
                <w:trHeight w:val="340"/>
                <w:jc w:val="center"/>
              </w:trPr>
              <w:tc>
                <w:tcPr>
                  <w:tcW w:w="2268" w:type="dxa"/>
                  <w:tcBorders>
                    <w:top w:val="nil"/>
                    <w:bottom w:val="nil"/>
                  </w:tcBorders>
                  <w:vAlign w:val="center"/>
                </w:tcPr>
                <w:p w14:paraId="6C7723BA"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5-14y</m:t>
                          </m:r>
                        </m:sub>
                      </m:sSub>
                    </m:oMath>
                  </m:oMathPara>
                </w:p>
              </w:tc>
              <w:tc>
                <w:tcPr>
                  <w:tcW w:w="3150" w:type="dxa"/>
                  <w:tcBorders>
                    <w:top w:val="nil"/>
                    <w:bottom w:val="nil"/>
                  </w:tcBorders>
                  <w:vAlign w:val="center"/>
                </w:tcPr>
                <w:p w14:paraId="31A287B7" w14:textId="77777777" w:rsidR="005A27AF" w:rsidRPr="00D618F2" w:rsidRDefault="005A27AF" w:rsidP="008D2827">
                  <w:pPr>
                    <w:jc w:val="center"/>
                    <w:rPr>
                      <w:rFonts w:cs="Arial"/>
                    </w:rPr>
                  </w:pPr>
                  <w:r w:rsidRPr="00D618F2">
                    <w:rPr>
                      <w:rFonts w:cs="Arial"/>
                      <w:color w:val="000000"/>
                    </w:rPr>
                    <w:t>-11.75 [-11.86; -11.65]</w:t>
                  </w:r>
                </w:p>
              </w:tc>
            </w:tr>
            <w:tr w:rsidR="005A27AF" w:rsidRPr="00D618F2" w14:paraId="2ECA9796" w14:textId="77777777" w:rsidTr="001E50CF">
              <w:trPr>
                <w:trHeight w:val="340"/>
                <w:jc w:val="center"/>
              </w:trPr>
              <w:tc>
                <w:tcPr>
                  <w:tcW w:w="2268" w:type="dxa"/>
                  <w:tcBorders>
                    <w:top w:val="nil"/>
                    <w:bottom w:val="nil"/>
                  </w:tcBorders>
                  <w:vAlign w:val="center"/>
                </w:tcPr>
                <w:p w14:paraId="1E43B80E"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15-24y</m:t>
                          </m:r>
                        </m:sub>
                      </m:sSub>
                    </m:oMath>
                  </m:oMathPara>
                </w:p>
              </w:tc>
              <w:tc>
                <w:tcPr>
                  <w:tcW w:w="3150" w:type="dxa"/>
                  <w:tcBorders>
                    <w:top w:val="nil"/>
                    <w:bottom w:val="nil"/>
                  </w:tcBorders>
                  <w:vAlign w:val="center"/>
                </w:tcPr>
                <w:p w14:paraId="26F8B87F" w14:textId="77777777" w:rsidR="005A27AF" w:rsidRPr="00D618F2" w:rsidRDefault="005A27AF" w:rsidP="008D2827">
                  <w:pPr>
                    <w:jc w:val="center"/>
                    <w:rPr>
                      <w:rFonts w:cs="Arial"/>
                    </w:rPr>
                  </w:pPr>
                  <w:r w:rsidRPr="00D618F2">
                    <w:rPr>
                      <w:rFonts w:cs="Arial"/>
                      <w:color w:val="000000"/>
                    </w:rPr>
                    <w:t>-11.41 [-11.50; -11.33]</w:t>
                  </w:r>
                </w:p>
              </w:tc>
            </w:tr>
            <w:tr w:rsidR="005A27AF" w:rsidRPr="00D618F2" w14:paraId="38A8606A" w14:textId="77777777" w:rsidTr="001E50CF">
              <w:trPr>
                <w:trHeight w:val="340"/>
                <w:jc w:val="center"/>
              </w:trPr>
              <w:tc>
                <w:tcPr>
                  <w:tcW w:w="2268" w:type="dxa"/>
                  <w:tcBorders>
                    <w:top w:val="nil"/>
                    <w:bottom w:val="nil"/>
                  </w:tcBorders>
                  <w:vAlign w:val="center"/>
                </w:tcPr>
                <w:p w14:paraId="2D2618DB"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25-44y</m:t>
                          </m:r>
                        </m:sub>
                      </m:sSub>
                    </m:oMath>
                  </m:oMathPara>
                </w:p>
              </w:tc>
              <w:tc>
                <w:tcPr>
                  <w:tcW w:w="3150" w:type="dxa"/>
                  <w:tcBorders>
                    <w:top w:val="nil"/>
                    <w:bottom w:val="nil"/>
                  </w:tcBorders>
                  <w:vAlign w:val="center"/>
                </w:tcPr>
                <w:p w14:paraId="2994485A" w14:textId="77777777" w:rsidR="005A27AF" w:rsidRPr="00D618F2" w:rsidRDefault="005A27AF" w:rsidP="008D2827">
                  <w:pPr>
                    <w:jc w:val="center"/>
                    <w:rPr>
                      <w:rFonts w:cs="Arial"/>
                    </w:rPr>
                  </w:pPr>
                  <w:r w:rsidRPr="00D618F2">
                    <w:rPr>
                      <w:rFonts w:cs="Arial"/>
                      <w:color w:val="000000"/>
                    </w:rPr>
                    <w:t>-13.26 [-13.41; -13.11]</w:t>
                  </w:r>
                </w:p>
              </w:tc>
            </w:tr>
            <w:tr w:rsidR="005A27AF" w:rsidRPr="00D618F2" w14:paraId="1D67CAC4" w14:textId="77777777" w:rsidTr="001E50CF">
              <w:trPr>
                <w:trHeight w:val="340"/>
                <w:jc w:val="center"/>
              </w:trPr>
              <w:tc>
                <w:tcPr>
                  <w:tcW w:w="2268" w:type="dxa"/>
                  <w:tcBorders>
                    <w:top w:val="nil"/>
                    <w:bottom w:val="nil"/>
                  </w:tcBorders>
                  <w:vAlign w:val="center"/>
                </w:tcPr>
                <w:p w14:paraId="2E87936F"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ρ</m:t>
                          </m:r>
                        </m:e>
                        <m:sub>
                          <m:r>
                            <m:rPr>
                              <m:nor/>
                            </m:rPr>
                            <w:rPr>
                              <w:rFonts w:cs="Arial"/>
                              <w:color w:val="000000"/>
                            </w:rPr>
                            <m:t>≥45y</m:t>
                          </m:r>
                        </m:sub>
                      </m:sSub>
                    </m:oMath>
                  </m:oMathPara>
                </w:p>
              </w:tc>
              <w:tc>
                <w:tcPr>
                  <w:tcW w:w="3150" w:type="dxa"/>
                  <w:tcBorders>
                    <w:top w:val="nil"/>
                    <w:bottom w:val="nil"/>
                  </w:tcBorders>
                  <w:vAlign w:val="center"/>
                </w:tcPr>
                <w:p w14:paraId="222FC365" w14:textId="77777777" w:rsidR="005A27AF" w:rsidRPr="00D618F2" w:rsidRDefault="005A27AF" w:rsidP="008D2827">
                  <w:pPr>
                    <w:jc w:val="center"/>
                    <w:rPr>
                      <w:rFonts w:cs="Arial"/>
                    </w:rPr>
                  </w:pPr>
                  <w:r w:rsidRPr="00D618F2">
                    <w:rPr>
                      <w:rFonts w:cs="Arial"/>
                      <w:color w:val="000000"/>
                    </w:rPr>
                    <w:t>-12.74 [-12.83; -12.65]</w:t>
                  </w:r>
                </w:p>
              </w:tc>
            </w:tr>
            <w:tr w:rsidR="005A27AF" w:rsidRPr="00D618F2" w14:paraId="3DADF588" w14:textId="77777777" w:rsidTr="001E50CF">
              <w:trPr>
                <w:trHeight w:val="340"/>
                <w:jc w:val="center"/>
              </w:trPr>
              <w:tc>
                <w:tcPr>
                  <w:tcW w:w="2268" w:type="dxa"/>
                  <w:tcBorders>
                    <w:top w:val="nil"/>
                    <w:bottom w:val="nil"/>
                  </w:tcBorders>
                  <w:vAlign w:val="center"/>
                </w:tcPr>
                <w:p w14:paraId="31DA8936" w14:textId="77777777" w:rsidR="005A27AF" w:rsidRPr="00D618F2" w:rsidRDefault="00CB635E" w:rsidP="008D2827">
                  <w:pPr>
                    <w:jc w:val="center"/>
                    <w:rPr>
                      <w:rFonts w:cs="Arial"/>
                    </w:rPr>
                  </w:pPr>
                  <m:oMathPara>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1</m:t>
                          </m:r>
                        </m:sub>
                      </m:sSub>
                    </m:oMath>
                  </m:oMathPara>
                </w:p>
              </w:tc>
              <w:tc>
                <w:tcPr>
                  <w:tcW w:w="3150" w:type="dxa"/>
                  <w:tcBorders>
                    <w:top w:val="nil"/>
                    <w:bottom w:val="nil"/>
                  </w:tcBorders>
                  <w:vAlign w:val="center"/>
                </w:tcPr>
                <w:p w14:paraId="27CEA573" w14:textId="77777777" w:rsidR="005A27AF" w:rsidRPr="00D618F2" w:rsidRDefault="005A27AF" w:rsidP="008D2827">
                  <w:pPr>
                    <w:jc w:val="center"/>
                    <w:rPr>
                      <w:rFonts w:cs="Arial"/>
                    </w:rPr>
                  </w:pPr>
                  <w:r w:rsidRPr="00D618F2">
                    <w:rPr>
                      <w:rFonts w:cs="Arial"/>
                      <w:color w:val="000000"/>
                    </w:rPr>
                    <w:t>-0.409 [-0.687; -0.132]</w:t>
                  </w:r>
                </w:p>
              </w:tc>
            </w:tr>
            <w:tr w:rsidR="005A27AF" w:rsidRPr="00D618F2" w14:paraId="6C015E74" w14:textId="77777777" w:rsidTr="001E50CF">
              <w:trPr>
                <w:trHeight w:val="340"/>
                <w:jc w:val="center"/>
              </w:trPr>
              <w:tc>
                <w:tcPr>
                  <w:tcW w:w="2268" w:type="dxa"/>
                  <w:tcBorders>
                    <w:top w:val="nil"/>
                    <w:bottom w:val="nil"/>
                  </w:tcBorders>
                  <w:vAlign w:val="center"/>
                </w:tcPr>
                <w:p w14:paraId="55B14A8E"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2</m:t>
                          </m:r>
                        </m:sub>
                      </m:sSub>
                    </m:oMath>
                  </m:oMathPara>
                </w:p>
              </w:tc>
              <w:tc>
                <w:tcPr>
                  <w:tcW w:w="3150" w:type="dxa"/>
                  <w:tcBorders>
                    <w:top w:val="nil"/>
                    <w:bottom w:val="nil"/>
                  </w:tcBorders>
                  <w:vAlign w:val="center"/>
                </w:tcPr>
                <w:p w14:paraId="0D8615DC" w14:textId="77777777" w:rsidR="005A27AF" w:rsidRPr="00D618F2" w:rsidRDefault="005A27AF" w:rsidP="008D2827">
                  <w:pPr>
                    <w:jc w:val="center"/>
                    <w:rPr>
                      <w:rFonts w:cs="Arial"/>
                    </w:rPr>
                  </w:pPr>
                  <w:r w:rsidRPr="00D618F2">
                    <w:rPr>
                      <w:rFonts w:cs="Arial"/>
                      <w:color w:val="000000"/>
                    </w:rPr>
                    <w:t>-1.549 [-1.861; -1.257]</w:t>
                  </w:r>
                </w:p>
              </w:tc>
            </w:tr>
            <w:tr w:rsidR="005A27AF" w:rsidRPr="00D618F2" w14:paraId="50CFCA54" w14:textId="77777777" w:rsidTr="001E50CF">
              <w:trPr>
                <w:trHeight w:val="340"/>
                <w:jc w:val="center"/>
              </w:trPr>
              <w:tc>
                <w:tcPr>
                  <w:tcW w:w="2268" w:type="dxa"/>
                  <w:tcBorders>
                    <w:top w:val="nil"/>
                    <w:bottom w:val="nil"/>
                  </w:tcBorders>
                  <w:vAlign w:val="center"/>
                </w:tcPr>
                <w:p w14:paraId="0B917790" w14:textId="77777777" w:rsidR="005A27AF" w:rsidRPr="00D618F2" w:rsidRDefault="00CB635E" w:rsidP="008D2827">
                  <w:pPr>
                    <w:jc w:val="center"/>
                    <w:rPr>
                      <w:rFonts w:eastAsia="Calibri" w:cs="Arial"/>
                    </w:rPr>
                  </w:pPr>
                  <m:oMathPara>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3</m:t>
                          </m:r>
                        </m:sub>
                      </m:sSub>
                    </m:oMath>
                  </m:oMathPara>
                </w:p>
              </w:tc>
              <w:tc>
                <w:tcPr>
                  <w:tcW w:w="3150" w:type="dxa"/>
                  <w:tcBorders>
                    <w:top w:val="nil"/>
                    <w:bottom w:val="nil"/>
                  </w:tcBorders>
                  <w:vAlign w:val="center"/>
                </w:tcPr>
                <w:p w14:paraId="66A486AF" w14:textId="77777777" w:rsidR="005A27AF" w:rsidRPr="00D618F2" w:rsidRDefault="005A27AF" w:rsidP="008D2827">
                  <w:pPr>
                    <w:jc w:val="center"/>
                    <w:rPr>
                      <w:rFonts w:cs="Arial"/>
                    </w:rPr>
                  </w:pPr>
                  <w:r w:rsidRPr="00D618F2">
                    <w:rPr>
                      <w:rFonts w:cs="Arial"/>
                      <w:color w:val="000000"/>
                    </w:rPr>
                    <w:t>-1.616 [-2.020; -1.214]</w:t>
                  </w:r>
                </w:p>
              </w:tc>
            </w:tr>
            <w:tr w:rsidR="005A27AF" w:rsidRPr="00D618F2" w14:paraId="242E1ACD" w14:textId="77777777" w:rsidTr="00123D46">
              <w:trPr>
                <w:trHeight w:val="340"/>
                <w:jc w:val="center"/>
              </w:trPr>
              <w:tc>
                <w:tcPr>
                  <w:tcW w:w="2268" w:type="dxa"/>
                  <w:tcBorders>
                    <w:top w:val="nil"/>
                    <w:bottom w:val="single" w:sz="4" w:space="0" w:color="auto"/>
                  </w:tcBorders>
                  <w:vAlign w:val="center"/>
                </w:tcPr>
                <w:p w14:paraId="4E91E1CA" w14:textId="77777777" w:rsidR="005A27AF" w:rsidRPr="00D618F2" w:rsidRDefault="00CB635E" w:rsidP="008D2827">
                  <w:pPr>
                    <w:jc w:val="center"/>
                    <w:rPr>
                      <w:rFonts w:cs="Arial"/>
                    </w:rPr>
                  </w:pPr>
                  <m:oMathPara>
                    <m:oMath>
                      <m:sSub>
                        <m:sSubPr>
                          <m:ctrlPr>
                            <w:rPr>
                              <w:rFonts w:ascii="Cambria Math" w:eastAsiaTheme="minorEastAsia" w:hAnsi="Cambria Math" w:cs="Arial"/>
                              <w:i/>
                            </w:rPr>
                          </m:ctrlPr>
                        </m:sSubPr>
                        <m:e>
                          <m:r>
                            <w:rPr>
                              <w:rFonts w:ascii="Cambria Math" w:eastAsiaTheme="minorEastAsia" w:hAnsi="Cambria Math" w:cs="Arial"/>
                            </w:rPr>
                            <m:t>σ</m:t>
                          </m:r>
                        </m:e>
                        <m:sub>
                          <m:r>
                            <w:rPr>
                              <w:rFonts w:ascii="Cambria Math" w:eastAsiaTheme="minorEastAsia" w:hAnsi="Cambria Math" w:cs="Arial"/>
                            </w:rPr>
                            <m:t>β</m:t>
                          </m:r>
                        </m:sub>
                      </m:sSub>
                    </m:oMath>
                  </m:oMathPara>
                </w:p>
              </w:tc>
              <w:tc>
                <w:tcPr>
                  <w:tcW w:w="3150" w:type="dxa"/>
                  <w:tcBorders>
                    <w:top w:val="nil"/>
                    <w:bottom w:val="single" w:sz="4" w:space="0" w:color="auto"/>
                  </w:tcBorders>
                  <w:vAlign w:val="center"/>
                </w:tcPr>
                <w:p w14:paraId="4D8FE417" w14:textId="77777777" w:rsidR="005A27AF" w:rsidRPr="00D618F2" w:rsidRDefault="005A27AF" w:rsidP="008D2827">
                  <w:pPr>
                    <w:jc w:val="center"/>
                    <w:rPr>
                      <w:rFonts w:cs="Arial"/>
                    </w:rPr>
                  </w:pPr>
                  <w:r w:rsidRPr="00D618F2">
                    <w:rPr>
                      <w:rFonts w:cs="Arial"/>
                      <w:color w:val="000000"/>
                    </w:rPr>
                    <w:t>0.151 [0.063; 0.266]</w:t>
                  </w:r>
                </w:p>
              </w:tc>
            </w:tr>
          </w:tbl>
          <w:p w14:paraId="7C6D2517" w14:textId="77777777" w:rsidR="005A27AF" w:rsidRPr="00D618F2" w:rsidRDefault="005A27AF" w:rsidP="008D2827">
            <w:pPr>
              <w:spacing w:after="120"/>
              <w:rPr>
                <w:rFonts w:eastAsiaTheme="minorEastAsia" w:cs="Arial"/>
              </w:rPr>
            </w:pPr>
          </w:p>
        </w:tc>
      </w:tr>
      <w:tr w:rsidR="005A27AF" w:rsidRPr="00D618F2" w14:paraId="30AE1C6E" w14:textId="77777777" w:rsidTr="001E50CF">
        <w:tc>
          <w:tcPr>
            <w:tcW w:w="9622" w:type="dxa"/>
          </w:tcPr>
          <w:p w14:paraId="3E6480CD" w14:textId="233C427D" w:rsidR="005A27AF" w:rsidRPr="00D618F2" w:rsidRDefault="005A27AF" w:rsidP="008D2827">
            <w:pPr>
              <w:spacing w:after="120"/>
              <w:rPr>
                <w:rFonts w:eastAsiaTheme="minorEastAsia" w:cs="Arial"/>
                <w:i/>
                <w:iCs/>
              </w:rPr>
            </w:pPr>
            <w:r w:rsidRPr="00D618F2">
              <w:rPr>
                <w:rFonts w:cs="Arial"/>
                <w:bCs/>
                <w:i/>
                <w:iCs/>
              </w:rPr>
              <w:t>The model and its parameters</w:t>
            </w:r>
            <m:oMath>
              <m:r>
                <w:rPr>
                  <w:rFonts w:ascii="Cambria Math" w:eastAsiaTheme="minorEastAsia" w:hAnsi="Cambria Math" w:cs="Arial"/>
                </w:rPr>
                <m:t xml:space="preserve"> ρ</m:t>
              </m:r>
              <m:r>
                <m:rPr>
                  <m:nor/>
                </m:rPr>
                <w:rPr>
                  <w:rFonts w:ascii="Cambria Math" w:hAnsi="Cambria Math"/>
                  <w:i/>
                  <w:iCs/>
                </w:rPr>
                <m:t>,</m:t>
              </m:r>
              <m:r>
                <w:rPr>
                  <w:rFonts w:ascii="Cambria Math" w:eastAsiaTheme="minorEastAsia" w:hAnsi="Cambria Math" w:cs="Arial"/>
                </w:rPr>
                <m:t xml:space="preserve"> θ</m:t>
              </m:r>
              <m:r>
                <m:rPr>
                  <m:nor/>
                </m:rPr>
                <w:rPr>
                  <w:rFonts w:ascii="Cambria Math" w:eastAsiaTheme="minorEastAsia" w:hAnsi="Cambria Math" w:cs="Arial"/>
                  <w:i/>
                  <w:iCs/>
                </w:rPr>
                <m:t>,</m:t>
              </m:r>
              <m:r>
                <w:rPr>
                  <w:rFonts w:ascii="Cambria Math" w:eastAsiaTheme="minorEastAsia" w:hAnsi="Cambria Math" w:cs="Arial"/>
                </w:rPr>
                <m:t xml:space="preserve"> </m:t>
              </m:r>
              <m:sSub>
                <m:sSubPr>
                  <m:ctrlPr>
                    <w:rPr>
                      <w:rFonts w:ascii="Cambria Math" w:eastAsiaTheme="minorEastAsia" w:hAnsi="Cambria Math" w:cs="Arial"/>
                      <w:i/>
                      <w:iCs/>
                    </w:rPr>
                  </m:ctrlPr>
                </m:sSubPr>
                <m:e>
                  <m:r>
                    <w:rPr>
                      <w:rFonts w:ascii="Cambria Math" w:eastAsiaTheme="minorEastAsia" w:hAnsi="Cambria Math" w:cs="Arial"/>
                    </w:rPr>
                    <m:t>σ</m:t>
                  </m:r>
                </m:e>
                <m:sub>
                  <m:r>
                    <w:rPr>
                      <w:rFonts w:ascii="Cambria Math" w:eastAsiaTheme="minorEastAsia" w:hAnsi="Cambria Math" w:cs="Arial"/>
                    </w:rPr>
                    <m:t>β</m:t>
                  </m:r>
                </m:sub>
              </m:sSub>
            </m:oMath>
            <w:r w:rsidRPr="00D618F2">
              <w:rPr>
                <w:rFonts w:eastAsiaTheme="minorEastAsia" w:cs="Arial"/>
                <w:i/>
                <w:iCs/>
              </w:rPr>
              <w:t xml:space="preserve"> are defined in the main manuscript (methods section).</w:t>
            </w:r>
            <w:r w:rsidR="00BE025A" w:rsidRPr="00D618F2">
              <w:rPr>
                <w:rFonts w:eastAsiaTheme="minorEastAsia" w:cs="Arial"/>
                <w:i/>
                <w:iCs/>
              </w:rPr>
              <w:t xml:space="preserve"> </w:t>
            </w:r>
            <w:r w:rsidR="00BE025A" w:rsidRPr="00D618F2">
              <w:rPr>
                <w:rFonts w:cs="Arial"/>
                <w:bCs/>
                <w:i/>
                <w:iCs/>
              </w:rPr>
              <w:t>BCI: Bayesian credible intervals; m: months; y: years.</w:t>
            </w:r>
          </w:p>
        </w:tc>
      </w:tr>
    </w:tbl>
    <w:p w14:paraId="3A45E440" w14:textId="77777777" w:rsidR="00E66059" w:rsidRPr="00D618F2" w:rsidRDefault="00E66059">
      <w:r w:rsidRPr="00D618F2">
        <w:br w:type="page"/>
      </w:r>
    </w:p>
    <w:p w14:paraId="1CB34489" w14:textId="0F9575B1" w:rsidR="00E66059" w:rsidRPr="00D618F2" w:rsidRDefault="009E3781" w:rsidP="000C33AC">
      <w:pPr>
        <w:pStyle w:val="Heading1"/>
        <w:numPr>
          <w:ilvl w:val="0"/>
          <w:numId w:val="0"/>
        </w:numPr>
        <w:ind w:left="432" w:hanging="432"/>
      </w:pPr>
      <w:r w:rsidRPr="00D618F2">
        <w:lastRenderedPageBreak/>
        <w:t>S5 M</w:t>
      </w:r>
      <w:r w:rsidR="00E66059" w:rsidRPr="00D618F2">
        <w:t>odel’s predictions</w:t>
      </w:r>
    </w:p>
    <w:p w14:paraId="5D2873FF" w14:textId="59CF8A74" w:rsidR="007D3217" w:rsidRPr="00D618F2" w:rsidRDefault="00BE025A" w:rsidP="008D2827">
      <w:pPr>
        <w:spacing w:after="120"/>
        <w:rPr>
          <w:rFonts w:eastAsiaTheme="minorEastAsia" w:cs="Arial"/>
        </w:rPr>
      </w:pPr>
      <w:r w:rsidRPr="00D618F2">
        <w:rPr>
          <w:rFonts w:eastAsiaTheme="minorEastAsia" w:cs="Arial"/>
        </w:rPr>
        <w:t>We sampled from posterior distributions (100,000 iterations) t</w:t>
      </w:r>
      <w:r w:rsidR="007D3217" w:rsidRPr="00D618F2">
        <w:rPr>
          <w:rFonts w:eastAsiaTheme="minorEastAsia" w:cs="Arial"/>
        </w:rPr>
        <w:t xml:space="preserve">o generate </w:t>
      </w:r>
      <w:r w:rsidR="00EB3BB8" w:rsidRPr="00D618F2">
        <w:rPr>
          <w:rFonts w:eastAsiaTheme="minorEastAsia" w:cs="Arial"/>
        </w:rPr>
        <w:t xml:space="preserve">posterior </w:t>
      </w:r>
      <w:r w:rsidR="007D3217" w:rsidRPr="00D618F2">
        <w:rPr>
          <w:rFonts w:eastAsiaTheme="minorEastAsia" w:cs="Arial"/>
        </w:rPr>
        <w:t>p</w:t>
      </w:r>
      <w:r w:rsidR="00AF1994" w:rsidRPr="00D618F2">
        <w:rPr>
          <w:rFonts w:eastAsiaTheme="minorEastAsia" w:cs="Arial"/>
        </w:rPr>
        <w:t xml:space="preserve">redictive distributions </w:t>
      </w:r>
      <w:r w:rsidR="007D3217" w:rsidRPr="00D618F2">
        <w:rPr>
          <w:rFonts w:eastAsiaTheme="minorEastAsia" w:cs="Arial"/>
        </w:rPr>
        <w:t>for</w:t>
      </w:r>
      <w:r w:rsidR="00AF1994" w:rsidRPr="00D618F2">
        <w:rPr>
          <w:rFonts w:eastAsiaTheme="minorEastAsia" w:cs="Arial"/>
        </w:rPr>
        <w:t xml:space="preserve"> </w:t>
      </w:r>
      <w:r w:rsidR="00597A37">
        <w:rPr>
          <w:rFonts w:eastAsiaTheme="minorEastAsia" w:cs="Arial"/>
        </w:rPr>
        <w:t xml:space="preserve">the </w:t>
      </w:r>
      <w:r w:rsidR="007D3217" w:rsidRPr="00D618F2">
        <w:rPr>
          <w:rFonts w:eastAsiaTheme="minorEastAsia" w:cs="Arial"/>
        </w:rPr>
        <w:t xml:space="preserve">model’s </w:t>
      </w:r>
      <w:r w:rsidRPr="00D618F2">
        <w:rPr>
          <w:rFonts w:eastAsiaTheme="minorEastAsia" w:cs="Arial"/>
        </w:rPr>
        <w:t>best</w:t>
      </w:r>
      <w:r w:rsidR="00450489">
        <w:rPr>
          <w:rFonts w:eastAsiaTheme="minorEastAsia" w:cs="Arial"/>
        </w:rPr>
        <w:t xml:space="preserve"> </w:t>
      </w:r>
      <w:r w:rsidRPr="00D618F2">
        <w:rPr>
          <w:rFonts w:eastAsiaTheme="minorEastAsia" w:cs="Arial"/>
        </w:rPr>
        <w:t xml:space="preserve">fitting </w:t>
      </w:r>
      <w:r w:rsidR="007D3217" w:rsidRPr="00D618F2">
        <w:rPr>
          <w:rFonts w:eastAsiaTheme="minorEastAsia" w:cs="Arial"/>
        </w:rPr>
        <w:t xml:space="preserve">parameters and </w:t>
      </w:r>
      <w:r w:rsidR="00AF1994" w:rsidRPr="00D618F2">
        <w:rPr>
          <w:rFonts w:eastAsiaTheme="minorEastAsia" w:cs="Arial"/>
        </w:rPr>
        <w:t xml:space="preserve">expected cases. </w:t>
      </w:r>
    </w:p>
    <w:p w14:paraId="2574B13F" w14:textId="7C6DCF8D" w:rsidR="007D3217" w:rsidRPr="00D618F2" w:rsidRDefault="007D3217" w:rsidP="0027299B">
      <w:pPr>
        <w:spacing w:after="120"/>
        <w:ind w:firstLine="720"/>
        <w:rPr>
          <w:rFonts w:eastAsiaTheme="minorEastAsia" w:cs="Arial"/>
        </w:rPr>
      </w:pPr>
      <w:r w:rsidRPr="00D618F2">
        <w:rPr>
          <w:rFonts w:eastAsiaTheme="minorEastAsia" w:cs="Arial"/>
        </w:rPr>
        <w:t>Parameter</w:t>
      </w:r>
      <w:r w:rsidR="00EB3BB8" w:rsidRPr="00D618F2">
        <w:rPr>
          <w:rFonts w:eastAsiaTheme="minorEastAsia" w:cs="Arial"/>
        </w:rPr>
        <w:t>s</w:t>
      </w:r>
      <w:r w:rsidRPr="00D618F2">
        <w:rPr>
          <w:rFonts w:eastAsiaTheme="minorEastAsia" w:cs="Arial"/>
        </w:rPr>
        <w:t xml:space="preserve">’ </w:t>
      </w:r>
      <w:r w:rsidR="00F32D95" w:rsidRPr="00D618F2">
        <w:rPr>
          <w:rFonts w:eastAsiaTheme="minorEastAsia" w:cs="Arial"/>
        </w:rPr>
        <w:t xml:space="preserve">posterior </w:t>
      </w:r>
      <w:r w:rsidRPr="00D618F2">
        <w:rPr>
          <w:rFonts w:eastAsiaTheme="minorEastAsia" w:cs="Arial"/>
        </w:rPr>
        <w:t xml:space="preserve">predictive </w:t>
      </w:r>
      <w:r w:rsidR="00F32D95" w:rsidRPr="00D618F2">
        <w:rPr>
          <w:rFonts w:eastAsiaTheme="minorEastAsia" w:cs="Arial"/>
        </w:rPr>
        <w:t>distribution</w:t>
      </w:r>
      <w:r w:rsidRPr="00D618F2">
        <w:rPr>
          <w:rFonts w:eastAsiaTheme="minorEastAsia" w:cs="Arial"/>
        </w:rPr>
        <w:t xml:space="preserve">s were used to calculate P values. For example, the probability that the </w:t>
      </w:r>
      <w:r w:rsidR="00F32D95" w:rsidRPr="00D618F2">
        <w:rPr>
          <w:rFonts w:eastAsiaTheme="minorEastAsia" w:cs="Arial"/>
        </w:rPr>
        <w:t>VE</w:t>
      </w:r>
      <w:r w:rsidRPr="00D618F2">
        <w:rPr>
          <w:rFonts w:eastAsiaTheme="minorEastAsia" w:cs="Arial"/>
        </w:rPr>
        <w:t xml:space="preserve"> </w:t>
      </w:r>
      <w:r w:rsidR="000E170B" w:rsidRPr="00D618F2">
        <w:rPr>
          <w:rFonts w:eastAsiaTheme="minorEastAsia" w:cs="Arial"/>
        </w:rPr>
        <w:t xml:space="preserve">after one dose </w:t>
      </w:r>
      <w:r w:rsidRPr="00D618F2">
        <w:rPr>
          <w:rFonts w:eastAsiaTheme="minorEastAsia" w:cs="Arial"/>
        </w:rPr>
        <w:t xml:space="preserve">is not higher than zero was calculated </w:t>
      </w:r>
      <w:r w:rsidR="00AB6578" w:rsidRPr="00D618F2">
        <w:rPr>
          <w:rFonts w:eastAsiaTheme="minorEastAsia" w:cs="Arial"/>
        </w:rPr>
        <w:t xml:space="preserve">as </w:t>
      </w:r>
      <w:r w:rsidRPr="00D618F2">
        <w:rPr>
          <w:rFonts w:eastAsiaTheme="minorEastAsia" w:cs="Arial"/>
        </w:rPr>
        <w:t xml:space="preserve">the fraction of samples for which </w:t>
      </w:r>
      <m:oMath>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1</m:t>
            </m:r>
          </m:sub>
        </m:sSub>
        <m:r>
          <w:rPr>
            <w:rFonts w:ascii="Cambria Math" w:eastAsiaTheme="minorEastAsia" w:hAnsi="Cambria Math" w:cs="Arial"/>
          </w:rPr>
          <m:t>≥0</m:t>
        </m:r>
      </m:oMath>
      <w:r w:rsidR="00AB6578" w:rsidRPr="00D618F2">
        <w:rPr>
          <w:rFonts w:eastAsiaTheme="minorEastAsia" w:cs="Arial"/>
        </w:rPr>
        <w:t xml:space="preserve"> (i.e.</w:t>
      </w:r>
      <w:r w:rsidR="00543303" w:rsidRPr="00D618F2">
        <w:rPr>
          <w:rFonts w:eastAsiaTheme="minorEastAsia" w:cs="Arial"/>
        </w:rPr>
        <w:t>,</w:t>
      </w:r>
      <w:r w:rsidR="00AB6578" w:rsidRPr="00D618F2">
        <w:rPr>
          <w:rFonts w:eastAsiaTheme="minorEastAsia" w:cs="Arial"/>
        </w:rPr>
        <w:t xml:space="preserve"> for which </w:t>
      </w:r>
      <m:oMath>
        <m:sSub>
          <m:sSubPr>
            <m:ctrlPr>
              <w:rPr>
                <w:rFonts w:ascii="Cambria Math" w:eastAsiaTheme="minorEastAsia" w:hAnsi="Cambria Math" w:cs="Arial"/>
                <w:i/>
              </w:rPr>
            </m:ctrlPr>
          </m:sSubPr>
          <m:e>
            <m:r>
              <w:rPr>
                <w:rFonts w:ascii="Cambria Math" w:eastAsiaTheme="minorEastAsia" w:hAnsi="Cambria Math" w:cs="Arial"/>
              </w:rPr>
              <m:t>VE</m:t>
            </m:r>
          </m:e>
          <m:sub>
            <m:r>
              <w:rPr>
                <w:rFonts w:ascii="Cambria Math" w:eastAsiaTheme="minorEastAsia" w:hAnsi="Cambria Math" w:cs="Arial"/>
              </w:rPr>
              <m:t>1</m:t>
            </m:r>
          </m:sub>
        </m:sSub>
        <m:r>
          <w:rPr>
            <w:rFonts w:ascii="Cambria Math" w:eastAsiaTheme="minorEastAsia" w:hAnsi="Cambria Math" w:cs="Arial"/>
          </w:rPr>
          <m:t>≤0</m:t>
        </m:r>
      </m:oMath>
      <w:r w:rsidR="00AB6578" w:rsidRPr="00D618F2">
        <w:rPr>
          <w:rFonts w:eastAsiaTheme="minorEastAsia" w:cs="Arial"/>
        </w:rPr>
        <w:t xml:space="preserve">, according to equation </w:t>
      </w:r>
      <w:r w:rsidR="00846F17" w:rsidRPr="00D618F2">
        <w:rPr>
          <w:rFonts w:eastAsiaTheme="minorEastAsia" w:cs="Arial"/>
        </w:rPr>
        <w:t>3</w:t>
      </w:r>
      <w:r w:rsidR="00AB6578" w:rsidRPr="00D618F2">
        <w:rPr>
          <w:rFonts w:eastAsiaTheme="minorEastAsia" w:cs="Arial"/>
        </w:rPr>
        <w:t xml:space="preserve"> of the main text).</w:t>
      </w:r>
      <w:r w:rsidR="001235F1" w:rsidRPr="00D618F2">
        <w:rPr>
          <w:rFonts w:eastAsiaTheme="minorEastAsia" w:cs="Arial"/>
        </w:rPr>
        <w:t xml:space="preserve"> </w:t>
      </w:r>
    </w:p>
    <w:p w14:paraId="14F8D8C8" w14:textId="09FF6434" w:rsidR="005A27AF" w:rsidRPr="00D618F2" w:rsidRDefault="007D3217" w:rsidP="0027299B">
      <w:pPr>
        <w:spacing w:after="120"/>
        <w:ind w:firstLine="720"/>
        <w:rPr>
          <w:rFonts w:eastAsiaTheme="minorEastAsia" w:cs="Arial"/>
        </w:rPr>
      </w:pPr>
      <w:r w:rsidRPr="00D618F2">
        <w:rPr>
          <w:rFonts w:eastAsiaTheme="minorEastAsia" w:cs="Arial"/>
        </w:rPr>
        <w:t>P</w:t>
      </w:r>
      <w:r w:rsidR="00AF1994" w:rsidRPr="00D618F2">
        <w:rPr>
          <w:rFonts w:eastAsiaTheme="minorEastAsia" w:cs="Arial"/>
        </w:rPr>
        <w:t xml:space="preserve">redictions </w:t>
      </w:r>
      <w:r w:rsidRPr="00D618F2">
        <w:rPr>
          <w:rFonts w:eastAsiaTheme="minorEastAsia" w:cs="Arial"/>
        </w:rPr>
        <w:t xml:space="preserve">of the number of </w:t>
      </w:r>
      <w:r w:rsidR="00BE025A" w:rsidRPr="00D618F2">
        <w:rPr>
          <w:rFonts w:eastAsiaTheme="minorEastAsia" w:cs="Arial"/>
        </w:rPr>
        <w:t xml:space="preserve">expected </w:t>
      </w:r>
      <w:r w:rsidRPr="00D618F2">
        <w:rPr>
          <w:rFonts w:eastAsiaTheme="minorEastAsia" w:cs="Arial"/>
        </w:rPr>
        <w:t>cases for</w:t>
      </w:r>
      <w:r w:rsidR="00AF1994" w:rsidRPr="00D618F2">
        <w:rPr>
          <w:rFonts w:eastAsiaTheme="minorEastAsia" w:cs="Arial"/>
        </w:rPr>
        <w:t xml:space="preserve"> the no-vaccination scenario</w:t>
      </w:r>
      <w:r w:rsidR="00BE025A" w:rsidRPr="00D618F2">
        <w:rPr>
          <w:rFonts w:eastAsiaTheme="minorEastAsia" w:cs="Arial"/>
        </w:rPr>
        <w:t xml:space="preserve"> (the counterfactual,</w:t>
      </w:r>
      <w:r w:rsidRPr="00D618F2">
        <w:rPr>
          <w:rFonts w:eastAsiaTheme="minorEastAsia" w:cs="Arial"/>
        </w:rPr>
        <w:t xml:space="preserve"> namely </w:t>
      </w:r>
      <m:oMath>
        <m:r>
          <w:rPr>
            <w:rFonts w:ascii="Cambria Math" w:eastAsiaTheme="minorEastAsia" w:hAnsi="Cambria Math" w:cs="Arial"/>
          </w:rPr>
          <m:t>Z</m:t>
        </m:r>
      </m:oMath>
      <w:r w:rsidR="00BE025A" w:rsidRPr="00D618F2">
        <w:rPr>
          <w:rFonts w:eastAsiaTheme="minorEastAsia" w:cs="Arial"/>
        </w:rPr>
        <w:t>)</w:t>
      </w:r>
      <w:r w:rsidR="00AF1994" w:rsidRPr="00D618F2">
        <w:rPr>
          <w:rFonts w:eastAsiaTheme="minorEastAsia" w:cs="Arial"/>
        </w:rPr>
        <w:t xml:space="preserve"> were sampled in the same manner</w:t>
      </w:r>
      <w:r w:rsidRPr="00D618F2">
        <w:rPr>
          <w:rFonts w:eastAsiaTheme="minorEastAsia" w:cs="Arial"/>
        </w:rPr>
        <w:t xml:space="preserve"> </w:t>
      </w:r>
      <w:r w:rsidR="002F5121">
        <w:rPr>
          <w:rFonts w:eastAsiaTheme="minorEastAsia" w:cs="Arial"/>
        </w:rPr>
        <w:t>as</w:t>
      </w:r>
      <w:r w:rsidR="002F5121" w:rsidRPr="00D618F2">
        <w:rPr>
          <w:rFonts w:eastAsiaTheme="minorEastAsia" w:cs="Arial"/>
        </w:rPr>
        <w:t xml:space="preserve"> </w:t>
      </w:r>
      <w:r w:rsidRPr="00D618F2">
        <w:rPr>
          <w:rFonts w:eastAsiaTheme="minorEastAsia" w:cs="Arial"/>
        </w:rPr>
        <w:t xml:space="preserve">the expected cases </w:t>
      </w:r>
      <m:oMath>
        <m:r>
          <w:rPr>
            <w:rFonts w:ascii="Cambria Math" w:eastAsiaTheme="minorEastAsia" w:hAnsi="Cambria Math" w:cs="Arial"/>
          </w:rPr>
          <m:t>Y</m:t>
        </m:r>
      </m:oMath>
      <w:r w:rsidR="00AF1994" w:rsidRPr="00D618F2">
        <w:rPr>
          <w:rFonts w:eastAsiaTheme="minorEastAsia" w:cs="Arial"/>
        </w:rPr>
        <w:t xml:space="preserve">, except that all the effectiveness parameters were fixed to zero. </w:t>
      </w:r>
      <w:r w:rsidR="008F56A0" w:rsidRPr="00D618F2">
        <w:rPr>
          <w:rFonts w:eastAsiaTheme="minorEastAsia" w:cs="Arial"/>
        </w:rPr>
        <w:t>D</w:t>
      </w:r>
      <w:r w:rsidR="00AF1994" w:rsidRPr="00D618F2">
        <w:rPr>
          <w:rFonts w:eastAsiaTheme="minorEastAsia" w:cs="Arial"/>
        </w:rPr>
        <w:t xml:space="preserve">isease burden reduction imputable to the vaccine was calculated </w:t>
      </w:r>
      <w:r w:rsidR="0049083C">
        <w:rPr>
          <w:rFonts w:eastAsiaTheme="minorEastAsia" w:cs="Arial"/>
        </w:rPr>
        <w:t xml:space="preserve">by </w:t>
      </w:r>
      <w:r w:rsidR="00AF1994" w:rsidRPr="00D618F2">
        <w:rPr>
          <w:rFonts w:eastAsiaTheme="minorEastAsia" w:cs="Arial"/>
        </w:rPr>
        <w:t>subtracting the two predictive distributions</w:t>
      </w:r>
      <w:r w:rsidRPr="00D618F2">
        <w:rPr>
          <w:rFonts w:eastAsiaTheme="minorEastAsia" w:cs="Arial"/>
        </w:rPr>
        <w:t xml:space="preserve"> as </w:t>
      </w:r>
      <m:oMath>
        <m:r>
          <w:rPr>
            <w:rFonts w:ascii="Cambria Math" w:eastAsiaTheme="minorEastAsia" w:hAnsi="Cambria Math" w:cs="Arial"/>
          </w:rPr>
          <m:t>Z- Y</m:t>
        </m:r>
      </m:oMath>
      <w:r w:rsidR="00AF1994" w:rsidRPr="00D618F2">
        <w:rPr>
          <w:rFonts w:eastAsiaTheme="minorEastAsia" w:cs="Arial"/>
        </w:rPr>
        <w:t xml:space="preserve">. </w:t>
      </w:r>
    </w:p>
    <w:p w14:paraId="2291398F" w14:textId="7DD0FADF" w:rsidR="00DA6FC2" w:rsidRPr="00D618F2" w:rsidRDefault="005A27AF" w:rsidP="008B54EA">
      <w:pPr>
        <w:spacing w:after="120"/>
        <w:ind w:firstLine="720"/>
        <w:rPr>
          <w:rFonts w:eastAsiaTheme="minorEastAsia" w:cs="Arial"/>
        </w:rPr>
      </w:pPr>
      <w:r w:rsidRPr="00D618F2">
        <w:t xml:space="preserve">In </w:t>
      </w:r>
      <w:r w:rsidR="009E3781" w:rsidRPr="00D618F2">
        <w:t>Figure S3</w:t>
      </w:r>
      <w:r w:rsidRPr="00D618F2">
        <w:t xml:space="preserve"> we </w:t>
      </w:r>
      <w:r w:rsidR="00BE025A" w:rsidRPr="00D618F2">
        <w:t xml:space="preserve">compare observed data with </w:t>
      </w:r>
      <w:r w:rsidR="00F05537" w:rsidRPr="00D618F2">
        <w:t>expected cases</w:t>
      </w:r>
      <w:r w:rsidR="00BE025A" w:rsidRPr="00D618F2">
        <w:t xml:space="preserve">. The </w:t>
      </w:r>
      <w:r w:rsidR="00FF64E8" w:rsidRPr="00D618F2">
        <w:t>data (i.e.</w:t>
      </w:r>
      <w:r w:rsidR="00846F17" w:rsidRPr="00D618F2">
        <w:t>,</w:t>
      </w:r>
      <w:r w:rsidR="00FF64E8" w:rsidRPr="00D618F2">
        <w:t xml:space="preserve"> </w:t>
      </w:r>
      <w:r w:rsidR="00BE025A" w:rsidRPr="00D618F2">
        <w:t>disease case</w:t>
      </w:r>
      <w:r w:rsidR="00F05537" w:rsidRPr="00D618F2">
        <w:t xml:space="preserve"> counts</w:t>
      </w:r>
      <w:r w:rsidR="00FF64E8" w:rsidRPr="00D618F2">
        <w:t xml:space="preserve">, </w:t>
      </w:r>
      <w:r w:rsidR="00BE025A" w:rsidRPr="00D618F2">
        <w:t>also reported in table S1</w:t>
      </w:r>
      <w:r w:rsidR="00FF64E8" w:rsidRPr="00D618F2">
        <w:t xml:space="preserve">, shown </w:t>
      </w:r>
      <w:r w:rsidR="00C852B1" w:rsidRPr="00D618F2">
        <w:t xml:space="preserve">here </w:t>
      </w:r>
      <w:r w:rsidR="00FF64E8" w:rsidRPr="00D618F2">
        <w:t>as black points</w:t>
      </w:r>
      <w:r w:rsidR="00BE025A" w:rsidRPr="00D618F2">
        <w:t xml:space="preserve">) are stratified </w:t>
      </w:r>
      <w:r w:rsidRPr="00D618F2">
        <w:t xml:space="preserve">by age, time and number of doses received, </w:t>
      </w:r>
      <w:r w:rsidR="00F05537" w:rsidRPr="00D618F2">
        <w:t xml:space="preserve">and </w:t>
      </w:r>
      <w:r w:rsidR="00FF64E8" w:rsidRPr="00D618F2">
        <w:t xml:space="preserve">were </w:t>
      </w:r>
      <w:r w:rsidRPr="00D618F2">
        <w:t xml:space="preserve">reported in England between September 2011 and August 2018. </w:t>
      </w:r>
      <w:r w:rsidR="00874EE6" w:rsidRPr="00D618F2">
        <w:t xml:space="preserve">Blue lines represent </w:t>
      </w:r>
      <w:r w:rsidR="00FF64E8" w:rsidRPr="00D618F2">
        <w:t xml:space="preserve">expected case counts from the best fit. </w:t>
      </w:r>
      <w:r w:rsidR="00874EE6" w:rsidRPr="00D618F2">
        <w:t xml:space="preserve">Red lines represent </w:t>
      </w:r>
      <w:r w:rsidR="00FF64E8" w:rsidRPr="00D618F2">
        <w:t xml:space="preserve">expected counterfactual case counts that could have emerged </w:t>
      </w:r>
      <w:r w:rsidRPr="00D618F2">
        <w:t>if no vaccination program was implemented.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9632"/>
      </w:tblGrid>
      <w:tr w:rsidR="001F4407" w:rsidRPr="00D618F2" w14:paraId="1821FBFF" w14:textId="77777777" w:rsidTr="00D667CA">
        <w:tc>
          <w:tcPr>
            <w:tcW w:w="9622" w:type="dxa"/>
          </w:tcPr>
          <w:p w14:paraId="4876FF03" w14:textId="77997EAE" w:rsidR="001F4407" w:rsidRPr="00D618F2" w:rsidRDefault="001F4407" w:rsidP="008D2827">
            <w:pPr>
              <w:pStyle w:val="Caption"/>
              <w:keepNext/>
              <w:rPr>
                <w:color w:val="000000" w:themeColor="text1"/>
                <w:sz w:val="24"/>
                <w:szCs w:val="24"/>
              </w:rPr>
            </w:pPr>
            <w:bookmarkStart w:id="9" w:name="_Ref51341235"/>
            <w:bookmarkStart w:id="10" w:name="_Toc47892127"/>
            <w:r w:rsidRPr="00D618F2">
              <w:rPr>
                <w:color w:val="000000" w:themeColor="text1"/>
                <w:sz w:val="24"/>
                <w:szCs w:val="24"/>
              </w:rPr>
              <w:t>Figure S</w:t>
            </w:r>
            <w:r w:rsidR="009E3781" w:rsidRPr="00D618F2">
              <w:rPr>
                <w:color w:val="000000" w:themeColor="text1"/>
                <w:sz w:val="24"/>
                <w:szCs w:val="24"/>
              </w:rPr>
              <w:t>3</w:t>
            </w:r>
            <w:bookmarkEnd w:id="9"/>
            <w:r w:rsidRPr="00D618F2">
              <w:rPr>
                <w:color w:val="000000" w:themeColor="text1"/>
                <w:sz w:val="24"/>
                <w:szCs w:val="24"/>
              </w:rPr>
              <w:t>. Case data and model predictions by age, time and doses received</w:t>
            </w:r>
            <w:bookmarkEnd w:id="10"/>
          </w:p>
        </w:tc>
      </w:tr>
      <w:tr w:rsidR="001F4407" w:rsidRPr="00D618F2" w14:paraId="59773D23" w14:textId="77777777" w:rsidTr="00D667CA">
        <w:tc>
          <w:tcPr>
            <w:tcW w:w="9622" w:type="dxa"/>
            <w:vAlign w:val="center"/>
          </w:tcPr>
          <w:p w14:paraId="6ACD1A4F" w14:textId="61FF2FD8" w:rsidR="001F4407" w:rsidRPr="00D618F2" w:rsidRDefault="00B52405" w:rsidP="008D2827">
            <w:pPr>
              <w:jc w:val="center"/>
            </w:pPr>
            <w:r w:rsidRPr="008668C8">
              <w:rPr>
                <w:noProof/>
              </w:rPr>
              <w:drawing>
                <wp:inline distT="0" distB="0" distL="0" distR="0" wp14:anchorId="531FE234" wp14:editId="5ECF530A">
                  <wp:extent cx="6116320" cy="3822700"/>
                  <wp:effectExtent l="0" t="0" r="508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16320" cy="3822700"/>
                          </a:xfrm>
                          <a:prstGeom prst="rect">
                            <a:avLst/>
                          </a:prstGeom>
                        </pic:spPr>
                      </pic:pic>
                    </a:graphicData>
                  </a:graphic>
                </wp:inline>
              </w:drawing>
            </w:r>
          </w:p>
        </w:tc>
      </w:tr>
      <w:tr w:rsidR="001F4407" w:rsidRPr="00D618F2" w14:paraId="6B7F2426" w14:textId="77777777" w:rsidTr="00D667CA">
        <w:tc>
          <w:tcPr>
            <w:tcW w:w="9622" w:type="dxa"/>
          </w:tcPr>
          <w:p w14:paraId="4E714C0B" w14:textId="03CA7890" w:rsidR="001F4407" w:rsidRPr="00D618F2" w:rsidRDefault="008062E3" w:rsidP="008D2827">
            <w:pPr>
              <w:rPr>
                <w:i/>
                <w:iCs/>
              </w:rPr>
            </w:pPr>
            <w:r w:rsidRPr="00D618F2">
              <w:rPr>
                <w:rFonts w:cs="Arial"/>
                <w:i/>
                <w:iCs/>
              </w:rPr>
              <w:t xml:space="preserve">Each plot reports as black points the yearly number of observed </w:t>
            </w:r>
            <w:r w:rsidR="00FF64E8" w:rsidRPr="00D618F2">
              <w:rPr>
                <w:rFonts w:cs="Arial"/>
                <w:i/>
                <w:iCs/>
              </w:rPr>
              <w:t>serogroup B IMD</w:t>
            </w:r>
            <w:r w:rsidRPr="00D618F2">
              <w:rPr>
                <w:rFonts w:cs="Arial"/>
                <w:i/>
                <w:iCs/>
              </w:rPr>
              <w:t xml:space="preserve"> case</w:t>
            </w:r>
            <w:r w:rsidR="00FF64E8" w:rsidRPr="00D618F2">
              <w:rPr>
                <w:rFonts w:cs="Arial"/>
                <w:i/>
                <w:iCs/>
              </w:rPr>
              <w:t xml:space="preserve"> count</w:t>
            </w:r>
            <w:r w:rsidRPr="00D618F2">
              <w:rPr>
                <w:rFonts w:cs="Arial"/>
                <w:i/>
                <w:iCs/>
              </w:rPr>
              <w:t xml:space="preserve">s by age for a different year and number of doses received (from zero to three). </w:t>
            </w:r>
            <w:r w:rsidR="00FF64E8" w:rsidRPr="00D618F2">
              <w:rPr>
                <w:rFonts w:cs="Arial"/>
                <w:i/>
                <w:iCs/>
              </w:rPr>
              <w:t>Expected c</w:t>
            </w:r>
            <w:r w:rsidRPr="00D618F2">
              <w:rPr>
                <w:rFonts w:cs="Arial"/>
                <w:i/>
                <w:iCs/>
              </w:rPr>
              <w:t>ase</w:t>
            </w:r>
            <w:r w:rsidR="00FF64E8" w:rsidRPr="00D618F2">
              <w:rPr>
                <w:rFonts w:cs="Arial"/>
                <w:i/>
                <w:iCs/>
              </w:rPr>
              <w:t xml:space="preserve"> counts</w:t>
            </w:r>
            <w:r w:rsidRPr="00D618F2">
              <w:rPr>
                <w:rFonts w:cs="Arial"/>
                <w:i/>
                <w:iCs/>
              </w:rPr>
              <w:t xml:space="preserve"> </w:t>
            </w:r>
            <w:r w:rsidR="00FF64E8" w:rsidRPr="00D618F2">
              <w:rPr>
                <w:rFonts w:cs="Arial"/>
                <w:i/>
                <w:iCs/>
              </w:rPr>
              <w:t>from</w:t>
            </w:r>
            <w:r w:rsidRPr="00D618F2">
              <w:rPr>
                <w:rFonts w:cs="Arial"/>
                <w:i/>
                <w:iCs/>
              </w:rPr>
              <w:t xml:space="preserve"> </w:t>
            </w:r>
            <w:r w:rsidR="008B54EA" w:rsidRPr="00D618F2">
              <w:rPr>
                <w:rFonts w:cs="Arial"/>
                <w:i/>
                <w:iCs/>
              </w:rPr>
              <w:t>incidence model’s</w:t>
            </w:r>
            <w:r w:rsidRPr="00D618F2">
              <w:rPr>
                <w:rFonts w:cs="Arial"/>
                <w:i/>
                <w:iCs/>
              </w:rPr>
              <w:t xml:space="preserve"> best</w:t>
            </w:r>
            <w:r w:rsidR="00E13BAE">
              <w:rPr>
                <w:rFonts w:cs="Arial"/>
                <w:i/>
                <w:iCs/>
              </w:rPr>
              <w:t xml:space="preserve"> </w:t>
            </w:r>
            <w:r w:rsidRPr="00D618F2">
              <w:rPr>
                <w:rFonts w:cs="Arial"/>
                <w:i/>
                <w:iCs/>
              </w:rPr>
              <w:t xml:space="preserve">fit are shown as blue lines. </w:t>
            </w:r>
            <w:r w:rsidR="0008734B">
              <w:rPr>
                <w:rFonts w:cs="Arial"/>
                <w:i/>
                <w:iCs/>
              </w:rPr>
              <w:t>C</w:t>
            </w:r>
            <w:r w:rsidR="00FF64E8" w:rsidRPr="00D618F2">
              <w:rPr>
                <w:rFonts w:cs="Arial"/>
                <w:i/>
                <w:iCs/>
              </w:rPr>
              <w:t>ounterfactual case counts</w:t>
            </w:r>
            <w:r w:rsidR="008B54EA" w:rsidRPr="00D618F2">
              <w:rPr>
                <w:rFonts w:cs="Arial"/>
                <w:i/>
                <w:iCs/>
              </w:rPr>
              <w:t>, generated through the same model when setting all the VE parameters</w:t>
            </w:r>
            <w:r w:rsidR="00344DA4" w:rsidRPr="00D618F2">
              <w:rPr>
                <w:rFonts w:cs="Arial"/>
                <w:i/>
                <w:iCs/>
              </w:rPr>
              <w:t xml:space="preserve"> to zero</w:t>
            </w:r>
            <w:r w:rsidR="001534DE">
              <w:rPr>
                <w:rFonts w:cs="Arial"/>
                <w:i/>
                <w:iCs/>
              </w:rPr>
              <w:t>, are shown as red dashed lines</w:t>
            </w:r>
            <w:r w:rsidR="00FF64E8" w:rsidRPr="00D618F2">
              <w:rPr>
                <w:rFonts w:cs="Arial"/>
                <w:i/>
                <w:iCs/>
              </w:rPr>
              <w:t>.</w:t>
            </w:r>
            <w:r w:rsidRPr="00D618F2">
              <w:rPr>
                <w:rFonts w:cs="Arial"/>
                <w:i/>
                <w:iCs/>
              </w:rPr>
              <w:t xml:space="preserve"> The blue and red semi-transparent regions are the 95%</w:t>
            </w:r>
            <w:r w:rsidR="00344DA4">
              <w:rPr>
                <w:rFonts w:cs="Arial"/>
                <w:i/>
                <w:iCs/>
              </w:rPr>
              <w:t xml:space="preserve"> </w:t>
            </w:r>
            <w:r w:rsidRPr="00D618F2">
              <w:rPr>
                <w:rFonts w:cs="Arial"/>
                <w:i/>
                <w:iCs/>
              </w:rPr>
              <w:t xml:space="preserve">BCI of the </w:t>
            </w:r>
            <w:r w:rsidRPr="00D618F2">
              <w:rPr>
                <w:rFonts w:cs="Arial"/>
                <w:i/>
                <w:iCs/>
              </w:rPr>
              <w:lastRenderedPageBreak/>
              <w:t xml:space="preserve">corresponding curves. </w:t>
            </w:r>
            <w:r w:rsidR="008B54EA" w:rsidRPr="00D618F2">
              <w:rPr>
                <w:rFonts w:cs="Arial"/>
                <w:i/>
                <w:iCs/>
              </w:rPr>
              <w:br/>
            </w:r>
            <w:r w:rsidRPr="00D618F2">
              <w:rPr>
                <w:rFonts w:cs="Arial"/>
                <w:i/>
                <w:iCs/>
              </w:rPr>
              <w:t>B</w:t>
            </w:r>
            <w:r w:rsidRPr="00D618F2">
              <w:rPr>
                <w:rFonts w:cs="Arial"/>
                <w:i/>
                <w:iCs/>
                <w:color w:val="000000"/>
              </w:rPr>
              <w:t>CI: Bayesian credible intervals</w:t>
            </w:r>
            <w:r w:rsidR="008B54EA" w:rsidRPr="00D618F2">
              <w:rPr>
                <w:rFonts w:cs="Arial"/>
                <w:i/>
                <w:iCs/>
                <w:color w:val="000000"/>
              </w:rPr>
              <w:t xml:space="preserve">; </w:t>
            </w:r>
            <w:r w:rsidR="008B54EA" w:rsidRPr="00D618F2">
              <w:rPr>
                <w:rFonts w:cs="Arial"/>
                <w:i/>
                <w:iCs/>
              </w:rPr>
              <w:t>m: months; y: years.</w:t>
            </w:r>
          </w:p>
        </w:tc>
      </w:tr>
    </w:tbl>
    <w:p w14:paraId="2BD434E7" w14:textId="304D2021" w:rsidR="005E5DA9" w:rsidRPr="00D618F2" w:rsidRDefault="00650449" w:rsidP="004D5D26">
      <w:pPr>
        <w:pStyle w:val="Heading1"/>
        <w:numPr>
          <w:ilvl w:val="0"/>
          <w:numId w:val="0"/>
        </w:numPr>
        <w:rPr>
          <w:rFonts w:cs="Arial"/>
        </w:rPr>
      </w:pPr>
      <w:r w:rsidRPr="00D618F2">
        <w:lastRenderedPageBreak/>
        <w:t>S</w:t>
      </w:r>
      <w:r w:rsidR="004D5D26" w:rsidRPr="00D618F2">
        <w:t>6</w:t>
      </w:r>
      <w:r w:rsidRPr="00D618F2">
        <w:t xml:space="preserve"> P</w:t>
      </w:r>
      <w:r w:rsidR="00D33FD8" w:rsidRPr="00D618F2">
        <w:t xml:space="preserve">redictive </w:t>
      </w:r>
      <w:r w:rsidR="00D33FD8" w:rsidRPr="00D618F2">
        <w:rPr>
          <w:color w:val="2F5496"/>
        </w:rPr>
        <w:t>accuracy</w:t>
      </w:r>
      <w:r w:rsidR="00D33FD8" w:rsidRPr="00D618F2">
        <w:t xml:space="preserve"> of the </w:t>
      </w:r>
      <w:r w:rsidR="002353D6" w:rsidRPr="00D618F2">
        <w:t>incidence model</w:t>
      </w:r>
    </w:p>
    <w:p w14:paraId="4B09B157" w14:textId="6111B2A5" w:rsidR="005E5DA9" w:rsidRPr="008668C8" w:rsidRDefault="00D33FD8" w:rsidP="008D2827">
      <w:r w:rsidRPr="00D618F2">
        <w:rPr>
          <w:rFonts w:cs="Arial"/>
        </w:rPr>
        <w:t>We quantified the predictive accuracy</w:t>
      </w:r>
      <w:r w:rsidR="002353D6" w:rsidRPr="00D618F2">
        <w:rPr>
          <w:rFonts w:cs="Arial"/>
        </w:rPr>
        <w:t xml:space="preserve"> of </w:t>
      </w:r>
      <w:r w:rsidR="008A2FF5" w:rsidRPr="00D618F2">
        <w:rPr>
          <w:rFonts w:cs="Arial"/>
        </w:rPr>
        <w:t xml:space="preserve">the </w:t>
      </w:r>
      <w:r w:rsidR="00C93D24" w:rsidRPr="00D618F2">
        <w:rPr>
          <w:rFonts w:cs="Arial"/>
        </w:rPr>
        <w:t>best</w:t>
      </w:r>
      <w:r w:rsidR="00344DA4">
        <w:rPr>
          <w:rFonts w:cs="Arial"/>
        </w:rPr>
        <w:t xml:space="preserve"> </w:t>
      </w:r>
      <w:r w:rsidR="00C93D24" w:rsidRPr="00D618F2">
        <w:rPr>
          <w:rFonts w:cs="Arial"/>
        </w:rPr>
        <w:t xml:space="preserve">fitting </w:t>
      </w:r>
      <w:r w:rsidR="002353D6" w:rsidRPr="00D618F2">
        <w:rPr>
          <w:rFonts w:cs="Arial"/>
        </w:rPr>
        <w:t>incidence</w:t>
      </w:r>
      <w:r w:rsidR="008A2FF5" w:rsidRPr="00D618F2">
        <w:rPr>
          <w:rFonts w:cs="Arial"/>
        </w:rPr>
        <w:t xml:space="preserve"> model (equation 2 in the main text</w:t>
      </w:r>
      <w:r w:rsidR="00C93D24" w:rsidRPr="00D618F2">
        <w:rPr>
          <w:rFonts w:cs="Arial"/>
        </w:rPr>
        <w:t>, also called P1 model</w:t>
      </w:r>
      <w:r w:rsidR="008A2FF5" w:rsidRPr="00D618F2">
        <w:rPr>
          <w:rFonts w:cs="Arial"/>
        </w:rPr>
        <w:t>)</w:t>
      </w:r>
      <w:r w:rsidR="002353D6" w:rsidRPr="00D618F2">
        <w:rPr>
          <w:rFonts w:cs="Arial"/>
        </w:rPr>
        <w:t xml:space="preserve"> </w:t>
      </w:r>
      <w:r w:rsidRPr="00D618F2">
        <w:rPr>
          <w:rFonts w:cs="Arial"/>
        </w:rPr>
        <w:t xml:space="preserve">for </w:t>
      </w:r>
      <w:r w:rsidR="008A2FF5" w:rsidRPr="00D618F2">
        <w:rPr>
          <w:rFonts w:cs="Arial"/>
        </w:rPr>
        <w:t xml:space="preserve">expected </w:t>
      </w:r>
      <w:r w:rsidR="00E66059" w:rsidRPr="00D618F2">
        <w:rPr>
          <w:rFonts w:cs="Arial"/>
          <w:i/>
          <w:iCs/>
        </w:rPr>
        <w:t>vs.</w:t>
      </w:r>
      <w:r w:rsidR="00E66059" w:rsidRPr="00D618F2">
        <w:rPr>
          <w:rFonts w:cs="Arial"/>
        </w:rPr>
        <w:t xml:space="preserve"> </w:t>
      </w:r>
      <w:r w:rsidR="002353D6" w:rsidRPr="00D618F2">
        <w:rPr>
          <w:rFonts w:cs="Arial"/>
        </w:rPr>
        <w:t>observed cases</w:t>
      </w:r>
      <w:r w:rsidR="005E5DA9" w:rsidRPr="00D618F2">
        <w:rPr>
          <w:rFonts w:cs="Arial"/>
        </w:rPr>
        <w:t xml:space="preserve"> using the Bayesian R-squared</w:t>
      </w:r>
      <w:r w:rsidR="005E5DA9" w:rsidRPr="00D618F2">
        <w:rPr>
          <w:rFonts w:cs="Arial"/>
        </w:rPr>
        <w:fldChar w:fldCharType="begin" w:fldLock="1"/>
      </w:r>
      <w:r w:rsidR="00BE025A" w:rsidRPr="00D618F2">
        <w:rPr>
          <w:rFonts w:cs="Arial"/>
        </w:rPr>
        <w:instrText>ADDIN CSL_CITATION {"citationItems":[{"id":"ITEM-1","itemData":{"DOI":"10.1080/00031305.2018.1549100","ISSN":"0003-1305","author":[{"dropping-particle":"","family":"Gelman","given":"Andrew","non-dropping-particle":"","parse-names":false,"suffix":""},{"dropping-particle":"","family":"Goodrich","given":"Ben","non-dropping-particle":"","parse-names":false,"suffix":""},{"dropping-particle":"","family":"Gabry","given":"Jonah","non-dropping-particle":"","parse-names":false,"suffix":""},{"dropping-particle":"","family":"Vehtari","given":"Aki","non-dropping-particle":"","parse-names":false,"suffix":""}],"container-title":"The American Statistician","id":"ITEM-1","issue":"3","issued":{"date-parts":[["2019","7","3"]]},"page":"307-309","title":"R-squared for Bayesian Regression Models","type":"article-journal","volume":"73"},"uris":["http://www.mendeley.com/documents/?uuid=a2c6c85e-3259-486d-9742-5d3a98da82c7"]}],"mendeley":{"formattedCitation":"&lt;sup&gt;9&lt;/sup&gt;","plainTextFormattedCitation":"9","previouslyFormattedCitation":"&lt;sup&gt;9&lt;/sup&gt;"},"properties":{"noteIndex":0},"schema":"https://github.com/citation-style-language/schema/raw/master/csl-citation.json"}</w:instrText>
      </w:r>
      <w:r w:rsidR="005E5DA9" w:rsidRPr="00D618F2">
        <w:rPr>
          <w:rFonts w:cs="Arial"/>
        </w:rPr>
        <w:fldChar w:fldCharType="separate"/>
      </w:r>
      <w:r w:rsidR="00BE025A" w:rsidRPr="00D618F2">
        <w:rPr>
          <w:rFonts w:cs="Arial"/>
          <w:noProof/>
          <w:vertAlign w:val="superscript"/>
        </w:rPr>
        <w:t>9</w:t>
      </w:r>
      <w:r w:rsidR="005E5DA9" w:rsidRPr="00D618F2">
        <w:rPr>
          <w:rFonts w:cs="Arial"/>
        </w:rPr>
        <w:fldChar w:fldCharType="end"/>
      </w:r>
      <w:r w:rsidRPr="00D618F2">
        <w:rPr>
          <w:rFonts w:cs="Arial"/>
        </w:rPr>
        <w:t xml:space="preserve"> </w:t>
      </w:r>
      <w:r w:rsidR="005E5DA9" w:rsidRPr="00D618F2">
        <w:rPr>
          <w:rFonts w:cs="Arial"/>
        </w:rPr>
        <w:t>(</w:t>
      </w:r>
      <w:r w:rsidR="005E5DA9" w:rsidRPr="00D618F2">
        <w:rPr>
          <w:rFonts w:eastAsia="Times New Roman" w:cs="Times New Roman"/>
          <w:lang w:eastAsia="en-GB"/>
        </w:rPr>
        <w:t>variance of the predicted values divided by the variance of predicted values plus the expected variance of the errors</w:t>
      </w:r>
      <w:r w:rsidR="005E5DA9" w:rsidRPr="008668C8">
        <w:t>)</w:t>
      </w:r>
      <w:r w:rsidR="008A2FF5" w:rsidRPr="008668C8">
        <w:t>:</w:t>
      </w:r>
    </w:p>
    <w:p w14:paraId="7B873CEE" w14:textId="7AB9D5DD" w:rsidR="002353D6" w:rsidRPr="00D618F2" w:rsidRDefault="005E5DA9" w:rsidP="005E5DA9">
      <w:pPr>
        <w:jc w:val="center"/>
        <w:rPr>
          <w:rFonts w:cs="Arial"/>
        </w:rPr>
      </w:pPr>
      <w:r w:rsidRPr="00D618F2">
        <w:rPr>
          <w:rFonts w:cs="Arial"/>
        </w:rPr>
        <w:br/>
      </w:r>
      <m:oMath>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=0.963</m:t>
        </m:r>
      </m:oMath>
      <w:r w:rsidR="00E66059" w:rsidRPr="00D618F2">
        <w:rPr>
          <w:rFonts w:cs="Arial"/>
        </w:rPr>
        <w:t>.</w:t>
      </w:r>
    </w:p>
    <w:p w14:paraId="616CE548" w14:textId="77777777" w:rsidR="008A2FF5" w:rsidRPr="00D618F2" w:rsidRDefault="008A2FF5" w:rsidP="008D2827">
      <w:pPr>
        <w:rPr>
          <w:rFonts w:cs="Arial"/>
        </w:rPr>
      </w:pPr>
    </w:p>
    <w:p w14:paraId="199D3BBF" w14:textId="25AC242C" w:rsidR="00C626A0" w:rsidRPr="00D618F2" w:rsidRDefault="00650449" w:rsidP="008D2827">
      <w:pPr>
        <w:rPr>
          <w:rFonts w:cs="Arial"/>
        </w:rPr>
      </w:pPr>
      <w:r w:rsidRPr="00D618F2">
        <w:rPr>
          <w:rFonts w:cs="Arial"/>
        </w:rPr>
        <w:t xml:space="preserve">Figure S4 </w:t>
      </w:r>
      <w:r w:rsidR="00874EE6" w:rsidRPr="00D618F2">
        <w:rPr>
          <w:rFonts w:cs="Arial"/>
        </w:rPr>
        <w:t xml:space="preserve">shows </w:t>
      </w:r>
      <w:r w:rsidR="005975EC" w:rsidRPr="00D618F2">
        <w:rPr>
          <w:rFonts w:cs="Arial"/>
        </w:rPr>
        <w:t xml:space="preserve">residuals versus observed cases (panel A) and </w:t>
      </w:r>
      <w:r w:rsidR="00C626A0" w:rsidRPr="00D618F2">
        <w:rPr>
          <w:rFonts w:cs="Arial"/>
        </w:rPr>
        <w:t>predicted cases vs. observed cases</w:t>
      </w:r>
      <w:r w:rsidR="005975EC" w:rsidRPr="00D618F2">
        <w:rPr>
          <w:rFonts w:cs="Arial"/>
        </w:rPr>
        <w:t xml:space="preserve"> (panel B)</w:t>
      </w:r>
      <w:r w:rsidR="00C626A0" w:rsidRPr="00D618F2">
        <w:rPr>
          <w:rFonts w:cs="Arial"/>
        </w:rPr>
        <w:t>.</w:t>
      </w:r>
    </w:p>
    <w:p w14:paraId="51286F6A" w14:textId="0ABD3A02" w:rsidR="00C626A0" w:rsidRPr="00D618F2" w:rsidRDefault="00C626A0" w:rsidP="008D2827">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26"/>
      </w:tblGrid>
      <w:tr w:rsidR="005975EC" w:rsidRPr="00D618F2" w14:paraId="2B770C84" w14:textId="3B247966" w:rsidTr="000321AA">
        <w:tc>
          <w:tcPr>
            <w:tcW w:w="9622" w:type="dxa"/>
            <w:gridSpan w:val="2"/>
          </w:tcPr>
          <w:p w14:paraId="01521EF1" w14:textId="57F469F3" w:rsidR="005975EC" w:rsidRPr="008668C8" w:rsidRDefault="005975EC" w:rsidP="005975EC">
            <w:pPr>
              <w:pStyle w:val="Caption"/>
              <w:keepNext/>
              <w:rPr>
                <w:color w:val="000000" w:themeColor="text1"/>
                <w:sz w:val="24"/>
              </w:rPr>
            </w:pPr>
            <w:bookmarkStart w:id="11" w:name="_Ref51340395"/>
            <w:r w:rsidRPr="00D618F2">
              <w:rPr>
                <w:color w:val="000000" w:themeColor="text1"/>
                <w:sz w:val="24"/>
                <w:szCs w:val="20"/>
              </w:rPr>
              <w:t>Figure S4</w:t>
            </w:r>
            <w:bookmarkEnd w:id="11"/>
            <w:r w:rsidRPr="00D618F2">
              <w:rPr>
                <w:color w:val="000000" w:themeColor="text1"/>
                <w:sz w:val="24"/>
                <w:szCs w:val="20"/>
              </w:rPr>
              <w:t xml:space="preserve">. </w:t>
            </w:r>
            <w:r w:rsidR="000321AA" w:rsidRPr="00D618F2">
              <w:rPr>
                <w:color w:val="000000" w:themeColor="text1"/>
                <w:sz w:val="24"/>
                <w:szCs w:val="20"/>
              </w:rPr>
              <w:t>Residuals and p</w:t>
            </w:r>
            <w:r w:rsidRPr="00D618F2">
              <w:rPr>
                <w:rFonts w:cs="Arial"/>
                <w:bCs/>
                <w:color w:val="000000" w:themeColor="text1"/>
                <w:sz w:val="24"/>
                <w:szCs w:val="20"/>
              </w:rPr>
              <w:t>redicted vs. observed cases</w:t>
            </w:r>
          </w:p>
        </w:tc>
      </w:tr>
      <w:tr w:rsidR="005975EC" w:rsidRPr="00D618F2" w14:paraId="44A2390A" w14:textId="4679B1B5" w:rsidTr="008668C8">
        <w:tc>
          <w:tcPr>
            <w:tcW w:w="1696" w:type="dxa"/>
          </w:tcPr>
          <w:p w14:paraId="1127F301" w14:textId="06680F5E" w:rsidR="005975EC" w:rsidRPr="008668C8" w:rsidRDefault="005975EC" w:rsidP="008668C8">
            <w:pPr>
              <w:jc w:val="right"/>
              <w:rPr>
                <w:sz w:val="32"/>
              </w:rPr>
            </w:pPr>
            <w:r w:rsidRPr="00D618F2">
              <w:rPr>
                <w:rFonts w:cs="Arial"/>
                <w:sz w:val="32"/>
                <w:szCs w:val="32"/>
              </w:rPr>
              <w:t>A</w:t>
            </w:r>
          </w:p>
        </w:tc>
        <w:tc>
          <w:tcPr>
            <w:tcW w:w="7926" w:type="dxa"/>
          </w:tcPr>
          <w:p w14:paraId="45A34266" w14:textId="1736E1CF" w:rsidR="005975EC" w:rsidRPr="00D618F2" w:rsidRDefault="005975EC" w:rsidP="005975EC">
            <w:pPr>
              <w:rPr>
                <w:rFonts w:cs="Arial"/>
              </w:rPr>
            </w:pPr>
            <w:r w:rsidRPr="00D618F2">
              <w:rPr>
                <w:rFonts w:cs="Arial"/>
                <w:noProof/>
              </w:rPr>
              <w:drawing>
                <wp:inline distT="0" distB="0" distL="0" distR="0" wp14:anchorId="56482F35" wp14:editId="22B589AB">
                  <wp:extent cx="36576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tc>
      </w:tr>
      <w:tr w:rsidR="005975EC" w:rsidRPr="00D618F2" w14:paraId="419FAB5E" w14:textId="23371999" w:rsidTr="008668C8">
        <w:tc>
          <w:tcPr>
            <w:tcW w:w="1696" w:type="dxa"/>
          </w:tcPr>
          <w:p w14:paraId="1E732002" w14:textId="07E91772" w:rsidR="005975EC" w:rsidRPr="008668C8" w:rsidRDefault="005975EC" w:rsidP="008668C8">
            <w:pPr>
              <w:jc w:val="right"/>
              <w:rPr>
                <w:sz w:val="32"/>
              </w:rPr>
            </w:pPr>
            <w:r w:rsidRPr="00D618F2">
              <w:rPr>
                <w:rFonts w:cs="Arial"/>
                <w:sz w:val="32"/>
                <w:szCs w:val="32"/>
              </w:rPr>
              <w:lastRenderedPageBreak/>
              <w:t>B</w:t>
            </w:r>
          </w:p>
        </w:tc>
        <w:tc>
          <w:tcPr>
            <w:tcW w:w="7926" w:type="dxa"/>
          </w:tcPr>
          <w:p w14:paraId="13DDD48E" w14:textId="2F817633" w:rsidR="005975EC" w:rsidRPr="00D618F2" w:rsidRDefault="005975EC" w:rsidP="005975EC">
            <w:pPr>
              <w:rPr>
                <w:rFonts w:cs="Arial"/>
              </w:rPr>
            </w:pPr>
            <w:r w:rsidRPr="00D618F2">
              <w:rPr>
                <w:rFonts w:cs="Arial"/>
                <w:noProof/>
              </w:rPr>
              <w:drawing>
                <wp:inline distT="0" distB="0" distL="0" distR="0" wp14:anchorId="33FA40C6" wp14:editId="166532CA">
                  <wp:extent cx="36576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tc>
      </w:tr>
    </w:tbl>
    <w:p w14:paraId="072BD0C8" w14:textId="77777777" w:rsidR="00995720" w:rsidRPr="00D618F2" w:rsidRDefault="00995720"/>
    <w:p w14:paraId="79D14D5B" w14:textId="77777777" w:rsidR="00995720" w:rsidRPr="008668C8" w:rsidRDefault="00995720">
      <w:r w:rsidRPr="00D618F2">
        <w:br w:type="page"/>
      </w:r>
    </w:p>
    <w:p w14:paraId="2B147241" w14:textId="24B98738" w:rsidR="00995720" w:rsidRPr="00D618F2" w:rsidRDefault="00995720" w:rsidP="00995720">
      <w:pPr>
        <w:pStyle w:val="Heading1"/>
        <w:numPr>
          <w:ilvl w:val="0"/>
          <w:numId w:val="0"/>
        </w:numPr>
        <w:rPr>
          <w:rFonts w:cs="Arial"/>
        </w:rPr>
      </w:pPr>
      <w:r w:rsidRPr="00D618F2">
        <w:lastRenderedPageBreak/>
        <w:t>S</w:t>
      </w:r>
      <w:r w:rsidR="00A52570" w:rsidRPr="00D618F2">
        <w:t>7</w:t>
      </w:r>
      <w:r w:rsidRPr="00D618F2">
        <w:t xml:space="preserve"> Alternative models</w:t>
      </w:r>
    </w:p>
    <w:p w14:paraId="4C1FB591" w14:textId="77777777" w:rsidR="00A52570" w:rsidRPr="00D618F2" w:rsidRDefault="00A52570" w:rsidP="009B7947"/>
    <w:p w14:paraId="0D7AF444" w14:textId="235909B4" w:rsidR="001D3945" w:rsidRPr="00D618F2" w:rsidRDefault="004132DA" w:rsidP="001D3945">
      <w:pPr>
        <w:pStyle w:val="Heading2"/>
        <w:numPr>
          <w:ilvl w:val="0"/>
          <w:numId w:val="0"/>
        </w:numPr>
      </w:pPr>
      <w:r w:rsidRPr="00D618F2">
        <w:t>P2 model</w:t>
      </w:r>
    </w:p>
    <w:p w14:paraId="40E15343" w14:textId="77777777" w:rsidR="001D3945" w:rsidRPr="00D618F2" w:rsidRDefault="001D3945" w:rsidP="004132DA"/>
    <w:p w14:paraId="0EFDC5F1" w14:textId="7BA55263" w:rsidR="001D3945" w:rsidRPr="00D618F2" w:rsidRDefault="00CB635E" w:rsidP="004132DA">
      <w:pPr>
        <w:rPr>
          <w:rFonts w:eastAsiaTheme="minorEastAsia"/>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a,t,d</m:t>
              </m:r>
            </m:sub>
          </m:sSub>
          <m:r>
            <m:rPr>
              <m:sty m:val="p"/>
            </m:rPr>
            <w:rPr>
              <w:rFonts w:ascii="Cambria Math" w:eastAsiaTheme="minorEastAsia" w:hAnsi="Cambria Math" w:cs="Arial"/>
            </w:rPr>
            <m:t xml:space="preserve"> ~ Poisson</m:t>
          </m:r>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a,t,d</m:t>
                  </m:r>
                </m:sub>
              </m:sSub>
              <m:sSup>
                <m:sSupPr>
                  <m:ctrlPr>
                    <w:rPr>
                      <w:rFonts w:ascii="Cambria Math" w:eastAsiaTheme="minorEastAsia" w:hAnsi="Cambria Math" w:cs="Arial"/>
                      <w:i/>
                    </w:rPr>
                  </m:ctrlPr>
                </m:sSupPr>
                <m:e>
                  <m:r>
                    <w:rPr>
                      <w:rFonts w:ascii="Cambria Math" w:eastAsiaTheme="minorEastAsia" w:hAnsi="Cambria Math" w:cs="Arial"/>
                    </w:rPr>
                    <m:t>e</m:t>
                  </m:r>
                </m:e>
                <m:sup>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d</m:t>
                      </m:r>
                    </m:sub>
                  </m:sSub>
                </m:sup>
              </m:sSup>
            </m:e>
          </m:d>
        </m:oMath>
      </m:oMathPara>
    </w:p>
    <w:p w14:paraId="10568DE3" w14:textId="77777777" w:rsidR="001D3945" w:rsidRPr="00D618F2" w:rsidRDefault="001D3945" w:rsidP="004132DA"/>
    <w:p w14:paraId="4D7A90D1" w14:textId="245BCC04" w:rsidR="004132DA" w:rsidRPr="00D618F2" w:rsidRDefault="00995720" w:rsidP="004132DA">
      <w:pPr>
        <w:rPr>
          <w:rFonts w:eastAsiaTheme="minorEastAsia"/>
        </w:rPr>
      </w:pPr>
      <w:r w:rsidRPr="00D618F2">
        <w:t xml:space="preserve">Compared to </w:t>
      </w:r>
      <w:r w:rsidR="001A16EA">
        <w:t xml:space="preserve">the </w:t>
      </w:r>
      <w:r w:rsidRPr="00D618F2">
        <w:t>P1 model (equation 2 in the main manuscript),</w:t>
      </w:r>
      <w:r w:rsidR="00297CEB">
        <w:t xml:space="preserve"> the</w:t>
      </w:r>
      <w:r w:rsidRPr="00D618F2">
        <w:t xml:space="preserve">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r w:rsidRPr="00D618F2">
        <w:rPr>
          <w:rFonts w:eastAsiaTheme="minorEastAsia"/>
        </w:rPr>
        <w:t xml:space="preserve"> parameter is not constrained to follow a normal distribution</w:t>
      </w:r>
      <w:r w:rsidR="009A3E32" w:rsidRPr="00D618F2">
        <w:rPr>
          <w:rFonts w:eastAsiaTheme="minorEastAsia"/>
        </w:rPr>
        <w:t xml:space="preserve"> (therefore</w:t>
      </w:r>
      <w:r w:rsidR="00CE3F4C">
        <w:rPr>
          <w:rFonts w:eastAsiaTheme="minorEastAsia"/>
        </w:rPr>
        <w:t>,</w:t>
      </w:r>
      <w:r w:rsidR="009A3E32" w:rsidRPr="00D618F2">
        <w:rPr>
          <w:rFonts w:eastAsiaTheme="minorEastAsia"/>
        </w:rPr>
        <w:t xml:space="preserve"> the effective number of parameters is greater than in P1)</w:t>
      </w:r>
      <w:r w:rsidR="004132DA" w:rsidRPr="00D618F2">
        <w:rPr>
          <w:rFonts w:eastAsiaTheme="minorEastAsia"/>
        </w:rPr>
        <w:t>.</w:t>
      </w:r>
      <w:r w:rsidR="001D3945" w:rsidRPr="00D618F2">
        <w:rPr>
          <w:rFonts w:eastAsiaTheme="minorEastAsia"/>
        </w:rPr>
        <w:t xml:space="preserve"> Therefore, all seven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r w:rsidR="001D3945" w:rsidRPr="00D618F2">
        <w:rPr>
          <w:rFonts w:eastAsiaTheme="minorEastAsia"/>
        </w:rPr>
        <w:t xml:space="preserve"> parameters are independently generated rather than hierarchically derived from a </w:t>
      </w:r>
      <w:r w:rsidR="00C21902">
        <w:rPr>
          <w:rFonts w:eastAsiaTheme="minorEastAsia"/>
        </w:rPr>
        <w:t>G</w:t>
      </w:r>
      <w:r w:rsidR="001D3945" w:rsidRPr="00D618F2">
        <w:rPr>
          <w:rFonts w:eastAsiaTheme="minorEastAsia"/>
        </w:rPr>
        <w:t xml:space="preserve">aussian process of mean zero and variance </w:t>
      </w:r>
      <m:oMath>
        <m:sSubSup>
          <m:sSubSupPr>
            <m:ctrlPr>
              <w:rPr>
                <w:rFonts w:ascii="Cambria Math" w:eastAsiaTheme="minorEastAsia" w:hAnsi="Cambria Math" w:cs="Arial"/>
                <w:i/>
              </w:rPr>
            </m:ctrlPr>
          </m:sSubSupPr>
          <m:e>
            <m:r>
              <w:rPr>
                <w:rFonts w:ascii="Cambria Math" w:eastAsiaTheme="minorEastAsia" w:hAnsi="Cambria Math" w:cs="Arial"/>
              </w:rPr>
              <m:t>σ</m:t>
            </m:r>
          </m:e>
          <m:sub>
            <m:r>
              <w:rPr>
                <w:rFonts w:ascii="Cambria Math" w:eastAsiaTheme="minorEastAsia" w:hAnsi="Cambria Math" w:cs="Arial"/>
              </w:rPr>
              <m:t>β</m:t>
            </m:r>
          </m:sub>
          <m:sup>
            <m:r>
              <w:rPr>
                <w:rFonts w:ascii="Cambria Math" w:eastAsiaTheme="minorEastAsia" w:hAnsi="Cambria Math" w:cs="Arial"/>
              </w:rPr>
              <m:t>2</m:t>
            </m:r>
          </m:sup>
        </m:sSubSup>
      </m:oMath>
      <w:r w:rsidR="001D3945" w:rsidRPr="00D618F2">
        <w:rPr>
          <w:rFonts w:eastAsiaTheme="minorEastAsia"/>
        </w:rPr>
        <w:t xml:space="preserve"> (second line in equation 2 of the main manuscript).</w:t>
      </w:r>
    </w:p>
    <w:p w14:paraId="7D6E43DB" w14:textId="6D0EAEF3" w:rsidR="00A52570" w:rsidRPr="00D618F2" w:rsidRDefault="00A52570" w:rsidP="009B7947"/>
    <w:p w14:paraId="675A91CB" w14:textId="77777777" w:rsidR="001D3945" w:rsidRPr="00D618F2" w:rsidRDefault="001D3945" w:rsidP="001D3945"/>
    <w:p w14:paraId="4BE34BB3" w14:textId="29D5F4DD" w:rsidR="004132DA" w:rsidRPr="00D618F2" w:rsidRDefault="004132DA" w:rsidP="001D3945">
      <w:pPr>
        <w:pStyle w:val="Heading2"/>
        <w:numPr>
          <w:ilvl w:val="0"/>
          <w:numId w:val="0"/>
        </w:numPr>
      </w:pPr>
      <w:r w:rsidRPr="00D618F2">
        <w:t>P3 model</w:t>
      </w:r>
    </w:p>
    <w:p w14:paraId="265D68F9" w14:textId="77777777" w:rsidR="001D3945" w:rsidRPr="00D618F2" w:rsidRDefault="001D3945" w:rsidP="004132DA"/>
    <w:p w14:paraId="1961B9AB" w14:textId="5A323C4C" w:rsidR="001D3945" w:rsidRPr="00D618F2" w:rsidRDefault="00CB635E" w:rsidP="004132DA">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a,t,d</m:t>
              </m:r>
            </m:sub>
          </m:sSub>
          <m:r>
            <m:rPr>
              <m:sty m:val="p"/>
            </m:rPr>
            <w:rPr>
              <w:rFonts w:ascii="Cambria Math" w:eastAsiaTheme="minorEastAsia" w:hAnsi="Cambria Math" w:cs="Arial"/>
            </w:rPr>
            <m:t xml:space="preserve"> ~ Poisson</m:t>
          </m:r>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a,t,d</m:t>
                  </m:r>
                </m:sub>
              </m:sSub>
              <m:sSup>
                <m:sSupPr>
                  <m:ctrlPr>
                    <w:rPr>
                      <w:rFonts w:ascii="Cambria Math" w:eastAsiaTheme="minorEastAsia" w:hAnsi="Cambria Math" w:cs="Arial"/>
                      <w:i/>
                    </w:rPr>
                  </m:ctrlPr>
                </m:sSupPr>
                <m:e>
                  <m:r>
                    <w:rPr>
                      <w:rFonts w:ascii="Cambria Math" w:eastAsiaTheme="minorEastAsia" w:hAnsi="Cambria Math" w:cs="Arial"/>
                    </w:rPr>
                    <m:t>e</m:t>
                  </m:r>
                </m:e>
                <m:sup>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d</m:t>
                      </m:r>
                    </m:sub>
                  </m:sSub>
                </m:sup>
              </m:sSup>
            </m:e>
          </m:d>
        </m:oMath>
      </m:oMathPara>
    </w:p>
    <w:p w14:paraId="6ED603B4" w14:textId="77777777" w:rsidR="001D3945" w:rsidRPr="00D618F2" w:rsidRDefault="001D3945" w:rsidP="004132DA"/>
    <w:p w14:paraId="5EEB2538" w14:textId="70AE75D0" w:rsidR="004132DA" w:rsidRPr="00D618F2" w:rsidRDefault="004132DA" w:rsidP="004132DA">
      <w:pPr>
        <w:rPr>
          <w:rFonts w:eastAsiaTheme="minorEastAsia"/>
        </w:rPr>
      </w:pPr>
      <w:r w:rsidRPr="00D618F2">
        <w:t xml:space="preserve">Compared to </w:t>
      </w:r>
      <w:r w:rsidR="00BD0E92">
        <w:t xml:space="preserve">the </w:t>
      </w:r>
      <w:r w:rsidRPr="00D618F2">
        <w:t>P1 model (equation 2 in the main manuscript),</w:t>
      </w:r>
      <w:r w:rsidR="00BD0E92">
        <w:t xml:space="preserve"> the</w:t>
      </w:r>
      <w:r w:rsidRPr="00D618F2">
        <w:t xml:space="preserve">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r w:rsidRPr="00D618F2">
        <w:rPr>
          <w:rFonts w:eastAsiaTheme="minorEastAsia"/>
        </w:rPr>
        <w:t xml:space="preserve"> parameter is fixed to zero</w:t>
      </w:r>
      <w:r w:rsidR="001D3945" w:rsidRPr="00D618F2">
        <w:rPr>
          <w:rFonts w:eastAsiaTheme="minorEastAsia"/>
        </w:rPr>
        <w:t>, i.e., there is no adjustment for time</w:t>
      </w:r>
      <w:r w:rsidR="00833434">
        <w:rPr>
          <w:rFonts w:eastAsiaTheme="minorEastAsia"/>
        </w:rPr>
        <w:t xml:space="preserve"> </w:t>
      </w:r>
      <w:r w:rsidR="001D3945" w:rsidRPr="00D618F2">
        <w:rPr>
          <w:rFonts w:eastAsiaTheme="minorEastAsia"/>
        </w:rPr>
        <w:t>variations of incidence</w:t>
      </w:r>
      <w:r w:rsidRPr="00D618F2">
        <w:rPr>
          <w:rFonts w:eastAsiaTheme="minorEastAsia"/>
        </w:rPr>
        <w:t>.</w:t>
      </w:r>
    </w:p>
    <w:p w14:paraId="3718BC59" w14:textId="77777777" w:rsidR="004132DA" w:rsidRPr="00D618F2" w:rsidRDefault="004132DA" w:rsidP="009B7947"/>
    <w:p w14:paraId="3AB71EC7" w14:textId="77777777" w:rsidR="00A52570" w:rsidRPr="00D618F2" w:rsidRDefault="00A52570" w:rsidP="009B7947"/>
    <w:p w14:paraId="786BABE8" w14:textId="56BD6421" w:rsidR="004132DA" w:rsidRPr="00D618F2" w:rsidRDefault="004132DA" w:rsidP="004132DA">
      <w:pPr>
        <w:pStyle w:val="Heading2"/>
        <w:numPr>
          <w:ilvl w:val="0"/>
          <w:numId w:val="0"/>
        </w:numPr>
      </w:pPr>
      <w:r w:rsidRPr="00D618F2">
        <w:t>P4</w:t>
      </w:r>
      <w:r w:rsidR="009A3E32" w:rsidRPr="00D618F2">
        <w:t xml:space="preserve"> and P5</w:t>
      </w:r>
      <w:r w:rsidRPr="00D618F2">
        <w:t xml:space="preserve"> model</w:t>
      </w:r>
    </w:p>
    <w:p w14:paraId="03CB522A" w14:textId="77777777" w:rsidR="001D3945" w:rsidRPr="00D618F2" w:rsidRDefault="001D3945" w:rsidP="004132DA"/>
    <w:p w14:paraId="04082778" w14:textId="544008FF" w:rsidR="001D3945" w:rsidRPr="00D618F2" w:rsidRDefault="00CB635E" w:rsidP="004132DA">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a,t,d</m:t>
              </m:r>
            </m:sub>
          </m:sSub>
          <m:r>
            <m:rPr>
              <m:sty m:val="p"/>
            </m:rPr>
            <w:rPr>
              <w:rFonts w:ascii="Cambria Math" w:eastAsiaTheme="minorEastAsia" w:hAnsi="Cambria Math" w:cs="Arial"/>
            </w:rPr>
            <m:t xml:space="preserve"> ~ Poisson</m:t>
          </m:r>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a,t,d</m:t>
                  </m:r>
                </m:sub>
              </m:sSub>
              <m:sSup>
                <m:sSupPr>
                  <m:ctrlPr>
                    <w:rPr>
                      <w:rFonts w:ascii="Cambria Math" w:eastAsiaTheme="minorEastAsia" w:hAnsi="Cambria Math" w:cs="Arial"/>
                      <w:i/>
                    </w:rPr>
                  </m:ctrlPr>
                </m:sSupPr>
                <m:e>
                  <m:r>
                    <w:rPr>
                      <w:rFonts w:ascii="Cambria Math" w:eastAsiaTheme="minorEastAsia" w:hAnsi="Cambria Math" w:cs="Arial"/>
                    </w:rPr>
                    <m:t>e</m:t>
                  </m:r>
                </m:e>
                <m:sup>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a,t</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d</m:t>
                      </m:r>
                    </m:sub>
                  </m:sSub>
                </m:sup>
              </m:sSup>
            </m:e>
          </m:d>
        </m:oMath>
      </m:oMathPara>
    </w:p>
    <w:p w14:paraId="505F56C6" w14:textId="77777777" w:rsidR="001D3945" w:rsidRPr="00D618F2" w:rsidRDefault="001D3945" w:rsidP="004132DA"/>
    <w:p w14:paraId="1467712D" w14:textId="00502220" w:rsidR="004132DA" w:rsidRPr="00D618F2" w:rsidRDefault="004132DA" w:rsidP="004132DA">
      <w:pPr>
        <w:rPr>
          <w:rFonts w:eastAsiaTheme="minorEastAsia"/>
        </w:rPr>
      </w:pPr>
      <w:r w:rsidRPr="00D618F2">
        <w:t xml:space="preserve">Compared to </w:t>
      </w:r>
      <w:r w:rsidR="00833434">
        <w:t xml:space="preserve">the </w:t>
      </w:r>
      <w:r w:rsidRPr="00D618F2">
        <w:t>P1 model (equation 2 in the main manuscript),</w:t>
      </w:r>
      <w:r w:rsidR="00833434">
        <w:t xml:space="preserve"> the</w:t>
      </w:r>
      <w:r w:rsidRPr="00D618F2">
        <w:t xml:space="preserve"> </w:t>
      </w:r>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r w:rsidRPr="00D618F2">
        <w:rPr>
          <w:rFonts w:eastAsiaTheme="minorEastAsia"/>
        </w:rPr>
        <w:t xml:space="preserve"> parameter is replaced by </w:t>
      </w:r>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a,t</m:t>
            </m:r>
          </m:sub>
        </m:sSub>
      </m:oMath>
      <w:r w:rsidR="00D964E1">
        <w:rPr>
          <w:rFonts w:eastAsiaTheme="minorEastAsia"/>
        </w:rPr>
        <w:t xml:space="preserve">, which </w:t>
      </w:r>
      <w:r w:rsidRPr="00D618F2">
        <w:rPr>
          <w:rFonts w:eastAsiaTheme="minorEastAsia"/>
        </w:rPr>
        <w:t>depends on both age and time</w:t>
      </w:r>
      <w:r w:rsidR="001D3945" w:rsidRPr="00D618F2">
        <w:rPr>
          <w:rFonts w:eastAsiaTheme="minorEastAsia"/>
        </w:rPr>
        <w:t>. Therefore,</w:t>
      </w:r>
      <w:r w:rsidR="008F6781">
        <w:rPr>
          <w:rFonts w:eastAsiaTheme="minorEastAsia"/>
        </w:rPr>
        <w:t xml:space="preserve"> the</w:t>
      </w:r>
      <w:r w:rsidRPr="00D618F2">
        <w:rPr>
          <w:rFonts w:eastAsiaTheme="minorEastAsia"/>
        </w:rPr>
        <w:t xml:space="preserve"> P4</w:t>
      </w:r>
      <w:r w:rsidR="009A3E32" w:rsidRPr="00D618F2">
        <w:rPr>
          <w:rFonts w:eastAsiaTheme="minorEastAsia"/>
        </w:rPr>
        <w:t xml:space="preserve"> and P5</w:t>
      </w:r>
      <w:r w:rsidRPr="00D618F2">
        <w:rPr>
          <w:rFonts w:eastAsiaTheme="minorEastAsia"/>
        </w:rPr>
        <w:t xml:space="preserve"> model</w:t>
      </w:r>
      <w:r w:rsidR="009A3E32" w:rsidRPr="00D618F2">
        <w:rPr>
          <w:rFonts w:eastAsiaTheme="minorEastAsia"/>
        </w:rPr>
        <w:t>s</w:t>
      </w:r>
      <w:r w:rsidRPr="00D618F2">
        <w:rPr>
          <w:rFonts w:eastAsiaTheme="minorEastAsia"/>
        </w:rPr>
        <w:t xml:space="preserve"> do not assume independence between age and time</w:t>
      </w:r>
      <w:r w:rsidR="00A52570" w:rsidRPr="00D618F2">
        <w:rPr>
          <w:rFonts w:eastAsiaTheme="minorEastAsia"/>
        </w:rPr>
        <w:t xml:space="preserve">, at the price of a </w:t>
      </w:r>
      <w:r w:rsidRPr="00D618F2">
        <w:rPr>
          <w:rFonts w:eastAsiaTheme="minorEastAsia"/>
        </w:rPr>
        <w:t>greater number of parameters (</w:t>
      </w:r>
      <w:r w:rsidR="009A3E32" w:rsidRPr="00D618F2">
        <w:rPr>
          <w:rFonts w:eastAsiaTheme="minorEastAsia"/>
        </w:rPr>
        <w:t xml:space="preserve">with 11 age groups and 7 time points, it is 11x7 = 77 parameters for </w:t>
      </w:r>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a,t</m:t>
            </m:r>
          </m:sub>
        </m:sSub>
      </m:oMath>
      <w:r w:rsidR="009A3E32" w:rsidRPr="00D618F2">
        <w:rPr>
          <w:rFonts w:eastAsiaTheme="minorEastAsia"/>
        </w:rPr>
        <w:t xml:space="preserve">,  compared to 11+7 = 18 parameters for </w:t>
      </w:r>
      <m:oMath>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r w:rsidR="009A3E32" w:rsidRPr="00D618F2">
        <w:rPr>
          <w:rFonts w:eastAsiaTheme="minorEastAsia"/>
        </w:rPr>
        <w:t>)</w:t>
      </w:r>
      <w:r w:rsidRPr="00D618F2">
        <w:rPr>
          <w:rFonts w:eastAsiaTheme="minorEastAsia"/>
        </w:rPr>
        <w:t>.</w:t>
      </w:r>
      <w:r w:rsidR="009A3E32" w:rsidRPr="00D618F2">
        <w:rPr>
          <w:rFonts w:eastAsiaTheme="minorEastAsia"/>
        </w:rPr>
        <w:t xml:space="preserve"> P4 is hierarchical (</w:t>
      </w:r>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a,t</m:t>
            </m:r>
          </m:sub>
        </m:sSub>
      </m:oMath>
      <w:r w:rsidR="009A3E32" w:rsidRPr="00D618F2">
        <w:rPr>
          <w:rFonts w:eastAsiaTheme="minorEastAsia"/>
        </w:rPr>
        <w:t xml:space="preserve"> is constrained to follow a normal distribution of mean zero and variance </w:t>
      </w:r>
      <m:oMath>
        <m:sSubSup>
          <m:sSubSupPr>
            <m:ctrlPr>
              <w:rPr>
                <w:rFonts w:ascii="Cambria Math" w:eastAsiaTheme="minorEastAsia" w:hAnsi="Cambria Math" w:cs="Arial"/>
                <w:i/>
                <w:sz w:val="22"/>
                <w:szCs w:val="22"/>
              </w:rPr>
            </m:ctrlPr>
          </m:sSubSupPr>
          <m:e>
            <m:r>
              <w:rPr>
                <w:rFonts w:ascii="Cambria Math" w:eastAsiaTheme="minorEastAsia" w:hAnsi="Cambria Math" w:cs="Arial"/>
                <w:sz w:val="22"/>
                <w:szCs w:val="22"/>
              </w:rPr>
              <m:t>σ</m:t>
            </m:r>
          </m:e>
          <m:sub>
            <m:r>
              <w:rPr>
                <w:rFonts w:ascii="Cambria Math" w:eastAsiaTheme="minorEastAsia" w:hAnsi="Cambria Math" w:cs="Arial"/>
                <w:sz w:val="22"/>
                <w:szCs w:val="22"/>
              </w:rPr>
              <m:t>γ</m:t>
            </m:r>
          </m:sub>
          <m:sup>
            <m:r>
              <w:rPr>
                <w:rFonts w:ascii="Cambria Math" w:eastAsiaTheme="minorEastAsia" w:hAnsi="Cambria Math" w:cs="Arial"/>
                <w:sz w:val="22"/>
                <w:szCs w:val="22"/>
              </w:rPr>
              <m:t>2</m:t>
            </m:r>
          </m:sup>
        </m:sSubSup>
      </m:oMath>
      <w:r w:rsidR="009A3E32" w:rsidRPr="00D618F2">
        <w:rPr>
          <w:rFonts w:eastAsiaTheme="minorEastAsia"/>
        </w:rPr>
        <w:t>)</w:t>
      </w:r>
      <w:r w:rsidR="008B4023">
        <w:rPr>
          <w:rFonts w:eastAsiaTheme="minorEastAsia"/>
        </w:rPr>
        <w:t>;</w:t>
      </w:r>
      <w:r w:rsidR="009A3E32" w:rsidRPr="00D618F2">
        <w:rPr>
          <w:rFonts w:eastAsiaTheme="minorEastAsia"/>
        </w:rPr>
        <w:t xml:space="preserve"> thus</w:t>
      </w:r>
      <w:r w:rsidR="008B4023">
        <w:rPr>
          <w:rFonts w:eastAsiaTheme="minorEastAsia"/>
        </w:rPr>
        <w:t>,</w:t>
      </w:r>
      <w:r w:rsidR="009A3E32" w:rsidRPr="00D618F2">
        <w:rPr>
          <w:rFonts w:eastAsiaTheme="minorEastAsia"/>
        </w:rPr>
        <w:t xml:space="preserve"> the effective number of parameters is actually lower than</w:t>
      </w:r>
      <w:r w:rsidR="00A52570" w:rsidRPr="00D618F2">
        <w:rPr>
          <w:rFonts w:eastAsiaTheme="minorEastAsia"/>
        </w:rPr>
        <w:t xml:space="preserve"> for P5</w:t>
      </w:r>
      <w:r w:rsidR="001D3945" w:rsidRPr="00D618F2">
        <w:rPr>
          <w:rFonts w:eastAsiaTheme="minorEastAsia"/>
        </w:rPr>
        <w:t xml:space="preserve">, </w:t>
      </w:r>
      <w:r w:rsidR="0073602E">
        <w:rPr>
          <w:rFonts w:eastAsiaTheme="minorEastAsia"/>
        </w:rPr>
        <w:t>for which</w:t>
      </w:r>
      <w:r w:rsidR="0073602E" w:rsidRPr="00D618F2">
        <w:rPr>
          <w:rFonts w:eastAsiaTheme="minorEastAsia"/>
        </w:rPr>
        <w:t xml:space="preserve"> </w:t>
      </w:r>
      <w:r w:rsidR="001D3945" w:rsidRPr="00D618F2">
        <w:rPr>
          <w:rFonts w:eastAsiaTheme="minorEastAsia"/>
        </w:rPr>
        <w:t xml:space="preserve">all the </w:t>
      </w:r>
      <m:oMath>
        <m:sSub>
          <m:sSubPr>
            <m:ctrlPr>
              <w:rPr>
                <w:rFonts w:ascii="Cambria Math" w:eastAsiaTheme="minorEastAsia" w:hAnsi="Cambria Math" w:cs="Arial"/>
                <w:i/>
              </w:rPr>
            </m:ctrlPr>
          </m:sSubPr>
          <m:e>
            <m:r>
              <w:rPr>
                <w:rFonts w:ascii="Cambria Math" w:eastAsiaTheme="minorEastAsia" w:hAnsi="Cambria Math" w:cs="Arial"/>
              </w:rPr>
              <m:t>γ</m:t>
            </m:r>
          </m:e>
          <m:sub>
            <m:r>
              <w:rPr>
                <w:rFonts w:ascii="Cambria Math" w:eastAsiaTheme="minorEastAsia" w:hAnsi="Cambria Math" w:cs="Arial"/>
              </w:rPr>
              <m:t>a,t</m:t>
            </m:r>
          </m:sub>
        </m:sSub>
      </m:oMath>
      <w:r w:rsidR="001D3945" w:rsidRPr="00D618F2">
        <w:rPr>
          <w:rFonts w:eastAsiaTheme="minorEastAsia"/>
        </w:rPr>
        <w:t xml:space="preserve"> parameters are fully independent</w:t>
      </w:r>
      <w:r w:rsidR="009A3E32" w:rsidRPr="00D618F2">
        <w:rPr>
          <w:rFonts w:eastAsiaTheme="minorEastAsia"/>
        </w:rPr>
        <w:t>.</w:t>
      </w:r>
    </w:p>
    <w:p w14:paraId="5F6D9261" w14:textId="77777777" w:rsidR="004132DA" w:rsidRPr="00D618F2" w:rsidRDefault="004132DA" w:rsidP="004132DA">
      <w:pPr>
        <w:rPr>
          <w:rFonts w:eastAsiaTheme="minorEastAsia"/>
        </w:rPr>
      </w:pPr>
    </w:p>
    <w:p w14:paraId="79C6B291" w14:textId="77777777" w:rsidR="00A52570" w:rsidRPr="00D618F2" w:rsidRDefault="00A52570" w:rsidP="009B7947"/>
    <w:p w14:paraId="5E1A02A6" w14:textId="4E890662" w:rsidR="004132DA" w:rsidRPr="00D618F2" w:rsidRDefault="00C36557" w:rsidP="004132DA">
      <w:pPr>
        <w:pStyle w:val="Heading2"/>
        <w:numPr>
          <w:ilvl w:val="0"/>
          <w:numId w:val="0"/>
        </w:numPr>
      </w:pPr>
      <w:r w:rsidRPr="00D618F2">
        <w:t>NB</w:t>
      </w:r>
      <w:r w:rsidR="004132DA" w:rsidRPr="00D618F2">
        <w:t xml:space="preserve"> model</w:t>
      </w:r>
      <w:r w:rsidRPr="00D618F2">
        <w:t>s</w:t>
      </w:r>
    </w:p>
    <w:p w14:paraId="26E49304" w14:textId="5A1AFA6F" w:rsidR="004132DA" w:rsidRPr="00D618F2" w:rsidRDefault="004132DA" w:rsidP="004132DA"/>
    <w:p w14:paraId="58064D90" w14:textId="4DBEAEAC" w:rsidR="0024502D" w:rsidRPr="00D618F2" w:rsidRDefault="0024502D" w:rsidP="004132DA">
      <w:r w:rsidRPr="00D618F2">
        <w:t xml:space="preserve">Negative binomial models NB1, NB2, NB3, NB4 and NB5 correspond to Poisson models </w:t>
      </w:r>
      <m:oMath>
        <m:r>
          <m:rPr>
            <m:sty m:val="p"/>
          </m:rPr>
          <w:rPr>
            <w:rFonts w:ascii="Cambria Math" w:eastAsiaTheme="minorEastAsia" w:hAnsi="Cambria Math" w:cs="Arial"/>
          </w:rPr>
          <w:br/>
          <m:t>Poisson</m:t>
        </m:r>
        <m:d>
          <m:dPr>
            <m:ctrlPr>
              <w:rPr>
                <w:rFonts w:ascii="Cambria Math" w:eastAsiaTheme="minorEastAsia" w:hAnsi="Cambria Math" w:cs="Arial"/>
                <w:i/>
              </w:rPr>
            </m:ctrlPr>
          </m:dPr>
          <m:e>
            <m:r>
              <w:rPr>
                <w:rFonts w:ascii="Cambria Math" w:eastAsiaTheme="minorEastAsia" w:hAnsi="Cambria Math" w:cs="Arial"/>
              </w:rPr>
              <m:t>μ</m:t>
            </m:r>
          </m:e>
        </m:d>
      </m:oMath>
      <w:r w:rsidRPr="00D618F2">
        <w:rPr>
          <w:rFonts w:eastAsiaTheme="minorEastAsia"/>
        </w:rPr>
        <w:t xml:space="preserve"> </w:t>
      </w:r>
      <w:r w:rsidR="003638ED">
        <w:t>for which</w:t>
      </w:r>
      <w:r w:rsidR="003638ED" w:rsidRPr="00D618F2">
        <w:t xml:space="preserve"> </w:t>
      </w:r>
      <w:r w:rsidRPr="00D618F2">
        <w:t>rate parameter</w:t>
      </w:r>
      <w:r w:rsidR="007F6EE2" w:rsidRPr="00D618F2">
        <w:t>s</w:t>
      </w:r>
      <w:r w:rsidRPr="00D618F2">
        <w:t xml:space="preserve"> </w:t>
      </w:r>
      <m:oMath>
        <m:r>
          <w:rPr>
            <w:rFonts w:ascii="Cambria Math" w:eastAsiaTheme="minorEastAsia" w:hAnsi="Cambria Math" w:cs="Arial"/>
          </w:rPr>
          <m:t>μ</m:t>
        </m:r>
      </m:oMath>
      <w:r w:rsidRPr="00D618F2">
        <w:t xml:space="preserve"> follow a gamma distribution.</w:t>
      </w:r>
      <w:r w:rsidR="001D3945" w:rsidRPr="00D618F2">
        <w:t xml:space="preserve"> Negative binomial distributions are used </w:t>
      </w:r>
      <w:r w:rsidR="00EF6155" w:rsidRPr="00D618F2">
        <w:t xml:space="preserve">here </w:t>
      </w:r>
      <w:r w:rsidR="001D3945" w:rsidRPr="00D618F2">
        <w:t>as an extension of</w:t>
      </w:r>
      <w:r w:rsidR="00EF6155">
        <w:t xml:space="preserve"> the</w:t>
      </w:r>
      <w:r w:rsidR="001D3945" w:rsidRPr="00D618F2">
        <w:t xml:space="preserve"> Poisson count model. Having an additional parameter, NB can account for overdispersion when the variance of the counts is greater than the mean.</w:t>
      </w:r>
      <w:r w:rsidRPr="00D618F2">
        <w:t xml:space="preserve"> NB models have been parametrized in terms of </w:t>
      </w:r>
      <m:oMath>
        <m:r>
          <w:rPr>
            <w:rFonts w:ascii="Cambria Math" w:hAnsi="Cambria Math"/>
          </w:rPr>
          <m:t>μ</m:t>
        </m:r>
        <m:r>
          <w:rPr>
            <w:rFonts w:ascii="Cambria Math" w:eastAsiaTheme="minorEastAsia" w:hAnsi="Cambria Math"/>
          </w:rPr>
          <m:t>&gt;0</m:t>
        </m:r>
      </m:oMath>
      <w:r w:rsidR="00A52570" w:rsidRPr="00D618F2">
        <w:rPr>
          <w:rFonts w:eastAsiaTheme="minorEastAsia"/>
        </w:rPr>
        <w:t>, correspond</w:t>
      </w:r>
      <w:proofErr w:type="spellStart"/>
      <w:r w:rsidR="006917B7">
        <w:rPr>
          <w:rFonts w:eastAsiaTheme="minorEastAsia"/>
        </w:rPr>
        <w:t>ing</w:t>
      </w:r>
      <w:proofErr w:type="spellEnd"/>
      <w:r w:rsidR="00A52570" w:rsidRPr="00D618F2">
        <w:rPr>
          <w:rFonts w:eastAsiaTheme="minorEastAsia"/>
        </w:rPr>
        <w:t xml:space="preserve"> to the above</w:t>
      </w:r>
      <w:r w:rsidR="006917B7">
        <w:rPr>
          <w:rFonts w:eastAsiaTheme="minorEastAsia"/>
        </w:rPr>
        <w:t>-</w:t>
      </w:r>
      <w:r w:rsidR="00A52570" w:rsidRPr="00D618F2">
        <w:rPr>
          <w:rFonts w:eastAsiaTheme="minorEastAsia"/>
        </w:rPr>
        <w:t xml:space="preserve">defined P1, P2, P3, P4 and P5 models, </w:t>
      </w:r>
      <w:r w:rsidR="007F6EE2" w:rsidRPr="00D618F2">
        <w:rPr>
          <w:rFonts w:eastAsiaTheme="minorEastAsia"/>
        </w:rPr>
        <w:t xml:space="preserve">with </w:t>
      </w:r>
      <w:r w:rsidR="001D3945" w:rsidRPr="00D618F2">
        <w:rPr>
          <w:rFonts w:eastAsiaTheme="minorEastAsia"/>
        </w:rPr>
        <w:t>the</w:t>
      </w:r>
      <w:r w:rsidR="007F6EE2" w:rsidRPr="00D618F2">
        <w:rPr>
          <w:rFonts w:eastAsiaTheme="minorEastAsia"/>
        </w:rPr>
        <w:t xml:space="preserve"> </w:t>
      </w:r>
      <w:r w:rsidR="00A52570" w:rsidRPr="00D618F2">
        <w:rPr>
          <w:rFonts w:eastAsiaTheme="minorEastAsia"/>
        </w:rPr>
        <w:t>additional parameter</w:t>
      </w:r>
      <w:r w:rsidR="0057112D" w:rsidRPr="00D618F2">
        <w:rPr>
          <w:rFonts w:eastAsiaTheme="minorEastAsia"/>
        </w:rPr>
        <w:t xml:space="preserve"> </w:t>
      </w:r>
      <m:oMath>
        <m:r>
          <w:rPr>
            <w:rFonts w:ascii="Cambria Math" w:eastAsiaTheme="minorEastAsia" w:hAnsi="Cambria Math" w:cs="Arial"/>
          </w:rPr>
          <m:t>α&gt;0</m:t>
        </m:r>
      </m:oMath>
      <w:r w:rsidR="0057112D" w:rsidRPr="00D618F2">
        <w:rPr>
          <w:rFonts w:eastAsiaTheme="minorEastAsia"/>
        </w:rPr>
        <w:t xml:space="preserve"> </w:t>
      </w:r>
      <w:r w:rsidR="00A52570" w:rsidRPr="00D618F2">
        <w:rPr>
          <w:rFonts w:eastAsiaTheme="minorEastAsia"/>
        </w:rPr>
        <w:t>that models overdispersion:</w:t>
      </w:r>
    </w:p>
    <w:p w14:paraId="6F4FFA99" w14:textId="77777777" w:rsidR="001D3945" w:rsidRPr="00D618F2" w:rsidRDefault="001D3945" w:rsidP="004132DA">
      <w:pPr>
        <w:rPr>
          <w:rFonts w:eastAsiaTheme="minorEastAsia"/>
        </w:rPr>
      </w:pPr>
    </w:p>
    <w:p w14:paraId="42422519" w14:textId="37A6133A" w:rsidR="001D3945" w:rsidRPr="00D618F2" w:rsidRDefault="00CB635E" w:rsidP="004132DA">
      <w:pPr>
        <w:rPr>
          <w:rFonts w:eastAsiaTheme="minorEastAsia"/>
        </w:rPr>
      </w:pPr>
      <m:oMathPara>
        <m:oMath>
          <m:sSub>
            <m:sSubPr>
              <m:ctrlPr>
                <w:rPr>
                  <w:rFonts w:ascii="Cambria Math" w:hAnsi="Cambria Math" w:cs="Arial"/>
                  <w:i/>
                </w:rPr>
              </m:ctrlPr>
            </m:sSubPr>
            <m:e>
              <m:r>
                <w:rPr>
                  <w:rFonts w:ascii="Cambria Math" w:hAnsi="Cambria Math" w:cs="Arial"/>
                </w:rPr>
                <m:t>y</m:t>
              </m:r>
            </m:e>
            <m:sub>
              <m:r>
                <w:rPr>
                  <w:rFonts w:ascii="Cambria Math" w:hAnsi="Cambria Math" w:cs="Arial"/>
                </w:rPr>
                <m:t>a,t,d</m:t>
              </m:r>
            </m:sub>
          </m:sSub>
          <m:r>
            <m:rPr>
              <m:sty m:val="p"/>
            </m:rPr>
            <w:rPr>
              <w:rFonts w:ascii="Cambria Math" w:eastAsiaTheme="minorEastAsia" w:hAnsi="Cambria Math" w:cs="Arial"/>
            </w:rPr>
            <m:t xml:space="preserve"> ~ NegBin</m:t>
          </m:r>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μ</m:t>
                  </m:r>
                </m:e>
                <m:sub>
                  <m:r>
                    <w:rPr>
                      <w:rFonts w:ascii="Cambria Math" w:eastAsiaTheme="minorEastAsia" w:hAnsi="Cambria Math" w:cs="Arial"/>
                    </w:rPr>
                    <m:t>a,t,d</m:t>
                  </m:r>
                </m:sub>
              </m:sSub>
              <m:r>
                <w:rPr>
                  <w:rFonts w:ascii="Cambria Math" w:eastAsiaTheme="minorEastAsia" w:hAnsi="Cambria Math" w:cs="Arial"/>
                </w:rPr>
                <m:t>,   α</m:t>
              </m:r>
            </m:e>
          </m:d>
        </m:oMath>
      </m:oMathPara>
    </w:p>
    <w:p w14:paraId="1CCE61A2" w14:textId="77777777" w:rsidR="001D3945" w:rsidRPr="00D618F2" w:rsidRDefault="001D3945" w:rsidP="004132DA">
      <w:pPr>
        <w:rPr>
          <w:rFonts w:eastAsiaTheme="minorEastAsia"/>
        </w:rPr>
      </w:pPr>
    </w:p>
    <w:p w14:paraId="7F1EAF7E" w14:textId="296E365B" w:rsidR="004132DA" w:rsidRPr="00D618F2" w:rsidRDefault="00A52570" w:rsidP="004132DA">
      <w:pPr>
        <w:rPr>
          <w:rFonts w:eastAsiaTheme="minorEastAsia"/>
        </w:rPr>
      </w:pPr>
      <w:r w:rsidRPr="00D618F2">
        <w:rPr>
          <w:rFonts w:eastAsiaTheme="minorEastAsia"/>
        </w:rPr>
        <w:lastRenderedPageBreak/>
        <w:t xml:space="preserve">For </w:t>
      </w:r>
      <w:r w:rsidR="008F1087">
        <w:rPr>
          <w:rFonts w:eastAsiaTheme="minorEastAsia"/>
        </w:rPr>
        <w:t xml:space="preserve">a </w:t>
      </w:r>
      <w:r w:rsidRPr="00D618F2">
        <w:rPr>
          <w:rFonts w:eastAsiaTheme="minorEastAsia"/>
        </w:rPr>
        <w:t xml:space="preserve">large </w:t>
      </w:r>
      <m:oMath>
        <m:r>
          <w:rPr>
            <w:rFonts w:ascii="Cambria Math" w:eastAsiaTheme="minorEastAsia" w:hAnsi="Cambria Math" w:cs="Arial"/>
          </w:rPr>
          <m:t>α</m:t>
        </m:r>
      </m:oMath>
      <w:r w:rsidRPr="00D618F2">
        <w:rPr>
          <w:rFonts w:eastAsiaTheme="minorEastAsia"/>
        </w:rPr>
        <w:t>,</w:t>
      </w:r>
      <w:r w:rsidR="007F6EE2" w:rsidRPr="00D618F2">
        <w:rPr>
          <w:rFonts w:eastAsiaTheme="minorEastAsia"/>
        </w:rPr>
        <w:t xml:space="preserve"> the negative binomial distribution</w:t>
      </w:r>
      <w:r w:rsidRPr="00D618F2">
        <w:rPr>
          <w:rFonts w:eastAsiaTheme="minorEastAsia"/>
        </w:rPr>
        <w:t xml:space="preserve"> </w:t>
      </w:r>
      <m:oMath>
        <m:r>
          <m:rPr>
            <m:sty m:val="p"/>
          </m:rPr>
          <w:rPr>
            <w:rFonts w:ascii="Cambria Math" w:eastAsiaTheme="minorEastAsia" w:hAnsi="Cambria Math" w:cs="Arial"/>
          </w:rPr>
          <m:t>NegBin</m:t>
        </m:r>
        <m:d>
          <m:dPr>
            <m:ctrlPr>
              <w:rPr>
                <w:rFonts w:ascii="Cambria Math" w:eastAsiaTheme="minorEastAsia" w:hAnsi="Cambria Math" w:cs="Arial"/>
                <w:i/>
              </w:rPr>
            </m:ctrlPr>
          </m:dPr>
          <m:e>
            <m:r>
              <w:rPr>
                <w:rFonts w:ascii="Cambria Math" w:eastAsiaTheme="minorEastAsia" w:hAnsi="Cambria Math" w:cs="Arial"/>
              </w:rPr>
              <m:t>μ, α</m:t>
            </m:r>
          </m:e>
        </m:d>
      </m:oMath>
      <w:r w:rsidRPr="00D618F2">
        <w:rPr>
          <w:rFonts w:eastAsiaTheme="minorEastAsia"/>
        </w:rPr>
        <w:t xml:space="preserve"> approaches</w:t>
      </w:r>
      <w:r w:rsidR="007F6EE2" w:rsidRPr="00D618F2">
        <w:rPr>
          <w:rFonts w:eastAsiaTheme="minorEastAsia"/>
        </w:rPr>
        <w:t xml:space="preserve"> a Poisson distribution</w:t>
      </w:r>
      <w:r w:rsidRPr="00D618F2">
        <w:rPr>
          <w:rFonts w:eastAsiaTheme="minorEastAsia"/>
        </w:rPr>
        <w:t xml:space="preserve"> </w:t>
      </w:r>
      <m:oMath>
        <m:r>
          <m:rPr>
            <m:sty m:val="p"/>
          </m:rPr>
          <w:rPr>
            <w:rFonts w:ascii="Cambria Math" w:eastAsiaTheme="minorEastAsia" w:hAnsi="Cambria Math" w:cs="Arial"/>
          </w:rPr>
          <m:t>Poisson</m:t>
        </m:r>
        <m:d>
          <m:dPr>
            <m:ctrlPr>
              <w:rPr>
                <w:rFonts w:ascii="Cambria Math" w:eastAsiaTheme="minorEastAsia" w:hAnsi="Cambria Math" w:cs="Arial"/>
                <w:i/>
              </w:rPr>
            </m:ctrlPr>
          </m:dPr>
          <m:e>
            <m:r>
              <w:rPr>
                <w:rFonts w:ascii="Cambria Math" w:eastAsiaTheme="minorEastAsia" w:hAnsi="Cambria Math" w:cs="Arial"/>
              </w:rPr>
              <m:t>μ</m:t>
            </m:r>
          </m:e>
        </m:d>
      </m:oMath>
      <w:r w:rsidR="00E961CF" w:rsidRPr="00D618F2">
        <w:rPr>
          <w:rFonts w:eastAsiaTheme="minorEastAsia"/>
        </w:rPr>
        <w:t xml:space="preserve"> of mean </w:t>
      </w:r>
      <m:oMath>
        <m:r>
          <w:rPr>
            <w:rFonts w:ascii="Cambria Math" w:hAnsi="Cambria Math"/>
          </w:rPr>
          <m:t>μ</m:t>
        </m:r>
      </m:oMath>
      <w:r w:rsidR="00E961CF" w:rsidRPr="00D618F2">
        <w:rPr>
          <w:rFonts w:eastAsiaTheme="minorEastAsia"/>
        </w:rPr>
        <w:t>.</w:t>
      </w:r>
    </w:p>
    <w:p w14:paraId="44273FBA" w14:textId="30C497B1" w:rsidR="00E961CF" w:rsidRPr="00D618F2" w:rsidRDefault="00E961CF" w:rsidP="004132DA">
      <w:pPr>
        <w:rPr>
          <w:rFonts w:eastAsiaTheme="minorEastAsia"/>
        </w:rPr>
      </w:pPr>
    </w:p>
    <w:p w14:paraId="00FC21F8" w14:textId="273FDB45" w:rsidR="00E961CF" w:rsidRPr="00D618F2" w:rsidRDefault="00E961CF" w:rsidP="004132DA">
      <w:pPr>
        <w:rPr>
          <w:rFonts w:eastAsiaTheme="minorEastAsia"/>
        </w:rPr>
      </w:pPr>
      <w:r w:rsidRPr="00D618F2">
        <w:rPr>
          <w:rFonts w:eastAsiaTheme="minorEastAsia"/>
        </w:rPr>
        <w:t xml:space="preserve">Having defined NB models as the negative binomial counterparts of P models, the specific mathematical expression for </w:t>
      </w:r>
      <m:oMath>
        <m:sSub>
          <m:sSubPr>
            <m:ctrlPr>
              <w:rPr>
                <w:rFonts w:ascii="Cambria Math" w:eastAsiaTheme="minorEastAsia" w:hAnsi="Cambria Math" w:cs="Arial"/>
                <w:i/>
              </w:rPr>
            </m:ctrlPr>
          </m:sSubPr>
          <m:e>
            <m:r>
              <w:rPr>
                <w:rFonts w:ascii="Cambria Math" w:eastAsiaTheme="minorEastAsia" w:hAnsi="Cambria Math" w:cs="Arial"/>
              </w:rPr>
              <m:t>μ</m:t>
            </m:r>
          </m:e>
          <m:sub>
            <m:r>
              <w:rPr>
                <w:rFonts w:ascii="Cambria Math" w:eastAsiaTheme="minorEastAsia" w:hAnsi="Cambria Math" w:cs="Arial"/>
              </w:rPr>
              <m:t>a,t,d</m:t>
            </m:r>
          </m:sub>
        </m:sSub>
      </m:oMath>
      <w:r w:rsidRPr="00D618F2">
        <w:rPr>
          <w:rFonts w:eastAsiaTheme="minorEastAsia"/>
        </w:rPr>
        <w:t xml:space="preserve"> can be found in the respective P models. For example, </w:t>
      </w:r>
      <w:r w:rsidR="00DE4EB0">
        <w:rPr>
          <w:rFonts w:eastAsiaTheme="minorEastAsia"/>
        </w:rPr>
        <w:t xml:space="preserve">the </w:t>
      </w:r>
      <w:r w:rsidRPr="00D618F2">
        <w:rPr>
          <w:rFonts w:eastAsiaTheme="minorEastAsia"/>
        </w:rPr>
        <w:t>NB1 model is</w:t>
      </w:r>
    </w:p>
    <w:p w14:paraId="316F763D" w14:textId="77777777" w:rsidR="00E961CF" w:rsidRPr="00D618F2" w:rsidRDefault="00E961CF" w:rsidP="00E961CF">
      <w:pPr>
        <w:rPr>
          <w:rFonts w:eastAsiaTheme="minorEastAsia"/>
        </w:rPr>
      </w:pPr>
    </w:p>
    <w:p w14:paraId="159271F5" w14:textId="71151B0A" w:rsidR="00E961CF" w:rsidRPr="00D618F2" w:rsidRDefault="00CB635E" w:rsidP="00E961CF">
      <w:pPr>
        <w:jc w:val="center"/>
        <w:rPr>
          <w:rFonts w:eastAsiaTheme="minorEastAsia"/>
        </w:rPr>
      </w:pPr>
      <m:oMath>
        <m:sSub>
          <m:sSubPr>
            <m:ctrlPr>
              <w:rPr>
                <w:rFonts w:ascii="Cambria Math" w:hAnsi="Cambria Math" w:cs="Arial"/>
                <w:i/>
              </w:rPr>
            </m:ctrlPr>
          </m:sSubPr>
          <m:e>
            <m:r>
              <w:rPr>
                <w:rFonts w:ascii="Cambria Math" w:hAnsi="Cambria Math" w:cs="Arial"/>
              </w:rPr>
              <m:t>y</m:t>
            </m:r>
          </m:e>
          <m:sub>
            <m:r>
              <w:rPr>
                <w:rFonts w:ascii="Cambria Math" w:hAnsi="Cambria Math" w:cs="Arial"/>
              </w:rPr>
              <m:t>a,t,d</m:t>
            </m:r>
          </m:sub>
        </m:sSub>
        <m:r>
          <m:rPr>
            <m:sty m:val="p"/>
          </m:rPr>
          <w:rPr>
            <w:rFonts w:ascii="Cambria Math" w:eastAsiaTheme="minorEastAsia" w:hAnsi="Cambria Math" w:cs="Arial"/>
          </w:rPr>
          <m:t xml:space="preserve"> ~ NegBin</m:t>
        </m:r>
        <m:r>
          <w:rPr>
            <w:rFonts w:ascii="Cambria Math" w:eastAsiaTheme="minorEastAsia" w:hAnsi="Cambria Math" w:cs="Arial"/>
          </w:rPr>
          <m:t xml:space="preserve"> </m:t>
        </m:r>
        <m:d>
          <m:dPr>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N</m:t>
                </m:r>
              </m:e>
              <m:sub>
                <m:r>
                  <w:rPr>
                    <w:rFonts w:ascii="Cambria Math" w:eastAsiaTheme="minorEastAsia" w:hAnsi="Cambria Math" w:cs="Arial"/>
                  </w:rPr>
                  <m:t>a,t,d</m:t>
                </m:r>
              </m:sub>
            </m:sSub>
            <m:sSup>
              <m:sSupPr>
                <m:ctrlPr>
                  <w:rPr>
                    <w:rFonts w:ascii="Cambria Math" w:eastAsiaTheme="minorEastAsia" w:hAnsi="Cambria Math" w:cs="Arial"/>
                    <w:i/>
                  </w:rPr>
                </m:ctrlPr>
              </m:sSupPr>
              <m:e>
                <m:r>
                  <w:rPr>
                    <w:rFonts w:ascii="Cambria Math" w:eastAsiaTheme="minorEastAsia" w:hAnsi="Cambria Math" w:cs="Arial"/>
                  </w:rPr>
                  <m:t>e</m:t>
                </m:r>
              </m:e>
              <m:sup>
                <m:sSub>
                  <m:sSubPr>
                    <m:ctrlPr>
                      <w:rPr>
                        <w:rFonts w:ascii="Cambria Math" w:eastAsiaTheme="minorEastAsia" w:hAnsi="Cambria Math" w:cs="Arial"/>
                        <w:i/>
                      </w:rPr>
                    </m:ctrlPr>
                  </m:sSubPr>
                  <m:e>
                    <m:r>
                      <w:rPr>
                        <w:rFonts w:ascii="Cambria Math" w:eastAsiaTheme="minorEastAsia" w:hAnsi="Cambria Math" w:cs="Arial"/>
                      </w:rPr>
                      <m:t>ρ</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θ</m:t>
                    </m:r>
                  </m:e>
                  <m:sub>
                    <m:r>
                      <w:rPr>
                        <w:rFonts w:ascii="Cambria Math" w:eastAsiaTheme="minorEastAsia" w:hAnsi="Cambria Math" w:cs="Arial"/>
                      </w:rPr>
                      <m:t>d</m:t>
                    </m:r>
                  </m:sub>
                </m:sSub>
              </m:sup>
            </m:sSup>
            <m:r>
              <w:rPr>
                <w:rFonts w:ascii="Cambria Math" w:eastAsiaTheme="minorEastAsia" w:hAnsi="Cambria Math" w:cs="Arial"/>
              </w:rPr>
              <m:t>,   α</m:t>
            </m:r>
          </m:e>
        </m:d>
      </m:oMath>
      <w:r w:rsidR="00E961CF" w:rsidRPr="00D618F2">
        <w:rPr>
          <w:rFonts w:eastAsiaTheme="minorEastAsia"/>
        </w:rPr>
        <w:t>,</w:t>
      </w:r>
    </w:p>
    <w:p w14:paraId="51BB3356" w14:textId="15AD48E1" w:rsidR="00E961CF" w:rsidRPr="00D618F2" w:rsidRDefault="00E961CF" w:rsidP="00E961CF">
      <w:pPr>
        <w:jc w:val="center"/>
        <w:rPr>
          <w:rFonts w:eastAsiaTheme="minorEastAsia"/>
        </w:rPr>
      </w:pPr>
    </w:p>
    <w:p w14:paraId="33D1A306" w14:textId="38CD6325" w:rsidR="00E961CF" w:rsidRPr="00D618F2" w:rsidRDefault="00E961CF" w:rsidP="00E961CF">
      <w:pPr>
        <w:rPr>
          <w:rFonts w:eastAsiaTheme="minorEastAsia"/>
        </w:rPr>
      </w:pPr>
      <w:r w:rsidRPr="00D618F2">
        <w:rPr>
          <w:rFonts w:eastAsiaTheme="minorEastAsia"/>
        </w:rPr>
        <w:t xml:space="preserve">with a hierarchically distributed </w:t>
      </w: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oMath>
    </w:p>
    <w:p w14:paraId="42370F96" w14:textId="7AC2E1A1" w:rsidR="00E961CF" w:rsidRPr="00D618F2" w:rsidRDefault="00E961CF" w:rsidP="00E961CF">
      <w:pPr>
        <w:rPr>
          <w:rFonts w:eastAsiaTheme="minorEastAsia"/>
        </w:rPr>
      </w:pPr>
    </w:p>
    <w:p w14:paraId="2156D766" w14:textId="0AB6D669" w:rsidR="00E961CF" w:rsidRPr="00D618F2" w:rsidRDefault="00CB635E" w:rsidP="009A13D5">
      <w:pPr>
        <w:jc w:val="center"/>
        <w:rPr>
          <w:rFonts w:eastAsiaTheme="minorEastAsia"/>
        </w:rPr>
      </w:pPr>
      <m:oMath>
        <m:sSub>
          <m:sSubPr>
            <m:ctrlPr>
              <w:rPr>
                <w:rFonts w:ascii="Cambria Math" w:eastAsiaTheme="minorEastAsia" w:hAnsi="Cambria Math" w:cs="Arial"/>
                <w:i/>
              </w:rPr>
            </m:ctrlPr>
          </m:sSubPr>
          <m:e>
            <m:r>
              <w:rPr>
                <w:rFonts w:ascii="Cambria Math" w:eastAsiaTheme="minorEastAsia" w:hAnsi="Cambria Math" w:cs="Arial"/>
              </w:rPr>
              <m:t>β</m:t>
            </m:r>
          </m:e>
          <m:sub>
            <m:r>
              <w:rPr>
                <w:rFonts w:ascii="Cambria Math" w:eastAsiaTheme="minorEastAsia" w:hAnsi="Cambria Math" w:cs="Arial"/>
              </w:rPr>
              <m:t>t</m:t>
            </m:r>
          </m:sub>
        </m:sSub>
        <m:r>
          <m:rPr>
            <m:sty m:val="p"/>
          </m:rPr>
          <w:rPr>
            <w:rFonts w:ascii="Cambria Math" w:eastAsiaTheme="minorEastAsia" w:hAnsi="Cambria Math" w:cs="Arial"/>
            <w:sz w:val="22"/>
            <w:szCs w:val="22"/>
          </w:rPr>
          <m:t xml:space="preserve"> ~ Normal</m:t>
        </m:r>
        <m:r>
          <w:rPr>
            <w:rFonts w:ascii="Cambria Math" w:eastAsiaTheme="minorEastAsia" w:hAnsi="Cambria Math" w:cs="Arial"/>
            <w:sz w:val="22"/>
            <w:szCs w:val="22"/>
          </w:rPr>
          <m:t xml:space="preserve"> </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 xml:space="preserve">0; </m:t>
            </m:r>
            <m:sSubSup>
              <m:sSubSupPr>
                <m:ctrlPr>
                  <w:rPr>
                    <w:rFonts w:ascii="Cambria Math" w:eastAsiaTheme="minorEastAsia" w:hAnsi="Cambria Math" w:cs="Arial"/>
                    <w:i/>
                    <w:sz w:val="22"/>
                    <w:szCs w:val="22"/>
                  </w:rPr>
                </m:ctrlPr>
              </m:sSubSupPr>
              <m:e>
                <m:r>
                  <w:rPr>
                    <w:rFonts w:ascii="Cambria Math" w:eastAsiaTheme="minorEastAsia" w:hAnsi="Cambria Math" w:cs="Arial"/>
                    <w:sz w:val="22"/>
                    <w:szCs w:val="22"/>
                  </w:rPr>
                  <m:t>σ</m:t>
                </m:r>
              </m:e>
              <m:sub>
                <m:r>
                  <w:rPr>
                    <w:rFonts w:ascii="Cambria Math" w:eastAsiaTheme="minorEastAsia" w:hAnsi="Cambria Math" w:cs="Arial"/>
                    <w:sz w:val="22"/>
                    <w:szCs w:val="22"/>
                  </w:rPr>
                  <m:t>β</m:t>
                </m:r>
              </m:sub>
              <m:sup>
                <m:r>
                  <w:rPr>
                    <w:rFonts w:ascii="Cambria Math" w:eastAsiaTheme="minorEastAsia" w:hAnsi="Cambria Math" w:cs="Arial"/>
                    <w:sz w:val="22"/>
                    <w:szCs w:val="22"/>
                  </w:rPr>
                  <m:t>2</m:t>
                </m:r>
              </m:sup>
            </m:sSubSup>
          </m:e>
        </m:d>
      </m:oMath>
      <w:r w:rsidR="009A13D5" w:rsidRPr="00D618F2">
        <w:rPr>
          <w:rFonts w:eastAsiaTheme="minorEastAsia"/>
          <w:sz w:val="22"/>
          <w:szCs w:val="22"/>
        </w:rPr>
        <w:t>.</w:t>
      </w:r>
    </w:p>
    <w:p w14:paraId="13894E6D" w14:textId="77777777" w:rsidR="00E961CF" w:rsidRPr="00D618F2" w:rsidRDefault="00E961CF" w:rsidP="004132DA">
      <w:pPr>
        <w:rPr>
          <w:rFonts w:eastAsiaTheme="minorEastAsia"/>
        </w:rPr>
      </w:pPr>
    </w:p>
    <w:p w14:paraId="7DFFB64C" w14:textId="77777777" w:rsidR="004132DA" w:rsidRPr="00D618F2" w:rsidRDefault="004132DA" w:rsidP="004132DA">
      <w:pPr>
        <w:rPr>
          <w:rFonts w:eastAsiaTheme="minorEastAsia"/>
        </w:rPr>
      </w:pPr>
    </w:p>
    <w:p w14:paraId="50D478BA" w14:textId="0748AB7E" w:rsidR="004D5D26" w:rsidRPr="00D618F2" w:rsidRDefault="004D5D26">
      <w:pPr>
        <w:rPr>
          <w:rFonts w:eastAsiaTheme="majorEastAsia" w:cstheme="majorBidi"/>
          <w:color w:val="2F5496" w:themeColor="accent1" w:themeShade="BF"/>
        </w:rPr>
      </w:pPr>
      <w:r w:rsidRPr="00D618F2">
        <w:br w:type="page"/>
      </w:r>
    </w:p>
    <w:p w14:paraId="09316CB5" w14:textId="57CBB74A" w:rsidR="004D5D26" w:rsidRPr="00D618F2" w:rsidRDefault="004D5D26" w:rsidP="004D5D26">
      <w:pPr>
        <w:pStyle w:val="Heading1"/>
        <w:numPr>
          <w:ilvl w:val="0"/>
          <w:numId w:val="0"/>
        </w:numPr>
      </w:pPr>
      <w:r w:rsidRPr="00D618F2">
        <w:lastRenderedPageBreak/>
        <w:t>S</w:t>
      </w:r>
      <w:r w:rsidR="007F6EE2" w:rsidRPr="00D618F2">
        <w:t>8</w:t>
      </w:r>
      <w:r w:rsidRPr="00D618F2">
        <w:t xml:space="preserve"> </w:t>
      </w:r>
      <w:r w:rsidR="00C93D24" w:rsidRPr="00D618F2">
        <w:t>Convergence d</w:t>
      </w:r>
      <w:r w:rsidR="007F6EE2" w:rsidRPr="00D618F2">
        <w:t xml:space="preserve">iagnostics </w:t>
      </w:r>
      <w:r w:rsidR="00C93D24" w:rsidRPr="00D618F2">
        <w:t xml:space="preserve">and posterior distributions of sampled parameters </w:t>
      </w:r>
      <w:r w:rsidR="007F6EE2" w:rsidRPr="00D618F2">
        <w:t>for the best</w:t>
      </w:r>
      <w:r w:rsidR="004170F8">
        <w:t xml:space="preserve"> </w:t>
      </w:r>
      <w:r w:rsidR="007F6EE2" w:rsidRPr="00D618F2">
        <w:t>fitting model</w:t>
      </w:r>
    </w:p>
    <w:p w14:paraId="0E857F0C" w14:textId="30D0B4D8" w:rsidR="00A70598" w:rsidRPr="00D618F2" w:rsidRDefault="00A70598" w:rsidP="00841902">
      <w:pPr>
        <w:rPr>
          <w:rFonts w:cs="Arial"/>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402"/>
      </w:tblGrid>
      <w:tr w:rsidR="008456C2" w:rsidRPr="00D618F2" w14:paraId="5EEB814F" w14:textId="77777777" w:rsidTr="008668C8">
        <w:tc>
          <w:tcPr>
            <w:tcW w:w="9634" w:type="dxa"/>
            <w:gridSpan w:val="2"/>
          </w:tcPr>
          <w:p w14:paraId="2CD76932" w14:textId="47195B2E" w:rsidR="008456C2" w:rsidRPr="00D618F2" w:rsidRDefault="008456C2" w:rsidP="00841902">
            <w:pPr>
              <w:rPr>
                <w:rFonts w:cs="Arial"/>
                <w:b/>
                <w:bCs/>
              </w:rPr>
            </w:pPr>
            <w:r w:rsidRPr="00D618F2">
              <w:rPr>
                <w:rFonts w:cs="Arial"/>
                <w:b/>
                <w:bCs/>
              </w:rPr>
              <w:t>Figure S5</w:t>
            </w:r>
            <w:r w:rsidR="00C93D24" w:rsidRPr="00D618F2">
              <w:rPr>
                <w:rFonts w:cs="Arial"/>
                <w:b/>
                <w:bCs/>
              </w:rPr>
              <w:t>. Sampled parameters and their distributions</w:t>
            </w:r>
          </w:p>
        </w:tc>
      </w:tr>
      <w:tr w:rsidR="008456C2" w:rsidRPr="00D618F2" w14:paraId="3BE50858" w14:textId="77777777" w:rsidTr="008668C8">
        <w:tc>
          <w:tcPr>
            <w:tcW w:w="6232" w:type="dxa"/>
          </w:tcPr>
          <w:p w14:paraId="0BCCA99A" w14:textId="50C84153" w:rsidR="008456C2" w:rsidRPr="00D618F2" w:rsidRDefault="008456C2" w:rsidP="008668C8">
            <w:pPr>
              <w:jc w:val="center"/>
              <w:rPr>
                <w:rFonts w:cs="Arial"/>
              </w:rPr>
            </w:pPr>
            <w:r w:rsidRPr="00D618F2">
              <w:rPr>
                <w:rFonts w:cs="Arial"/>
                <w:noProof/>
              </w:rPr>
              <w:drawing>
                <wp:inline distT="0" distB="0" distL="0" distR="0" wp14:anchorId="2D7EE485" wp14:editId="0A14BAD7">
                  <wp:extent cx="3600000" cy="7199496"/>
                  <wp:effectExtent l="0" t="0" r="0" b="1905"/>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00000" cy="7199496"/>
                          </a:xfrm>
                          <a:prstGeom prst="rect">
                            <a:avLst/>
                          </a:prstGeom>
                        </pic:spPr>
                      </pic:pic>
                    </a:graphicData>
                  </a:graphic>
                </wp:inline>
              </w:drawing>
            </w:r>
          </w:p>
        </w:tc>
        <w:tc>
          <w:tcPr>
            <w:tcW w:w="3402" w:type="dxa"/>
          </w:tcPr>
          <w:p w14:paraId="45933856" w14:textId="3E4BF6EA" w:rsidR="008456C2" w:rsidRPr="00D618F2" w:rsidRDefault="008456C2" w:rsidP="008456C2">
            <w:pPr>
              <w:jc w:val="center"/>
              <w:rPr>
                <w:rFonts w:cs="Arial"/>
              </w:rPr>
            </w:pPr>
            <w:r w:rsidRPr="00D618F2">
              <w:rPr>
                <w:rFonts w:cs="Arial"/>
                <w:noProof/>
              </w:rPr>
              <w:drawing>
                <wp:inline distT="0" distB="0" distL="0" distR="0" wp14:anchorId="034C343F" wp14:editId="31EB76F6">
                  <wp:extent cx="1800000" cy="7200504"/>
                  <wp:effectExtent l="0" t="0" r="3810" b="635"/>
                  <wp:docPr id="28" name="Picture 28" descr="Chart, shape,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hape, hist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00000" cy="7200504"/>
                          </a:xfrm>
                          <a:prstGeom prst="rect">
                            <a:avLst/>
                          </a:prstGeom>
                        </pic:spPr>
                      </pic:pic>
                    </a:graphicData>
                  </a:graphic>
                </wp:inline>
              </w:drawing>
            </w:r>
          </w:p>
        </w:tc>
      </w:tr>
      <w:tr w:rsidR="008456C2" w:rsidRPr="00D618F2" w14:paraId="25C0CA8B" w14:textId="77777777" w:rsidTr="008668C8">
        <w:tc>
          <w:tcPr>
            <w:tcW w:w="9634" w:type="dxa"/>
            <w:gridSpan w:val="2"/>
          </w:tcPr>
          <w:p w14:paraId="662B49F3" w14:textId="50B31F38" w:rsidR="008456C2" w:rsidRPr="008668C8" w:rsidRDefault="002F7E23" w:rsidP="008668C8">
            <w:pPr>
              <w:jc w:val="right"/>
            </w:pPr>
            <w:proofErr w:type="gramStart"/>
            <w:r w:rsidRPr="00D618F2">
              <w:rPr>
                <w:rFonts w:cs="Arial"/>
              </w:rPr>
              <w:t>Continued on</w:t>
            </w:r>
            <w:proofErr w:type="gramEnd"/>
            <w:r w:rsidR="008456C2" w:rsidRPr="00D618F2">
              <w:rPr>
                <w:rFonts w:cs="Arial"/>
              </w:rPr>
              <w:t xml:space="preserve"> next page.</w:t>
            </w:r>
          </w:p>
        </w:tc>
      </w:tr>
    </w:tbl>
    <w:p w14:paraId="70A25F65" w14:textId="02C192DF" w:rsidR="008456C2" w:rsidRPr="00D618F2" w:rsidRDefault="008456C2" w:rsidP="00841902">
      <w:pPr>
        <w:rPr>
          <w:rFonts w:cs="Arial"/>
        </w:rPr>
      </w:pP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3402"/>
      </w:tblGrid>
      <w:tr w:rsidR="008456C2" w:rsidRPr="00D618F2" w14:paraId="1D3A90FD" w14:textId="77777777" w:rsidTr="002F7E23">
        <w:tc>
          <w:tcPr>
            <w:tcW w:w="9638" w:type="dxa"/>
            <w:gridSpan w:val="2"/>
          </w:tcPr>
          <w:p w14:paraId="51BEBBE1" w14:textId="4C0533D0" w:rsidR="008456C2" w:rsidRPr="00D618F2" w:rsidRDefault="008456C2" w:rsidP="00841902">
            <w:pPr>
              <w:rPr>
                <w:rFonts w:cs="Arial"/>
                <w:b/>
                <w:bCs/>
              </w:rPr>
            </w:pPr>
            <w:r w:rsidRPr="00D618F2">
              <w:rPr>
                <w:rFonts w:cs="Arial"/>
                <w:b/>
                <w:bCs/>
              </w:rPr>
              <w:lastRenderedPageBreak/>
              <w:t>Figure S5</w:t>
            </w:r>
            <w:r w:rsidR="004170F8">
              <w:rPr>
                <w:rFonts w:cs="Arial"/>
                <w:b/>
                <w:bCs/>
              </w:rPr>
              <w:t>.</w:t>
            </w:r>
            <w:r w:rsidRPr="00D618F2">
              <w:rPr>
                <w:rFonts w:cs="Arial"/>
                <w:b/>
                <w:bCs/>
              </w:rPr>
              <w:t xml:space="preserve"> </w:t>
            </w:r>
            <w:r w:rsidR="002F7E23" w:rsidRPr="00D618F2">
              <w:rPr>
                <w:rFonts w:cs="Arial"/>
                <w:b/>
                <w:bCs/>
              </w:rPr>
              <w:t>continued</w:t>
            </w:r>
          </w:p>
        </w:tc>
      </w:tr>
      <w:tr w:rsidR="008456C2" w:rsidRPr="00D618F2" w14:paraId="5909FAE5" w14:textId="77777777" w:rsidTr="002F7E23">
        <w:tc>
          <w:tcPr>
            <w:tcW w:w="6236" w:type="dxa"/>
          </w:tcPr>
          <w:p w14:paraId="6AD9031D" w14:textId="796263DF" w:rsidR="008456C2" w:rsidRPr="00D618F2" w:rsidRDefault="008456C2" w:rsidP="008456C2">
            <w:pPr>
              <w:jc w:val="center"/>
              <w:rPr>
                <w:rFonts w:cs="Arial"/>
              </w:rPr>
            </w:pPr>
            <w:r w:rsidRPr="00D618F2">
              <w:rPr>
                <w:rFonts w:cs="Arial"/>
                <w:noProof/>
              </w:rPr>
              <w:drawing>
                <wp:inline distT="0" distB="0" distL="0" distR="0" wp14:anchorId="4E9E6330" wp14:editId="56F196B1">
                  <wp:extent cx="3600000" cy="6600000"/>
                  <wp:effectExtent l="0" t="0" r="0" b="4445"/>
                  <wp:docPr id="33" name="Picture 33"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evi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00000" cy="6600000"/>
                          </a:xfrm>
                          <a:prstGeom prst="rect">
                            <a:avLst/>
                          </a:prstGeom>
                        </pic:spPr>
                      </pic:pic>
                    </a:graphicData>
                  </a:graphic>
                </wp:inline>
              </w:drawing>
            </w:r>
          </w:p>
        </w:tc>
        <w:tc>
          <w:tcPr>
            <w:tcW w:w="3402" w:type="dxa"/>
          </w:tcPr>
          <w:p w14:paraId="22595B22" w14:textId="25866572" w:rsidR="008456C2" w:rsidRPr="00D618F2" w:rsidRDefault="008456C2" w:rsidP="008456C2">
            <w:pPr>
              <w:jc w:val="center"/>
              <w:rPr>
                <w:rFonts w:cs="Arial"/>
              </w:rPr>
            </w:pPr>
            <w:r w:rsidRPr="00D618F2">
              <w:rPr>
                <w:rFonts w:cs="Arial"/>
                <w:noProof/>
              </w:rPr>
              <w:drawing>
                <wp:inline distT="0" distB="0" distL="0" distR="0" wp14:anchorId="2FEE9C83" wp14:editId="57704448">
                  <wp:extent cx="1800000" cy="6600001"/>
                  <wp:effectExtent l="0" t="0" r="3810" b="4445"/>
                  <wp:docPr id="31" name="Picture 31" descr="Chart, shape,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hape, histo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00000" cy="6600001"/>
                          </a:xfrm>
                          <a:prstGeom prst="rect">
                            <a:avLst/>
                          </a:prstGeom>
                        </pic:spPr>
                      </pic:pic>
                    </a:graphicData>
                  </a:graphic>
                </wp:inline>
              </w:drawing>
            </w:r>
          </w:p>
        </w:tc>
      </w:tr>
      <w:tr w:rsidR="008456C2" w:rsidRPr="00D618F2" w14:paraId="151C9642" w14:textId="77777777" w:rsidTr="002F7E23">
        <w:tc>
          <w:tcPr>
            <w:tcW w:w="9638" w:type="dxa"/>
            <w:gridSpan w:val="2"/>
          </w:tcPr>
          <w:p w14:paraId="49B73943" w14:textId="51D7B526" w:rsidR="008456C2" w:rsidRPr="00D618F2" w:rsidRDefault="00C93D24" w:rsidP="00841902">
            <w:pPr>
              <w:rPr>
                <w:rFonts w:cs="Arial"/>
              </w:rPr>
            </w:pPr>
            <w:r w:rsidRPr="00D618F2">
              <w:rPr>
                <w:i/>
                <w:iCs/>
              </w:rPr>
              <w:t>For each parameter of the best</w:t>
            </w:r>
            <w:r w:rsidR="00941B94">
              <w:rPr>
                <w:i/>
                <w:iCs/>
              </w:rPr>
              <w:t xml:space="preserve"> </w:t>
            </w:r>
            <w:r w:rsidRPr="00D618F2">
              <w:rPr>
                <w:i/>
                <w:iCs/>
              </w:rPr>
              <w:t xml:space="preserve">fitting P1 model (equation 2 of the main manuscript) </w:t>
            </w:r>
            <w:r w:rsidR="0043750D">
              <w:rPr>
                <w:i/>
                <w:iCs/>
              </w:rPr>
              <w:t>this figure</w:t>
            </w:r>
            <w:r w:rsidRPr="00D618F2">
              <w:rPr>
                <w:i/>
                <w:iCs/>
              </w:rPr>
              <w:t xml:space="preserve"> display</w:t>
            </w:r>
            <w:r w:rsidR="0043750D">
              <w:rPr>
                <w:i/>
                <w:iCs/>
              </w:rPr>
              <w:t>s</w:t>
            </w:r>
            <w:r w:rsidRPr="00D618F2">
              <w:rPr>
                <w:i/>
                <w:iCs/>
              </w:rPr>
              <w:t>, on the left side, the sampled traces (40</w:t>
            </w:r>
            <w:r w:rsidR="0043750D">
              <w:rPr>
                <w:i/>
                <w:iCs/>
              </w:rPr>
              <w:t>,</w:t>
            </w:r>
            <w:r w:rsidRPr="00D618F2">
              <w:rPr>
                <w:i/>
                <w:iCs/>
              </w:rPr>
              <w:t>000 iterations)</w:t>
            </w:r>
            <w:r w:rsidR="0072703A" w:rsidRPr="00D618F2">
              <w:rPr>
                <w:i/>
                <w:iCs/>
              </w:rPr>
              <w:t>.</w:t>
            </w:r>
            <w:r w:rsidRPr="00D618F2">
              <w:rPr>
                <w:i/>
                <w:iCs/>
              </w:rPr>
              <w:t xml:space="preserve"> The traces show that the </w:t>
            </w:r>
            <w:r w:rsidR="0072703A" w:rsidRPr="00D618F2">
              <w:rPr>
                <w:i/>
                <w:iCs/>
              </w:rPr>
              <w:t xml:space="preserve">Monte Carlo </w:t>
            </w:r>
            <w:r w:rsidRPr="00D618F2">
              <w:rPr>
                <w:i/>
                <w:iCs/>
              </w:rPr>
              <w:t xml:space="preserve">algorithm converged well. On the right side, </w:t>
            </w:r>
            <w:r w:rsidR="0072703A" w:rsidRPr="00D618F2">
              <w:rPr>
                <w:i/>
                <w:iCs/>
              </w:rPr>
              <w:t xml:space="preserve">each figure displays </w:t>
            </w:r>
            <w:r w:rsidRPr="00D618F2">
              <w:rPr>
                <w:i/>
                <w:iCs/>
              </w:rPr>
              <w:t xml:space="preserve">the respective </w:t>
            </w:r>
            <w:r w:rsidR="0072703A" w:rsidRPr="00D618F2">
              <w:rPr>
                <w:i/>
                <w:iCs/>
              </w:rPr>
              <w:t xml:space="preserve">posterior </w:t>
            </w:r>
            <w:r w:rsidRPr="00D618F2">
              <w:rPr>
                <w:i/>
                <w:iCs/>
              </w:rPr>
              <w:t xml:space="preserve">distributions </w:t>
            </w:r>
            <w:r w:rsidR="0072703A" w:rsidRPr="00D618F2">
              <w:rPr>
                <w:i/>
                <w:iCs/>
              </w:rPr>
              <w:t xml:space="preserve">of the sampled parameters </w:t>
            </w:r>
            <w:r w:rsidRPr="00D618F2">
              <w:rPr>
                <w:i/>
                <w:iCs/>
              </w:rPr>
              <w:t xml:space="preserve">(parameter values </w:t>
            </w:r>
            <w:r w:rsidR="0072703A" w:rsidRPr="00D618F2">
              <w:rPr>
                <w:i/>
                <w:iCs/>
              </w:rPr>
              <w:t xml:space="preserve">shown </w:t>
            </w:r>
            <w:r w:rsidRPr="00D618F2">
              <w:rPr>
                <w:i/>
                <w:iCs/>
              </w:rPr>
              <w:t>on horizontal ax</w:t>
            </w:r>
            <w:r w:rsidR="0072703A" w:rsidRPr="00D618F2">
              <w:rPr>
                <w:i/>
                <w:iCs/>
              </w:rPr>
              <w:t>e</w:t>
            </w:r>
            <w:r w:rsidRPr="00D618F2">
              <w:rPr>
                <w:i/>
                <w:iCs/>
              </w:rPr>
              <w:t xml:space="preserve">s), together with their means </w:t>
            </w:r>
            <w:r w:rsidR="0072703A" w:rsidRPr="00D618F2">
              <w:rPr>
                <w:i/>
                <w:iCs/>
              </w:rPr>
              <w:t>shown</w:t>
            </w:r>
            <w:r w:rsidRPr="00D618F2">
              <w:rPr>
                <w:i/>
                <w:iCs/>
              </w:rPr>
              <w:t xml:space="preserve"> as vertical lines (specific values reported in table S2).</w:t>
            </w:r>
          </w:p>
        </w:tc>
      </w:tr>
    </w:tbl>
    <w:p w14:paraId="524111DE" w14:textId="16B5446D" w:rsidR="00FF5C39" w:rsidRDefault="00FF5C39" w:rsidP="00841902">
      <w:pPr>
        <w:rPr>
          <w:rFonts w:cs="Arial"/>
        </w:rPr>
      </w:pPr>
    </w:p>
    <w:p w14:paraId="430EC325" w14:textId="77777777" w:rsidR="00FF5C39" w:rsidRDefault="00FF5C39">
      <w:pPr>
        <w:rPr>
          <w:rFonts w:cs="Arial"/>
        </w:rPr>
      </w:pPr>
      <w:r>
        <w:rPr>
          <w:rFonts w:cs="Arial"/>
        </w:rPr>
        <w:br w:type="page"/>
      </w:r>
    </w:p>
    <w:p w14:paraId="514672F7" w14:textId="77777777" w:rsidR="00AD399E" w:rsidRDefault="00AD399E" w:rsidP="00841902">
      <w:pPr>
        <w:rPr>
          <w:rFonts w:cs="Arial"/>
        </w:rPr>
      </w:pPr>
    </w:p>
    <w:p w14:paraId="75F9B255" w14:textId="29206BAD" w:rsidR="004B48BE" w:rsidRPr="00D618F2" w:rsidRDefault="004B48BE" w:rsidP="00841902">
      <w:pPr>
        <w:rPr>
          <w:rFonts w:cs="Arial"/>
          <w:sz w:val="32"/>
          <w:szCs w:val="32"/>
        </w:rPr>
      </w:pPr>
      <w:bookmarkStart w:id="12" w:name="_Toc47956868"/>
      <w:bookmarkStart w:id="13" w:name="_Toc47956869"/>
      <w:bookmarkStart w:id="14" w:name="_Toc47956870"/>
      <w:bookmarkStart w:id="15" w:name="_Toc47956871"/>
      <w:bookmarkEnd w:id="12"/>
      <w:bookmarkEnd w:id="13"/>
      <w:bookmarkEnd w:id="14"/>
      <w:bookmarkEnd w:id="15"/>
      <w:r w:rsidRPr="00D618F2">
        <w:rPr>
          <w:color w:val="2F5496"/>
          <w:sz w:val="32"/>
          <w:szCs w:val="32"/>
        </w:rPr>
        <w:t>References</w:t>
      </w:r>
    </w:p>
    <w:p w14:paraId="0DD1783D" w14:textId="77777777" w:rsidR="004B48BE" w:rsidRPr="00D618F2" w:rsidRDefault="004B48BE" w:rsidP="008D32EC">
      <w:pPr>
        <w:widowControl w:val="0"/>
        <w:autoSpaceDE w:val="0"/>
        <w:autoSpaceDN w:val="0"/>
        <w:adjustRightInd w:val="0"/>
        <w:spacing w:line="360" w:lineRule="auto"/>
        <w:ind w:left="480" w:hanging="480"/>
        <w:rPr>
          <w:rFonts w:ascii="Arial" w:hAnsi="Arial" w:cs="Arial"/>
          <w:sz w:val="22"/>
          <w:szCs w:val="22"/>
        </w:rPr>
      </w:pPr>
    </w:p>
    <w:p w14:paraId="35504C63" w14:textId="36FEE1DC" w:rsidR="008A2FF5" w:rsidRPr="008668C8" w:rsidRDefault="004B48BE" w:rsidP="008D32EC">
      <w:pPr>
        <w:widowControl w:val="0"/>
        <w:autoSpaceDE w:val="0"/>
        <w:autoSpaceDN w:val="0"/>
        <w:adjustRightInd w:val="0"/>
        <w:spacing w:line="360" w:lineRule="auto"/>
        <w:ind w:left="640" w:hanging="640"/>
        <w:rPr>
          <w:rFonts w:ascii="Arial" w:hAnsi="Arial"/>
          <w:sz w:val="22"/>
        </w:rPr>
      </w:pPr>
      <w:r w:rsidRPr="00D618F2">
        <w:rPr>
          <w:rFonts w:ascii="Arial" w:hAnsi="Arial" w:cs="Arial"/>
          <w:sz w:val="22"/>
          <w:szCs w:val="22"/>
        </w:rPr>
        <w:fldChar w:fldCharType="begin" w:fldLock="1"/>
      </w:r>
      <w:r w:rsidRPr="00D618F2">
        <w:rPr>
          <w:rFonts w:ascii="Arial" w:hAnsi="Arial" w:cs="Arial"/>
          <w:sz w:val="22"/>
          <w:szCs w:val="22"/>
        </w:rPr>
        <w:instrText xml:space="preserve">ADDIN Mendeley Bibliography CSL_BIBLIOGRAPHY </w:instrText>
      </w:r>
      <w:r w:rsidRPr="00D618F2">
        <w:rPr>
          <w:rFonts w:ascii="Arial" w:hAnsi="Arial" w:cs="Arial"/>
          <w:sz w:val="22"/>
          <w:szCs w:val="22"/>
        </w:rPr>
        <w:fldChar w:fldCharType="separate"/>
      </w:r>
      <w:r w:rsidR="008A2FF5" w:rsidRPr="008668C8">
        <w:rPr>
          <w:rFonts w:ascii="Arial" w:hAnsi="Arial"/>
          <w:sz w:val="22"/>
        </w:rPr>
        <w:t xml:space="preserve">1. </w:t>
      </w:r>
      <w:r w:rsidR="008A2FF5" w:rsidRPr="008668C8">
        <w:rPr>
          <w:rFonts w:ascii="Arial" w:hAnsi="Arial"/>
          <w:sz w:val="22"/>
        </w:rPr>
        <w:tab/>
        <w:t xml:space="preserve">Halloran ME, Longini Jr. IM, Struchiner CJ. </w:t>
      </w:r>
      <w:r w:rsidR="008A2FF5" w:rsidRPr="008668C8">
        <w:rPr>
          <w:rFonts w:ascii="Arial" w:hAnsi="Arial"/>
          <w:i/>
          <w:sz w:val="22"/>
        </w:rPr>
        <w:t>Design and Analysis of Vaccine Studies: Introduction</w:t>
      </w:r>
      <w:r w:rsidR="008A2FF5" w:rsidRPr="008668C8">
        <w:rPr>
          <w:rFonts w:ascii="Arial" w:hAnsi="Arial"/>
          <w:sz w:val="22"/>
        </w:rPr>
        <w:t>. Springer; 2009. http://link.springer.com/10.1007/978-0-387-68636-3.</w:t>
      </w:r>
    </w:p>
    <w:p w14:paraId="648F505F"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2. </w:t>
      </w:r>
      <w:r w:rsidRPr="008668C8">
        <w:rPr>
          <w:rFonts w:ascii="Arial" w:hAnsi="Arial"/>
          <w:sz w:val="22"/>
        </w:rPr>
        <w:tab/>
        <w:t xml:space="preserve">Amirthalingam G, Andrews N, Keel P, et al. Evaluation of the effect of the herpes zoster vaccination programme 3 years after its introduction in England: a population-based study. </w:t>
      </w:r>
      <w:r w:rsidRPr="008668C8">
        <w:rPr>
          <w:rFonts w:ascii="Arial" w:hAnsi="Arial"/>
          <w:i/>
          <w:sz w:val="22"/>
        </w:rPr>
        <w:t>Lancet Public Heal</w:t>
      </w:r>
      <w:r w:rsidRPr="008668C8">
        <w:rPr>
          <w:rFonts w:ascii="Arial" w:hAnsi="Arial"/>
          <w:sz w:val="22"/>
        </w:rPr>
        <w:t>. 2018;3(2):e82-e90. doi:10.1016/S2468-2667(17)30234-7</w:t>
      </w:r>
    </w:p>
    <w:p w14:paraId="690B479E"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3. </w:t>
      </w:r>
      <w:r w:rsidRPr="008668C8">
        <w:rPr>
          <w:rFonts w:ascii="Arial" w:hAnsi="Arial"/>
          <w:sz w:val="22"/>
        </w:rPr>
        <w:tab/>
        <w:t xml:space="preserve">Hanquet G, Valenciano M, Simondon F, Moren A. Vaccine effects and impact of vaccination programmes in post-licensure studies. </w:t>
      </w:r>
      <w:r w:rsidRPr="008668C8">
        <w:rPr>
          <w:rFonts w:ascii="Arial" w:hAnsi="Arial"/>
          <w:i/>
          <w:sz w:val="22"/>
        </w:rPr>
        <w:t>Vaccine</w:t>
      </w:r>
      <w:r w:rsidRPr="008668C8">
        <w:rPr>
          <w:rFonts w:ascii="Arial" w:hAnsi="Arial"/>
          <w:sz w:val="22"/>
        </w:rPr>
        <w:t>. 2013;31(48):5634-5642. doi:10.1016/j.vaccine.2013.07.006</w:t>
      </w:r>
    </w:p>
    <w:p w14:paraId="70C762F2"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4. </w:t>
      </w:r>
      <w:r w:rsidRPr="008668C8">
        <w:rPr>
          <w:rFonts w:ascii="Arial" w:hAnsi="Arial"/>
          <w:sz w:val="22"/>
        </w:rPr>
        <w:tab/>
        <w:t xml:space="preserve">Ladhani SN, Andrews N, Parikh SR, et al. Vaccination of infants with meningococcal group B vaccine (4CMenB) in England. </w:t>
      </w:r>
      <w:r w:rsidRPr="008668C8">
        <w:rPr>
          <w:rFonts w:ascii="Arial" w:hAnsi="Arial"/>
          <w:i/>
          <w:sz w:val="22"/>
        </w:rPr>
        <w:t>N Engl J Med</w:t>
      </w:r>
      <w:r w:rsidRPr="008668C8">
        <w:rPr>
          <w:rFonts w:ascii="Arial" w:hAnsi="Arial"/>
          <w:sz w:val="22"/>
        </w:rPr>
        <w:t>. 2020;382(4):309-317. doi:10.1056/NEJMoa1901229</w:t>
      </w:r>
    </w:p>
    <w:p w14:paraId="2C2BC2FE"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5. </w:t>
      </w:r>
      <w:r w:rsidRPr="008668C8">
        <w:rPr>
          <w:rFonts w:ascii="Arial" w:hAnsi="Arial"/>
          <w:sz w:val="22"/>
        </w:rPr>
        <w:tab/>
        <w:t xml:space="preserve">Gelman A, Carlin JB, Stern HS, Dunson DB, Vehtari A, Rubin DB. </w:t>
      </w:r>
      <w:r w:rsidRPr="008668C8">
        <w:rPr>
          <w:rFonts w:ascii="Arial" w:hAnsi="Arial"/>
          <w:i/>
          <w:sz w:val="22"/>
        </w:rPr>
        <w:t>Bayesian Data Analysis, Third Edition</w:t>
      </w:r>
      <w:r w:rsidRPr="008668C8">
        <w:rPr>
          <w:rFonts w:ascii="Arial" w:hAnsi="Arial"/>
          <w:sz w:val="22"/>
        </w:rPr>
        <w:t>. Taylor &amp; Francis; 2013. https://books.google.it/books?id=ZXL6AQAAQBAJ.</w:t>
      </w:r>
    </w:p>
    <w:p w14:paraId="25E46577"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6. </w:t>
      </w:r>
      <w:r w:rsidRPr="008668C8">
        <w:rPr>
          <w:rFonts w:ascii="Arial" w:hAnsi="Arial"/>
          <w:sz w:val="22"/>
        </w:rPr>
        <w:tab/>
        <w:t xml:space="preserve">Salvatier J, Wiecki T V., Fonnesbeck C. Probabilistic programming in Python using PyMC3. </w:t>
      </w:r>
      <w:r w:rsidRPr="008668C8">
        <w:rPr>
          <w:rFonts w:ascii="Arial" w:hAnsi="Arial"/>
          <w:i/>
          <w:sz w:val="22"/>
        </w:rPr>
        <w:t>PeerJ Comput Sci</w:t>
      </w:r>
      <w:r w:rsidRPr="008668C8">
        <w:rPr>
          <w:rFonts w:ascii="Arial" w:hAnsi="Arial"/>
          <w:sz w:val="22"/>
        </w:rPr>
        <w:t>. 2016;2:e55. doi:10.7717/peerj-cs.55</w:t>
      </w:r>
    </w:p>
    <w:p w14:paraId="46153BE1"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7. </w:t>
      </w:r>
      <w:r w:rsidRPr="008668C8">
        <w:rPr>
          <w:rFonts w:ascii="Arial" w:hAnsi="Arial"/>
          <w:sz w:val="22"/>
        </w:rPr>
        <w:tab/>
        <w:t xml:space="preserve">Hoffman MD, Gelman A. The no-U-turn sampler: Adaptively setting path lengths in Hamiltonian Monte Carlo. </w:t>
      </w:r>
      <w:r w:rsidRPr="008668C8">
        <w:rPr>
          <w:rFonts w:ascii="Arial" w:hAnsi="Arial"/>
          <w:i/>
          <w:sz w:val="22"/>
        </w:rPr>
        <w:t>J Mach Learn Res</w:t>
      </w:r>
      <w:r w:rsidRPr="008668C8">
        <w:rPr>
          <w:rFonts w:ascii="Arial" w:hAnsi="Arial"/>
          <w:sz w:val="22"/>
        </w:rPr>
        <w:t>. 2014;15:1593-1623.</w:t>
      </w:r>
    </w:p>
    <w:p w14:paraId="37A702AD" w14:textId="77777777" w:rsidR="008A2FF5" w:rsidRPr="008668C8" w:rsidRDefault="008A2FF5" w:rsidP="008D32EC">
      <w:pPr>
        <w:widowControl w:val="0"/>
        <w:autoSpaceDE w:val="0"/>
        <w:autoSpaceDN w:val="0"/>
        <w:adjustRightInd w:val="0"/>
        <w:spacing w:line="360" w:lineRule="auto"/>
        <w:ind w:left="640" w:hanging="640"/>
        <w:rPr>
          <w:rFonts w:ascii="Arial" w:hAnsi="Arial"/>
          <w:sz w:val="22"/>
        </w:rPr>
      </w:pPr>
      <w:r w:rsidRPr="008668C8">
        <w:rPr>
          <w:rFonts w:ascii="Arial" w:hAnsi="Arial"/>
          <w:sz w:val="22"/>
        </w:rPr>
        <w:t xml:space="preserve">8. </w:t>
      </w:r>
      <w:r w:rsidRPr="008668C8">
        <w:rPr>
          <w:rFonts w:ascii="Arial" w:hAnsi="Arial"/>
          <w:sz w:val="22"/>
        </w:rPr>
        <w:tab/>
        <w:t xml:space="preserve">Duane S, Kennedy AD, Pendleton BJ, Roweth D. Hybrid Monte Carlo. </w:t>
      </w:r>
      <w:r w:rsidRPr="008668C8">
        <w:rPr>
          <w:rFonts w:ascii="Arial" w:hAnsi="Arial"/>
          <w:i/>
          <w:sz w:val="22"/>
        </w:rPr>
        <w:t>Phys Lett B</w:t>
      </w:r>
      <w:r w:rsidRPr="008668C8">
        <w:rPr>
          <w:rFonts w:ascii="Arial" w:hAnsi="Arial"/>
          <w:sz w:val="22"/>
        </w:rPr>
        <w:t>. 1987;195(2):216-222. doi:10.1016/0370-2693(87)91197-X</w:t>
      </w:r>
    </w:p>
    <w:p w14:paraId="1D1E7BD2" w14:textId="77777777" w:rsidR="008A2FF5" w:rsidRPr="00D618F2" w:rsidRDefault="008A2FF5" w:rsidP="008D32EC">
      <w:pPr>
        <w:widowControl w:val="0"/>
        <w:autoSpaceDE w:val="0"/>
        <w:autoSpaceDN w:val="0"/>
        <w:adjustRightInd w:val="0"/>
        <w:spacing w:line="360" w:lineRule="auto"/>
        <w:ind w:left="640" w:hanging="640"/>
        <w:rPr>
          <w:rFonts w:ascii="Arial" w:hAnsi="Arial" w:cs="Arial"/>
          <w:noProof/>
          <w:sz w:val="22"/>
        </w:rPr>
      </w:pPr>
      <w:r w:rsidRPr="008668C8">
        <w:rPr>
          <w:rFonts w:ascii="Arial" w:hAnsi="Arial"/>
          <w:sz w:val="22"/>
        </w:rPr>
        <w:t xml:space="preserve">9. </w:t>
      </w:r>
      <w:r w:rsidRPr="008668C8">
        <w:rPr>
          <w:rFonts w:ascii="Arial" w:hAnsi="Arial"/>
          <w:sz w:val="22"/>
        </w:rPr>
        <w:tab/>
        <w:t xml:space="preserve">Gelman A, Goodrich B, Gabry J, Vehtari A. R-squared for Bayesian Regression Models. </w:t>
      </w:r>
      <w:r w:rsidRPr="008668C8">
        <w:rPr>
          <w:rFonts w:ascii="Arial" w:hAnsi="Arial"/>
          <w:i/>
          <w:sz w:val="22"/>
        </w:rPr>
        <w:t>Am Stat</w:t>
      </w:r>
      <w:r w:rsidRPr="008668C8">
        <w:rPr>
          <w:rFonts w:ascii="Arial" w:hAnsi="Arial"/>
          <w:sz w:val="22"/>
        </w:rPr>
        <w:t>. 2019;73(3):307-309. doi:10.1080/00031305.2018.1549100</w:t>
      </w:r>
    </w:p>
    <w:p w14:paraId="439FEB23" w14:textId="4AC81A83" w:rsidR="00297D33" w:rsidRPr="00D618F2" w:rsidRDefault="004B48BE" w:rsidP="008D32EC">
      <w:pPr>
        <w:widowControl w:val="0"/>
        <w:autoSpaceDE w:val="0"/>
        <w:autoSpaceDN w:val="0"/>
        <w:adjustRightInd w:val="0"/>
        <w:spacing w:line="360" w:lineRule="auto"/>
        <w:ind w:left="640" w:hanging="640"/>
        <w:rPr>
          <w:rFonts w:ascii="Arial" w:hAnsi="Arial" w:cs="Arial"/>
          <w:sz w:val="22"/>
          <w:szCs w:val="22"/>
        </w:rPr>
      </w:pPr>
      <w:r w:rsidRPr="00D618F2">
        <w:rPr>
          <w:rFonts w:ascii="Arial" w:hAnsi="Arial" w:cs="Arial"/>
          <w:sz w:val="22"/>
          <w:szCs w:val="22"/>
        </w:rPr>
        <w:fldChar w:fldCharType="end"/>
      </w:r>
    </w:p>
    <w:sectPr w:rsidR="00297D33" w:rsidRPr="00D618F2" w:rsidSect="008D32EC">
      <w:headerReference w:type="default" r:id="rId21"/>
      <w:footerReference w:type="default" r:id="rId22"/>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98FE8" w14:textId="77777777" w:rsidR="008668C8" w:rsidRDefault="008668C8" w:rsidP="00796942">
      <w:r>
        <w:separator/>
      </w:r>
    </w:p>
  </w:endnote>
  <w:endnote w:type="continuationSeparator" w:id="0">
    <w:p w14:paraId="30714C66" w14:textId="77777777" w:rsidR="008668C8" w:rsidRDefault="008668C8" w:rsidP="00796942">
      <w:r>
        <w:continuationSeparator/>
      </w:r>
    </w:p>
  </w:endnote>
  <w:endnote w:type="continuationNotice" w:id="1">
    <w:p w14:paraId="00484E1D" w14:textId="77777777" w:rsidR="008668C8" w:rsidRDefault="00866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6927131"/>
      <w:docPartObj>
        <w:docPartGallery w:val="Page Numbers (Bottom of Page)"/>
        <w:docPartUnique/>
      </w:docPartObj>
    </w:sdtPr>
    <w:sdtEndPr>
      <w:rPr>
        <w:noProof/>
      </w:rPr>
    </w:sdtEndPr>
    <w:sdtContent>
      <w:p w14:paraId="36BCF7A2" w14:textId="0808325D" w:rsidR="004D5D26" w:rsidRPr="00D667CA" w:rsidRDefault="004D5D26" w:rsidP="007D6AE8">
        <w:pPr>
          <w:pStyle w:val="Footer"/>
          <w:jc w:val="both"/>
          <w:rPr>
            <w:rFonts w:cs="Arial"/>
            <w:sz w:val="18"/>
            <w:szCs w:val="18"/>
          </w:rPr>
        </w:pPr>
      </w:p>
      <w:p w14:paraId="4E00BEFA" w14:textId="2D8AC18B" w:rsidR="004D5D26" w:rsidRDefault="004D5D26">
        <w:pPr>
          <w:pStyle w:val="Footer"/>
          <w:jc w:val="right"/>
        </w:pPr>
        <w:r>
          <w:t>S-</w:t>
        </w:r>
        <w:r>
          <w:fldChar w:fldCharType="begin"/>
        </w:r>
        <w:r>
          <w:instrText xml:space="preserve"> PAGE   \* MERGEFORMAT </w:instrText>
        </w:r>
        <w:r>
          <w:fldChar w:fldCharType="separate"/>
        </w:r>
        <w:r>
          <w:rPr>
            <w:noProof/>
          </w:rPr>
          <w:t>11</w:t>
        </w:r>
        <w:r>
          <w:rPr>
            <w:noProof/>
          </w:rPr>
          <w:fldChar w:fldCharType="end"/>
        </w:r>
      </w:p>
    </w:sdtContent>
  </w:sdt>
  <w:p w14:paraId="0422254F" w14:textId="77777777" w:rsidR="004D5D26" w:rsidRDefault="004D5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4B2C9" w14:textId="77777777" w:rsidR="008668C8" w:rsidRDefault="008668C8" w:rsidP="00796942">
      <w:r>
        <w:separator/>
      </w:r>
    </w:p>
  </w:footnote>
  <w:footnote w:type="continuationSeparator" w:id="0">
    <w:p w14:paraId="731EA271" w14:textId="77777777" w:rsidR="008668C8" w:rsidRDefault="008668C8" w:rsidP="00796942">
      <w:r>
        <w:continuationSeparator/>
      </w:r>
    </w:p>
  </w:footnote>
  <w:footnote w:type="continuationNotice" w:id="1">
    <w:p w14:paraId="4637076D" w14:textId="77777777" w:rsidR="008668C8" w:rsidRDefault="008668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161D" w14:textId="1BF0C977" w:rsidR="004D5D26" w:rsidRPr="00796942" w:rsidRDefault="004D5D26">
    <w:pPr>
      <w:pStyle w:val="Header"/>
      <w:rPr>
        <w:rFonts w:ascii="Arial" w:hAnsi="Arial" w:cs="Arial"/>
        <w:sz w:val="18"/>
        <w:szCs w:val="18"/>
      </w:rPr>
    </w:pPr>
    <w:r>
      <w:rPr>
        <w:rFonts w:ascii="Arial" w:hAnsi="Arial" w:cs="Arial"/>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0280C"/>
    <w:multiLevelType w:val="hybridMultilevel"/>
    <w:tmpl w:val="2D88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CD1773"/>
    <w:multiLevelType w:val="hybridMultilevel"/>
    <w:tmpl w:val="78943D76"/>
    <w:lvl w:ilvl="0" w:tplc="5CF0B5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85F51"/>
    <w:multiLevelType w:val="multilevel"/>
    <w:tmpl w:val="E1646AAC"/>
    <w:lvl w:ilvl="0">
      <w:start w:val="1"/>
      <w:numFmt w:val="decimal"/>
      <w:pStyle w:val="Heading1"/>
      <w:lvlText w:val="S%1"/>
      <w:lvlJc w:val="left"/>
      <w:pPr>
        <w:ind w:left="432" w:hanging="432"/>
      </w:pPr>
      <w:rPr>
        <w:rFonts w:hint="default"/>
      </w:rPr>
    </w:lvl>
    <w:lvl w:ilvl="1">
      <w:start w:val="1"/>
      <w:numFmt w:val="decimal"/>
      <w:pStyle w:val="Heading2"/>
      <w:lvlText w:val="S%1.%2"/>
      <w:lvlJc w:val="left"/>
      <w:pPr>
        <w:ind w:left="576" w:hanging="576"/>
      </w:pPr>
      <w:rPr>
        <w:rFonts w:hint="default"/>
      </w:rPr>
    </w:lvl>
    <w:lvl w:ilvl="2">
      <w:start w:val="1"/>
      <w:numFmt w:val="decimal"/>
      <w:pStyle w:val="Heading3"/>
      <w:lvlText w:val="S%1.%2.%3"/>
      <w:lvlJc w:val="left"/>
      <w:pPr>
        <w:ind w:left="720" w:hanging="720"/>
      </w:pPr>
      <w:rPr>
        <w:rFonts w:hint="default"/>
      </w:rPr>
    </w:lvl>
    <w:lvl w:ilvl="3">
      <w:start w:val="1"/>
      <w:numFmt w:val="decimal"/>
      <w:pStyle w:val="Heading4"/>
      <w:lvlText w:val="S%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478D205C"/>
    <w:multiLevelType w:val="hybridMultilevel"/>
    <w:tmpl w:val="4658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0A1F09"/>
    <w:multiLevelType w:val="hybridMultilevel"/>
    <w:tmpl w:val="C3729498"/>
    <w:lvl w:ilvl="0" w:tplc="57B67BA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221881"/>
    <w:multiLevelType w:val="hybridMultilevel"/>
    <w:tmpl w:val="72243EEE"/>
    <w:lvl w:ilvl="0" w:tplc="5CF0B5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827977"/>
    <w:multiLevelType w:val="hybridMultilevel"/>
    <w:tmpl w:val="548873D0"/>
    <w:lvl w:ilvl="0" w:tplc="5CF0B5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162158"/>
    <w:multiLevelType w:val="hybridMultilevel"/>
    <w:tmpl w:val="FC9A61F8"/>
    <w:lvl w:ilvl="0" w:tplc="AFE2E2F2">
      <w:start w:val="6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7A3B11"/>
    <w:multiLevelType w:val="multilevel"/>
    <w:tmpl w:val="8780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453"/>
    <w:rsid w:val="0000016F"/>
    <w:rsid w:val="00006D58"/>
    <w:rsid w:val="000076E4"/>
    <w:rsid w:val="00014A03"/>
    <w:rsid w:val="00016B4D"/>
    <w:rsid w:val="00022F65"/>
    <w:rsid w:val="00023117"/>
    <w:rsid w:val="00023B8A"/>
    <w:rsid w:val="00024376"/>
    <w:rsid w:val="00030A71"/>
    <w:rsid w:val="0003104B"/>
    <w:rsid w:val="00031C4C"/>
    <w:rsid w:val="000321AA"/>
    <w:rsid w:val="00033BEA"/>
    <w:rsid w:val="0004075B"/>
    <w:rsid w:val="00040C51"/>
    <w:rsid w:val="000551E1"/>
    <w:rsid w:val="00055625"/>
    <w:rsid w:val="00056ED9"/>
    <w:rsid w:val="00060358"/>
    <w:rsid w:val="0006191D"/>
    <w:rsid w:val="00071574"/>
    <w:rsid w:val="0007338A"/>
    <w:rsid w:val="00074741"/>
    <w:rsid w:val="00083F1F"/>
    <w:rsid w:val="0008426E"/>
    <w:rsid w:val="000850DE"/>
    <w:rsid w:val="00085A44"/>
    <w:rsid w:val="00085B86"/>
    <w:rsid w:val="0008734B"/>
    <w:rsid w:val="000939B3"/>
    <w:rsid w:val="00095A09"/>
    <w:rsid w:val="00096C54"/>
    <w:rsid w:val="000A09F3"/>
    <w:rsid w:val="000A2291"/>
    <w:rsid w:val="000A7D83"/>
    <w:rsid w:val="000C33AC"/>
    <w:rsid w:val="000C54F8"/>
    <w:rsid w:val="000C67A4"/>
    <w:rsid w:val="000E170B"/>
    <w:rsid w:val="000E4059"/>
    <w:rsid w:val="000E4079"/>
    <w:rsid w:val="000E572B"/>
    <w:rsid w:val="000E58FC"/>
    <w:rsid w:val="000F3F9F"/>
    <w:rsid w:val="00105D5A"/>
    <w:rsid w:val="001108F3"/>
    <w:rsid w:val="00120184"/>
    <w:rsid w:val="00121DB1"/>
    <w:rsid w:val="001235F1"/>
    <w:rsid w:val="00123D46"/>
    <w:rsid w:val="00125366"/>
    <w:rsid w:val="00135D74"/>
    <w:rsid w:val="00142A06"/>
    <w:rsid w:val="00145885"/>
    <w:rsid w:val="00146FEF"/>
    <w:rsid w:val="001534DE"/>
    <w:rsid w:val="00153F40"/>
    <w:rsid w:val="001702A2"/>
    <w:rsid w:val="001725C3"/>
    <w:rsid w:val="001826AB"/>
    <w:rsid w:val="00194775"/>
    <w:rsid w:val="00196126"/>
    <w:rsid w:val="00197706"/>
    <w:rsid w:val="001A16EA"/>
    <w:rsid w:val="001B32DC"/>
    <w:rsid w:val="001B45DB"/>
    <w:rsid w:val="001B647D"/>
    <w:rsid w:val="001B6ABA"/>
    <w:rsid w:val="001C7365"/>
    <w:rsid w:val="001C7993"/>
    <w:rsid w:val="001D38A2"/>
    <w:rsid w:val="001D3945"/>
    <w:rsid w:val="001E06DC"/>
    <w:rsid w:val="001E50CF"/>
    <w:rsid w:val="001E5209"/>
    <w:rsid w:val="001F4407"/>
    <w:rsid w:val="002025F5"/>
    <w:rsid w:val="00203CDA"/>
    <w:rsid w:val="00207601"/>
    <w:rsid w:val="00212746"/>
    <w:rsid w:val="00213607"/>
    <w:rsid w:val="002216D8"/>
    <w:rsid w:val="0022365C"/>
    <w:rsid w:val="00224BB6"/>
    <w:rsid w:val="00232022"/>
    <w:rsid w:val="0023306D"/>
    <w:rsid w:val="002353D6"/>
    <w:rsid w:val="00236B18"/>
    <w:rsid w:val="00237866"/>
    <w:rsid w:val="00242C1D"/>
    <w:rsid w:val="0024502D"/>
    <w:rsid w:val="00245A3C"/>
    <w:rsid w:val="00255F36"/>
    <w:rsid w:val="00256F54"/>
    <w:rsid w:val="00261486"/>
    <w:rsid w:val="0027299B"/>
    <w:rsid w:val="00280CD5"/>
    <w:rsid w:val="002821E3"/>
    <w:rsid w:val="00283C6D"/>
    <w:rsid w:val="002914FB"/>
    <w:rsid w:val="00297CEB"/>
    <w:rsid w:val="00297D33"/>
    <w:rsid w:val="002B1884"/>
    <w:rsid w:val="002B30EB"/>
    <w:rsid w:val="002B44D8"/>
    <w:rsid w:val="002B70ED"/>
    <w:rsid w:val="002C2ABB"/>
    <w:rsid w:val="002D3915"/>
    <w:rsid w:val="002D500F"/>
    <w:rsid w:val="002E79C2"/>
    <w:rsid w:val="002F4AD5"/>
    <w:rsid w:val="002F5121"/>
    <w:rsid w:val="002F6246"/>
    <w:rsid w:val="002F7E23"/>
    <w:rsid w:val="00303143"/>
    <w:rsid w:val="00305D9C"/>
    <w:rsid w:val="003111B8"/>
    <w:rsid w:val="00314AAD"/>
    <w:rsid w:val="00317438"/>
    <w:rsid w:val="00320C28"/>
    <w:rsid w:val="0032248F"/>
    <w:rsid w:val="00333DDB"/>
    <w:rsid w:val="00337977"/>
    <w:rsid w:val="003433D3"/>
    <w:rsid w:val="00344DA4"/>
    <w:rsid w:val="00351AC5"/>
    <w:rsid w:val="003638ED"/>
    <w:rsid w:val="0037364A"/>
    <w:rsid w:val="003774D4"/>
    <w:rsid w:val="0038095B"/>
    <w:rsid w:val="00382AB8"/>
    <w:rsid w:val="00385DFC"/>
    <w:rsid w:val="00391EED"/>
    <w:rsid w:val="00392D60"/>
    <w:rsid w:val="00394A03"/>
    <w:rsid w:val="003977A7"/>
    <w:rsid w:val="003A1A90"/>
    <w:rsid w:val="003A355A"/>
    <w:rsid w:val="003A3684"/>
    <w:rsid w:val="003B3303"/>
    <w:rsid w:val="003C597E"/>
    <w:rsid w:val="003D2635"/>
    <w:rsid w:val="003D2A4F"/>
    <w:rsid w:val="003D51DB"/>
    <w:rsid w:val="003E0E62"/>
    <w:rsid w:val="003E4D5A"/>
    <w:rsid w:val="003E5D26"/>
    <w:rsid w:val="003F0F44"/>
    <w:rsid w:val="003F6914"/>
    <w:rsid w:val="004106B8"/>
    <w:rsid w:val="004118DF"/>
    <w:rsid w:val="004132DA"/>
    <w:rsid w:val="004170F8"/>
    <w:rsid w:val="00420031"/>
    <w:rsid w:val="00420918"/>
    <w:rsid w:val="004259B1"/>
    <w:rsid w:val="004352FD"/>
    <w:rsid w:val="0043750D"/>
    <w:rsid w:val="00437FAB"/>
    <w:rsid w:val="00450489"/>
    <w:rsid w:val="00453DF9"/>
    <w:rsid w:val="00456DEB"/>
    <w:rsid w:val="00462240"/>
    <w:rsid w:val="00462B9A"/>
    <w:rsid w:val="00463158"/>
    <w:rsid w:val="0046367A"/>
    <w:rsid w:val="0049083C"/>
    <w:rsid w:val="004A0213"/>
    <w:rsid w:val="004B0351"/>
    <w:rsid w:val="004B48BE"/>
    <w:rsid w:val="004C6206"/>
    <w:rsid w:val="004C682B"/>
    <w:rsid w:val="004D221C"/>
    <w:rsid w:val="004D376D"/>
    <w:rsid w:val="004D5D26"/>
    <w:rsid w:val="004D6F34"/>
    <w:rsid w:val="004D7848"/>
    <w:rsid w:val="004D7CAA"/>
    <w:rsid w:val="004F035C"/>
    <w:rsid w:val="004F0617"/>
    <w:rsid w:val="004F6DF4"/>
    <w:rsid w:val="004F7B8A"/>
    <w:rsid w:val="005058FC"/>
    <w:rsid w:val="00510DD3"/>
    <w:rsid w:val="00513717"/>
    <w:rsid w:val="00522FD5"/>
    <w:rsid w:val="00525244"/>
    <w:rsid w:val="00527354"/>
    <w:rsid w:val="005366A5"/>
    <w:rsid w:val="00543303"/>
    <w:rsid w:val="00545999"/>
    <w:rsid w:val="00551B08"/>
    <w:rsid w:val="00551F0F"/>
    <w:rsid w:val="005540C4"/>
    <w:rsid w:val="00562C3D"/>
    <w:rsid w:val="00567739"/>
    <w:rsid w:val="00567BD5"/>
    <w:rsid w:val="0057112D"/>
    <w:rsid w:val="005727AB"/>
    <w:rsid w:val="00573B72"/>
    <w:rsid w:val="00574DCA"/>
    <w:rsid w:val="0058610A"/>
    <w:rsid w:val="005926ED"/>
    <w:rsid w:val="00595B43"/>
    <w:rsid w:val="005975E1"/>
    <w:rsid w:val="005975EC"/>
    <w:rsid w:val="00597A37"/>
    <w:rsid w:val="00597DDC"/>
    <w:rsid w:val="005A27AF"/>
    <w:rsid w:val="005A6504"/>
    <w:rsid w:val="005A6C7B"/>
    <w:rsid w:val="005A7B07"/>
    <w:rsid w:val="005A7B59"/>
    <w:rsid w:val="005B3DCE"/>
    <w:rsid w:val="005B74FA"/>
    <w:rsid w:val="005C00B1"/>
    <w:rsid w:val="005C2A6D"/>
    <w:rsid w:val="005C5797"/>
    <w:rsid w:val="005D0251"/>
    <w:rsid w:val="005D150B"/>
    <w:rsid w:val="005E18AC"/>
    <w:rsid w:val="005E2716"/>
    <w:rsid w:val="005E5DA9"/>
    <w:rsid w:val="005F1D03"/>
    <w:rsid w:val="005F7A8E"/>
    <w:rsid w:val="00612C5A"/>
    <w:rsid w:val="006202D7"/>
    <w:rsid w:val="006215CA"/>
    <w:rsid w:val="006227F0"/>
    <w:rsid w:val="00622D05"/>
    <w:rsid w:val="00635977"/>
    <w:rsid w:val="00641133"/>
    <w:rsid w:val="00645D56"/>
    <w:rsid w:val="00650449"/>
    <w:rsid w:val="00657B5D"/>
    <w:rsid w:val="00657CB1"/>
    <w:rsid w:val="006710C1"/>
    <w:rsid w:val="00671458"/>
    <w:rsid w:val="006811AC"/>
    <w:rsid w:val="0068297C"/>
    <w:rsid w:val="00683FFE"/>
    <w:rsid w:val="006917B7"/>
    <w:rsid w:val="006A1B3D"/>
    <w:rsid w:val="006A469D"/>
    <w:rsid w:val="006A6A15"/>
    <w:rsid w:val="006A76F7"/>
    <w:rsid w:val="006B218C"/>
    <w:rsid w:val="006C18D0"/>
    <w:rsid w:val="006C43A7"/>
    <w:rsid w:val="006C517C"/>
    <w:rsid w:val="006D0F1A"/>
    <w:rsid w:val="006D2969"/>
    <w:rsid w:val="006E31C5"/>
    <w:rsid w:val="006E6DCC"/>
    <w:rsid w:val="006F1794"/>
    <w:rsid w:val="006F2551"/>
    <w:rsid w:val="006F579B"/>
    <w:rsid w:val="006F71B2"/>
    <w:rsid w:val="00701686"/>
    <w:rsid w:val="007020CF"/>
    <w:rsid w:val="007025EB"/>
    <w:rsid w:val="00707B17"/>
    <w:rsid w:val="00715C41"/>
    <w:rsid w:val="0071751C"/>
    <w:rsid w:val="00722400"/>
    <w:rsid w:val="00724B9A"/>
    <w:rsid w:val="0072703A"/>
    <w:rsid w:val="00727398"/>
    <w:rsid w:val="00730968"/>
    <w:rsid w:val="0073602E"/>
    <w:rsid w:val="007371E8"/>
    <w:rsid w:val="007374EE"/>
    <w:rsid w:val="00737AD7"/>
    <w:rsid w:val="007460AC"/>
    <w:rsid w:val="00750B92"/>
    <w:rsid w:val="007568E8"/>
    <w:rsid w:val="00762E9D"/>
    <w:rsid w:val="00763C2F"/>
    <w:rsid w:val="007655F5"/>
    <w:rsid w:val="00766B59"/>
    <w:rsid w:val="00767B9B"/>
    <w:rsid w:val="00776D14"/>
    <w:rsid w:val="00784E35"/>
    <w:rsid w:val="007857F1"/>
    <w:rsid w:val="00791AF3"/>
    <w:rsid w:val="0079535F"/>
    <w:rsid w:val="00796942"/>
    <w:rsid w:val="0079728D"/>
    <w:rsid w:val="007975CB"/>
    <w:rsid w:val="007A0E64"/>
    <w:rsid w:val="007A2E37"/>
    <w:rsid w:val="007A37DC"/>
    <w:rsid w:val="007A5E70"/>
    <w:rsid w:val="007B7ECC"/>
    <w:rsid w:val="007D091D"/>
    <w:rsid w:val="007D15F5"/>
    <w:rsid w:val="007D3217"/>
    <w:rsid w:val="007D3AB0"/>
    <w:rsid w:val="007D6AE8"/>
    <w:rsid w:val="007D7A9D"/>
    <w:rsid w:val="007E674E"/>
    <w:rsid w:val="007E7E53"/>
    <w:rsid w:val="007F2B7F"/>
    <w:rsid w:val="007F6EE2"/>
    <w:rsid w:val="008006D6"/>
    <w:rsid w:val="0080088C"/>
    <w:rsid w:val="00804578"/>
    <w:rsid w:val="00806014"/>
    <w:rsid w:val="008062E3"/>
    <w:rsid w:val="0080794C"/>
    <w:rsid w:val="00814D58"/>
    <w:rsid w:val="00815BDE"/>
    <w:rsid w:val="00826F58"/>
    <w:rsid w:val="00833434"/>
    <w:rsid w:val="00833789"/>
    <w:rsid w:val="00840B9A"/>
    <w:rsid w:val="00841902"/>
    <w:rsid w:val="008456C2"/>
    <w:rsid w:val="00846F17"/>
    <w:rsid w:val="00847F99"/>
    <w:rsid w:val="0085720F"/>
    <w:rsid w:val="0085788D"/>
    <w:rsid w:val="008668C8"/>
    <w:rsid w:val="00873C8F"/>
    <w:rsid w:val="00874EE6"/>
    <w:rsid w:val="00883198"/>
    <w:rsid w:val="00885333"/>
    <w:rsid w:val="0088669F"/>
    <w:rsid w:val="00893F13"/>
    <w:rsid w:val="00894DDF"/>
    <w:rsid w:val="00897AB1"/>
    <w:rsid w:val="008A2050"/>
    <w:rsid w:val="008A2FF5"/>
    <w:rsid w:val="008A7F0D"/>
    <w:rsid w:val="008B0689"/>
    <w:rsid w:val="008B4023"/>
    <w:rsid w:val="008B54EA"/>
    <w:rsid w:val="008B7684"/>
    <w:rsid w:val="008D1BB3"/>
    <w:rsid w:val="008D2827"/>
    <w:rsid w:val="008D32EC"/>
    <w:rsid w:val="008D6637"/>
    <w:rsid w:val="008E270A"/>
    <w:rsid w:val="008F1087"/>
    <w:rsid w:val="008F291E"/>
    <w:rsid w:val="008F43CC"/>
    <w:rsid w:val="008F56A0"/>
    <w:rsid w:val="008F6781"/>
    <w:rsid w:val="009010DE"/>
    <w:rsid w:val="0091008E"/>
    <w:rsid w:val="00911ACA"/>
    <w:rsid w:val="0092185B"/>
    <w:rsid w:val="00941B94"/>
    <w:rsid w:val="00942532"/>
    <w:rsid w:val="00943992"/>
    <w:rsid w:val="00946A2F"/>
    <w:rsid w:val="009521C6"/>
    <w:rsid w:val="00960F0A"/>
    <w:rsid w:val="00966644"/>
    <w:rsid w:val="0097090D"/>
    <w:rsid w:val="00971EF7"/>
    <w:rsid w:val="00973CCC"/>
    <w:rsid w:val="00974116"/>
    <w:rsid w:val="00987C9E"/>
    <w:rsid w:val="00992FD6"/>
    <w:rsid w:val="00995627"/>
    <w:rsid w:val="00995720"/>
    <w:rsid w:val="009A13D5"/>
    <w:rsid w:val="009A1B60"/>
    <w:rsid w:val="009A3E32"/>
    <w:rsid w:val="009A58AF"/>
    <w:rsid w:val="009A591B"/>
    <w:rsid w:val="009B6332"/>
    <w:rsid w:val="009B7947"/>
    <w:rsid w:val="009D359C"/>
    <w:rsid w:val="009D6E5B"/>
    <w:rsid w:val="009D76D4"/>
    <w:rsid w:val="009E3781"/>
    <w:rsid w:val="009E5B85"/>
    <w:rsid w:val="009F0532"/>
    <w:rsid w:val="009F36C9"/>
    <w:rsid w:val="009F4AF9"/>
    <w:rsid w:val="009F5183"/>
    <w:rsid w:val="009F52BD"/>
    <w:rsid w:val="00A0053F"/>
    <w:rsid w:val="00A0128E"/>
    <w:rsid w:val="00A1162E"/>
    <w:rsid w:val="00A11E4E"/>
    <w:rsid w:val="00A1428D"/>
    <w:rsid w:val="00A1778B"/>
    <w:rsid w:val="00A23290"/>
    <w:rsid w:val="00A23B2F"/>
    <w:rsid w:val="00A24DF9"/>
    <w:rsid w:val="00A35182"/>
    <w:rsid w:val="00A35247"/>
    <w:rsid w:val="00A37E73"/>
    <w:rsid w:val="00A44426"/>
    <w:rsid w:val="00A46A3F"/>
    <w:rsid w:val="00A475D4"/>
    <w:rsid w:val="00A52570"/>
    <w:rsid w:val="00A63966"/>
    <w:rsid w:val="00A643BC"/>
    <w:rsid w:val="00A70082"/>
    <w:rsid w:val="00A70598"/>
    <w:rsid w:val="00A73729"/>
    <w:rsid w:val="00A76CC3"/>
    <w:rsid w:val="00A936F9"/>
    <w:rsid w:val="00A97536"/>
    <w:rsid w:val="00AA5AE5"/>
    <w:rsid w:val="00AB6578"/>
    <w:rsid w:val="00AC0951"/>
    <w:rsid w:val="00AC0E49"/>
    <w:rsid w:val="00AC2BBE"/>
    <w:rsid w:val="00AD234D"/>
    <w:rsid w:val="00AD399E"/>
    <w:rsid w:val="00AE1008"/>
    <w:rsid w:val="00AE22E8"/>
    <w:rsid w:val="00AE48D4"/>
    <w:rsid w:val="00AE4C7A"/>
    <w:rsid w:val="00AE50D7"/>
    <w:rsid w:val="00AF1116"/>
    <w:rsid w:val="00AF1994"/>
    <w:rsid w:val="00AF21AD"/>
    <w:rsid w:val="00AF2466"/>
    <w:rsid w:val="00B04C3B"/>
    <w:rsid w:val="00B12345"/>
    <w:rsid w:val="00B30432"/>
    <w:rsid w:val="00B338A0"/>
    <w:rsid w:val="00B36C87"/>
    <w:rsid w:val="00B423E2"/>
    <w:rsid w:val="00B4265C"/>
    <w:rsid w:val="00B43A26"/>
    <w:rsid w:val="00B44BFE"/>
    <w:rsid w:val="00B5025E"/>
    <w:rsid w:val="00B52405"/>
    <w:rsid w:val="00B52678"/>
    <w:rsid w:val="00B549E5"/>
    <w:rsid w:val="00B63F7D"/>
    <w:rsid w:val="00B70846"/>
    <w:rsid w:val="00B823F0"/>
    <w:rsid w:val="00B85D87"/>
    <w:rsid w:val="00B865FC"/>
    <w:rsid w:val="00B902CE"/>
    <w:rsid w:val="00B92F82"/>
    <w:rsid w:val="00BA0E0A"/>
    <w:rsid w:val="00BA6C08"/>
    <w:rsid w:val="00BB039D"/>
    <w:rsid w:val="00BB263E"/>
    <w:rsid w:val="00BB4598"/>
    <w:rsid w:val="00BB7078"/>
    <w:rsid w:val="00BC37D8"/>
    <w:rsid w:val="00BD0E92"/>
    <w:rsid w:val="00BD1DB3"/>
    <w:rsid w:val="00BD4FAC"/>
    <w:rsid w:val="00BE025A"/>
    <w:rsid w:val="00BF1D34"/>
    <w:rsid w:val="00BF7783"/>
    <w:rsid w:val="00C0064D"/>
    <w:rsid w:val="00C07888"/>
    <w:rsid w:val="00C10922"/>
    <w:rsid w:val="00C1100D"/>
    <w:rsid w:val="00C11341"/>
    <w:rsid w:val="00C13EFA"/>
    <w:rsid w:val="00C16EB0"/>
    <w:rsid w:val="00C21902"/>
    <w:rsid w:val="00C32466"/>
    <w:rsid w:val="00C3493C"/>
    <w:rsid w:val="00C36557"/>
    <w:rsid w:val="00C53A81"/>
    <w:rsid w:val="00C54B9B"/>
    <w:rsid w:val="00C60D08"/>
    <w:rsid w:val="00C60F14"/>
    <w:rsid w:val="00C626A0"/>
    <w:rsid w:val="00C6798D"/>
    <w:rsid w:val="00C70BAD"/>
    <w:rsid w:val="00C7679F"/>
    <w:rsid w:val="00C80CD7"/>
    <w:rsid w:val="00C83DAF"/>
    <w:rsid w:val="00C852B1"/>
    <w:rsid w:val="00C863F2"/>
    <w:rsid w:val="00C93D24"/>
    <w:rsid w:val="00C95F77"/>
    <w:rsid w:val="00CA0A94"/>
    <w:rsid w:val="00CA17E0"/>
    <w:rsid w:val="00CB315C"/>
    <w:rsid w:val="00CB5BF3"/>
    <w:rsid w:val="00CB625D"/>
    <w:rsid w:val="00CB635E"/>
    <w:rsid w:val="00CC4650"/>
    <w:rsid w:val="00CC57E8"/>
    <w:rsid w:val="00CC5C72"/>
    <w:rsid w:val="00CC7F2D"/>
    <w:rsid w:val="00CD0154"/>
    <w:rsid w:val="00CD12F9"/>
    <w:rsid w:val="00CD7C69"/>
    <w:rsid w:val="00CE0CE1"/>
    <w:rsid w:val="00CE271C"/>
    <w:rsid w:val="00CE2F35"/>
    <w:rsid w:val="00CE36CE"/>
    <w:rsid w:val="00CE3F4C"/>
    <w:rsid w:val="00CE5167"/>
    <w:rsid w:val="00CF3656"/>
    <w:rsid w:val="00CF6216"/>
    <w:rsid w:val="00CF7E05"/>
    <w:rsid w:val="00D0032F"/>
    <w:rsid w:val="00D01C20"/>
    <w:rsid w:val="00D067FF"/>
    <w:rsid w:val="00D10595"/>
    <w:rsid w:val="00D12DB2"/>
    <w:rsid w:val="00D21AAE"/>
    <w:rsid w:val="00D2273A"/>
    <w:rsid w:val="00D33FD8"/>
    <w:rsid w:val="00D344D9"/>
    <w:rsid w:val="00D3567C"/>
    <w:rsid w:val="00D618F2"/>
    <w:rsid w:val="00D630A9"/>
    <w:rsid w:val="00D64142"/>
    <w:rsid w:val="00D667CA"/>
    <w:rsid w:val="00D67D41"/>
    <w:rsid w:val="00D76C2B"/>
    <w:rsid w:val="00D86F19"/>
    <w:rsid w:val="00D94F7D"/>
    <w:rsid w:val="00D964E1"/>
    <w:rsid w:val="00DA2042"/>
    <w:rsid w:val="00DA2E00"/>
    <w:rsid w:val="00DA6DA9"/>
    <w:rsid w:val="00DA6FC2"/>
    <w:rsid w:val="00DB1A2C"/>
    <w:rsid w:val="00DB570F"/>
    <w:rsid w:val="00DB75DE"/>
    <w:rsid w:val="00DC222C"/>
    <w:rsid w:val="00DC2EBB"/>
    <w:rsid w:val="00DC6533"/>
    <w:rsid w:val="00DD55F8"/>
    <w:rsid w:val="00DD6E44"/>
    <w:rsid w:val="00DD7A91"/>
    <w:rsid w:val="00DE4EB0"/>
    <w:rsid w:val="00DE67A6"/>
    <w:rsid w:val="00DF0230"/>
    <w:rsid w:val="00DF5A27"/>
    <w:rsid w:val="00E13BAE"/>
    <w:rsid w:val="00E31E7A"/>
    <w:rsid w:val="00E34DBD"/>
    <w:rsid w:val="00E3527E"/>
    <w:rsid w:val="00E35AA5"/>
    <w:rsid w:val="00E44977"/>
    <w:rsid w:val="00E44E23"/>
    <w:rsid w:val="00E45539"/>
    <w:rsid w:val="00E4613F"/>
    <w:rsid w:val="00E50DD7"/>
    <w:rsid w:val="00E51A95"/>
    <w:rsid w:val="00E52A82"/>
    <w:rsid w:val="00E60DD9"/>
    <w:rsid w:val="00E62105"/>
    <w:rsid w:val="00E6364C"/>
    <w:rsid w:val="00E63A6B"/>
    <w:rsid w:val="00E64051"/>
    <w:rsid w:val="00E66059"/>
    <w:rsid w:val="00E660F3"/>
    <w:rsid w:val="00E710A6"/>
    <w:rsid w:val="00E73F00"/>
    <w:rsid w:val="00E748E4"/>
    <w:rsid w:val="00E81B3A"/>
    <w:rsid w:val="00E90C19"/>
    <w:rsid w:val="00E94898"/>
    <w:rsid w:val="00E961CF"/>
    <w:rsid w:val="00EA2AF4"/>
    <w:rsid w:val="00EA6754"/>
    <w:rsid w:val="00EA77AF"/>
    <w:rsid w:val="00EB3BB8"/>
    <w:rsid w:val="00EB3F03"/>
    <w:rsid w:val="00EB4236"/>
    <w:rsid w:val="00EB478D"/>
    <w:rsid w:val="00EB768F"/>
    <w:rsid w:val="00EC6C66"/>
    <w:rsid w:val="00ED1381"/>
    <w:rsid w:val="00ED3D29"/>
    <w:rsid w:val="00EE2D68"/>
    <w:rsid w:val="00EE7DF4"/>
    <w:rsid w:val="00EF48E8"/>
    <w:rsid w:val="00EF6155"/>
    <w:rsid w:val="00EF62FB"/>
    <w:rsid w:val="00F0014A"/>
    <w:rsid w:val="00F05537"/>
    <w:rsid w:val="00F16A95"/>
    <w:rsid w:val="00F27DFB"/>
    <w:rsid w:val="00F30E6C"/>
    <w:rsid w:val="00F32D95"/>
    <w:rsid w:val="00F347D6"/>
    <w:rsid w:val="00F400F7"/>
    <w:rsid w:val="00F42C48"/>
    <w:rsid w:val="00F4324F"/>
    <w:rsid w:val="00F44421"/>
    <w:rsid w:val="00F501D2"/>
    <w:rsid w:val="00F54443"/>
    <w:rsid w:val="00F66823"/>
    <w:rsid w:val="00F758E9"/>
    <w:rsid w:val="00F7658A"/>
    <w:rsid w:val="00F801BD"/>
    <w:rsid w:val="00F807E6"/>
    <w:rsid w:val="00F821A8"/>
    <w:rsid w:val="00F960A8"/>
    <w:rsid w:val="00FA261B"/>
    <w:rsid w:val="00FB1EFF"/>
    <w:rsid w:val="00FB58CC"/>
    <w:rsid w:val="00FC7078"/>
    <w:rsid w:val="00FD0AE2"/>
    <w:rsid w:val="00FD66A1"/>
    <w:rsid w:val="00FE10C0"/>
    <w:rsid w:val="00FE2453"/>
    <w:rsid w:val="00FF4092"/>
    <w:rsid w:val="00FF5C39"/>
    <w:rsid w:val="00FF6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660431"/>
  <w14:defaultImageDpi w14:val="32767"/>
  <w15:docId w15:val="{BCE3E5DF-36FF-6D45-9333-1C85A25BA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184"/>
    <w:pPr>
      <w:keepNext/>
      <w:keepLines/>
      <w:numPr>
        <w:numId w:val="5"/>
      </w:numPr>
      <w:spacing w:before="240" w:line="36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97E"/>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A6C7B"/>
    <w:pPr>
      <w:keepNext/>
      <w:keepLines/>
      <w:numPr>
        <w:ilvl w:val="2"/>
        <w:numId w:val="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A6C7B"/>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6C7B"/>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A6C7B"/>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A6C7B"/>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A6C7B"/>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A6C7B"/>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453"/>
    <w:pPr>
      <w:ind w:left="720"/>
      <w:contextualSpacing/>
    </w:pPr>
  </w:style>
  <w:style w:type="character" w:styleId="PlaceholderText">
    <w:name w:val="Placeholder Text"/>
    <w:basedOn w:val="DefaultParagraphFont"/>
    <w:uiPriority w:val="99"/>
    <w:semiHidden/>
    <w:rsid w:val="00DD6E44"/>
    <w:rPr>
      <w:color w:val="808080"/>
    </w:rPr>
  </w:style>
  <w:style w:type="table" w:styleId="TableGrid">
    <w:name w:val="Table Grid"/>
    <w:basedOn w:val="TableNormal"/>
    <w:uiPriority w:val="59"/>
    <w:rsid w:val="004D3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13607"/>
    <w:pPr>
      <w:tabs>
        <w:tab w:val="center" w:pos="4680"/>
        <w:tab w:val="right" w:pos="9360"/>
      </w:tabs>
    </w:pPr>
    <w:rPr>
      <w:rFonts w:eastAsiaTheme="minorEastAsia"/>
      <w:sz w:val="22"/>
      <w:szCs w:val="22"/>
      <w:lang w:eastAsia="zh-CN"/>
    </w:rPr>
  </w:style>
  <w:style w:type="character" w:customStyle="1" w:styleId="FooterChar">
    <w:name w:val="Footer Char"/>
    <w:basedOn w:val="DefaultParagraphFont"/>
    <w:link w:val="Footer"/>
    <w:uiPriority w:val="99"/>
    <w:rsid w:val="00213607"/>
    <w:rPr>
      <w:rFonts w:eastAsiaTheme="minorEastAsia"/>
      <w:sz w:val="22"/>
      <w:szCs w:val="22"/>
      <w:lang w:eastAsia="zh-CN"/>
    </w:rPr>
  </w:style>
  <w:style w:type="paragraph" w:styleId="BalloonText">
    <w:name w:val="Balloon Text"/>
    <w:basedOn w:val="Normal"/>
    <w:link w:val="BalloonTextChar"/>
    <w:uiPriority w:val="99"/>
    <w:semiHidden/>
    <w:unhideWhenUsed/>
    <w:rsid w:val="00E710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0A6"/>
    <w:rPr>
      <w:rFonts w:ascii="Segoe UI" w:hAnsi="Segoe UI" w:cs="Segoe UI"/>
      <w:sz w:val="18"/>
      <w:szCs w:val="18"/>
    </w:rPr>
  </w:style>
  <w:style w:type="paragraph" w:styleId="Header">
    <w:name w:val="header"/>
    <w:basedOn w:val="Normal"/>
    <w:link w:val="HeaderChar"/>
    <w:uiPriority w:val="99"/>
    <w:unhideWhenUsed/>
    <w:rsid w:val="00796942"/>
    <w:pPr>
      <w:tabs>
        <w:tab w:val="center" w:pos="4513"/>
        <w:tab w:val="right" w:pos="9026"/>
      </w:tabs>
    </w:pPr>
  </w:style>
  <w:style w:type="character" w:customStyle="1" w:styleId="HeaderChar">
    <w:name w:val="Header Char"/>
    <w:basedOn w:val="DefaultParagraphFont"/>
    <w:link w:val="Header"/>
    <w:uiPriority w:val="99"/>
    <w:rsid w:val="00796942"/>
  </w:style>
  <w:style w:type="character" w:customStyle="1" w:styleId="Heading1Char">
    <w:name w:val="Heading 1 Char"/>
    <w:basedOn w:val="DefaultParagraphFont"/>
    <w:link w:val="Heading1"/>
    <w:uiPriority w:val="9"/>
    <w:rsid w:val="0012018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510DD3"/>
    <w:rPr>
      <w:sz w:val="16"/>
      <w:szCs w:val="16"/>
    </w:rPr>
  </w:style>
  <w:style w:type="paragraph" w:styleId="CommentText">
    <w:name w:val="annotation text"/>
    <w:basedOn w:val="Normal"/>
    <w:link w:val="CommentTextChar"/>
    <w:uiPriority w:val="99"/>
    <w:semiHidden/>
    <w:unhideWhenUsed/>
    <w:rsid w:val="00510DD3"/>
    <w:rPr>
      <w:sz w:val="20"/>
      <w:szCs w:val="20"/>
    </w:rPr>
  </w:style>
  <w:style w:type="character" w:customStyle="1" w:styleId="CommentTextChar">
    <w:name w:val="Comment Text Char"/>
    <w:basedOn w:val="DefaultParagraphFont"/>
    <w:link w:val="CommentText"/>
    <w:uiPriority w:val="99"/>
    <w:semiHidden/>
    <w:rsid w:val="00510DD3"/>
    <w:rPr>
      <w:sz w:val="20"/>
      <w:szCs w:val="20"/>
    </w:rPr>
  </w:style>
  <w:style w:type="paragraph" w:styleId="CommentSubject">
    <w:name w:val="annotation subject"/>
    <w:basedOn w:val="CommentText"/>
    <w:next w:val="CommentText"/>
    <w:link w:val="CommentSubjectChar"/>
    <w:uiPriority w:val="99"/>
    <w:semiHidden/>
    <w:unhideWhenUsed/>
    <w:rsid w:val="00510DD3"/>
    <w:rPr>
      <w:b/>
      <w:bCs/>
    </w:rPr>
  </w:style>
  <w:style w:type="character" w:customStyle="1" w:styleId="CommentSubjectChar">
    <w:name w:val="Comment Subject Char"/>
    <w:basedOn w:val="CommentTextChar"/>
    <w:link w:val="CommentSubject"/>
    <w:uiPriority w:val="99"/>
    <w:semiHidden/>
    <w:rsid w:val="00510DD3"/>
    <w:rPr>
      <w:b/>
      <w:bCs/>
      <w:sz w:val="20"/>
      <w:szCs w:val="20"/>
    </w:rPr>
  </w:style>
  <w:style w:type="paragraph" w:styleId="Revision">
    <w:name w:val="Revision"/>
    <w:hidden/>
    <w:uiPriority w:val="99"/>
    <w:semiHidden/>
    <w:rsid w:val="00194775"/>
  </w:style>
  <w:style w:type="paragraph" w:styleId="TOCHeading">
    <w:name w:val="TOC Heading"/>
    <w:basedOn w:val="Heading1"/>
    <w:next w:val="Normal"/>
    <w:uiPriority w:val="39"/>
    <w:unhideWhenUsed/>
    <w:qFormat/>
    <w:rsid w:val="00DF5A27"/>
    <w:pPr>
      <w:spacing w:before="480" w:line="276" w:lineRule="auto"/>
      <w:outlineLvl w:val="9"/>
    </w:pPr>
    <w:rPr>
      <w:bCs/>
      <w:sz w:val="28"/>
      <w:szCs w:val="28"/>
    </w:rPr>
  </w:style>
  <w:style w:type="paragraph" w:styleId="TOC1">
    <w:name w:val="toc 1"/>
    <w:basedOn w:val="Normal"/>
    <w:next w:val="Normal"/>
    <w:autoRedefine/>
    <w:uiPriority w:val="39"/>
    <w:unhideWhenUsed/>
    <w:rsid w:val="0027299B"/>
    <w:pPr>
      <w:spacing w:before="120"/>
    </w:pPr>
    <w:rPr>
      <w:rFonts w:cstheme="minorHAnsi"/>
      <w:b/>
      <w:bCs/>
      <w:i/>
      <w:iCs/>
    </w:rPr>
  </w:style>
  <w:style w:type="character" w:styleId="Hyperlink">
    <w:name w:val="Hyperlink"/>
    <w:basedOn w:val="DefaultParagraphFont"/>
    <w:uiPriority w:val="99"/>
    <w:unhideWhenUsed/>
    <w:rsid w:val="00DF5A27"/>
    <w:rPr>
      <w:color w:val="0563C1" w:themeColor="hyperlink"/>
      <w:u w:val="single"/>
    </w:rPr>
  </w:style>
  <w:style w:type="paragraph" w:styleId="TOC2">
    <w:name w:val="toc 2"/>
    <w:basedOn w:val="Normal"/>
    <w:next w:val="Normal"/>
    <w:autoRedefine/>
    <w:uiPriority w:val="39"/>
    <w:unhideWhenUsed/>
    <w:rsid w:val="00B44BFE"/>
    <w:pPr>
      <w:spacing w:before="120"/>
      <w:ind w:left="240"/>
    </w:pPr>
    <w:rPr>
      <w:rFonts w:cstheme="minorHAnsi"/>
      <w:b/>
      <w:bCs/>
      <w:sz w:val="22"/>
      <w:szCs w:val="22"/>
    </w:rPr>
  </w:style>
  <w:style w:type="paragraph" w:styleId="TOC3">
    <w:name w:val="toc 3"/>
    <w:basedOn w:val="Normal"/>
    <w:next w:val="Normal"/>
    <w:autoRedefine/>
    <w:uiPriority w:val="39"/>
    <w:unhideWhenUsed/>
    <w:rsid w:val="00B44BFE"/>
    <w:pPr>
      <w:ind w:left="480"/>
    </w:pPr>
    <w:rPr>
      <w:rFonts w:cstheme="minorHAnsi"/>
      <w:sz w:val="20"/>
      <w:szCs w:val="20"/>
    </w:rPr>
  </w:style>
  <w:style w:type="paragraph" w:styleId="TOC4">
    <w:name w:val="toc 4"/>
    <w:basedOn w:val="Normal"/>
    <w:next w:val="Normal"/>
    <w:autoRedefine/>
    <w:uiPriority w:val="39"/>
    <w:unhideWhenUsed/>
    <w:rsid w:val="00DF5A27"/>
    <w:pPr>
      <w:ind w:left="720"/>
    </w:pPr>
    <w:rPr>
      <w:rFonts w:cstheme="minorHAnsi"/>
      <w:sz w:val="20"/>
      <w:szCs w:val="20"/>
    </w:rPr>
  </w:style>
  <w:style w:type="paragraph" w:styleId="TOC5">
    <w:name w:val="toc 5"/>
    <w:basedOn w:val="Normal"/>
    <w:next w:val="Normal"/>
    <w:autoRedefine/>
    <w:uiPriority w:val="39"/>
    <w:unhideWhenUsed/>
    <w:rsid w:val="00DF5A27"/>
    <w:pPr>
      <w:ind w:left="960"/>
    </w:pPr>
    <w:rPr>
      <w:rFonts w:cstheme="minorHAnsi"/>
      <w:sz w:val="20"/>
      <w:szCs w:val="20"/>
    </w:rPr>
  </w:style>
  <w:style w:type="paragraph" w:styleId="TOC6">
    <w:name w:val="toc 6"/>
    <w:basedOn w:val="Normal"/>
    <w:next w:val="Normal"/>
    <w:autoRedefine/>
    <w:uiPriority w:val="39"/>
    <w:unhideWhenUsed/>
    <w:rsid w:val="00DF5A27"/>
    <w:pPr>
      <w:ind w:left="1200"/>
    </w:pPr>
    <w:rPr>
      <w:rFonts w:cstheme="minorHAnsi"/>
      <w:sz w:val="20"/>
      <w:szCs w:val="20"/>
    </w:rPr>
  </w:style>
  <w:style w:type="paragraph" w:styleId="TOC7">
    <w:name w:val="toc 7"/>
    <w:basedOn w:val="Normal"/>
    <w:next w:val="Normal"/>
    <w:autoRedefine/>
    <w:uiPriority w:val="39"/>
    <w:unhideWhenUsed/>
    <w:rsid w:val="00DF5A27"/>
    <w:pPr>
      <w:ind w:left="1440"/>
    </w:pPr>
    <w:rPr>
      <w:rFonts w:cstheme="minorHAnsi"/>
      <w:sz w:val="20"/>
      <w:szCs w:val="20"/>
    </w:rPr>
  </w:style>
  <w:style w:type="paragraph" w:styleId="TOC8">
    <w:name w:val="toc 8"/>
    <w:basedOn w:val="Normal"/>
    <w:next w:val="Normal"/>
    <w:autoRedefine/>
    <w:uiPriority w:val="39"/>
    <w:unhideWhenUsed/>
    <w:rsid w:val="00DF5A27"/>
    <w:pPr>
      <w:ind w:left="1680"/>
    </w:pPr>
    <w:rPr>
      <w:rFonts w:cstheme="minorHAnsi"/>
      <w:sz w:val="20"/>
      <w:szCs w:val="20"/>
    </w:rPr>
  </w:style>
  <w:style w:type="paragraph" w:styleId="TOC9">
    <w:name w:val="toc 9"/>
    <w:basedOn w:val="Normal"/>
    <w:next w:val="Normal"/>
    <w:autoRedefine/>
    <w:uiPriority w:val="39"/>
    <w:unhideWhenUsed/>
    <w:rsid w:val="00DF5A27"/>
    <w:pPr>
      <w:ind w:left="1920"/>
    </w:pPr>
    <w:rPr>
      <w:rFonts w:cstheme="minorHAnsi"/>
      <w:sz w:val="20"/>
      <w:szCs w:val="20"/>
    </w:rPr>
  </w:style>
  <w:style w:type="paragraph" w:styleId="Title">
    <w:name w:val="Title"/>
    <w:basedOn w:val="Normal"/>
    <w:next w:val="Normal"/>
    <w:link w:val="TitleChar"/>
    <w:uiPriority w:val="10"/>
    <w:qFormat/>
    <w:rsid w:val="00DF5A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5A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A2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F5A27"/>
    <w:rPr>
      <w:rFonts w:eastAsiaTheme="minorEastAsia"/>
      <w:color w:val="5A5A5A" w:themeColor="text1" w:themeTint="A5"/>
      <w:spacing w:val="15"/>
      <w:sz w:val="22"/>
      <w:szCs w:val="22"/>
    </w:rPr>
  </w:style>
  <w:style w:type="paragraph" w:styleId="Caption">
    <w:name w:val="caption"/>
    <w:basedOn w:val="Normal"/>
    <w:next w:val="Normal"/>
    <w:uiPriority w:val="35"/>
    <w:unhideWhenUsed/>
    <w:qFormat/>
    <w:rsid w:val="003C597E"/>
    <w:pPr>
      <w:spacing w:after="200"/>
    </w:pPr>
    <w:rPr>
      <w:b/>
      <w:iCs/>
      <w:color w:val="44546A" w:themeColor="text2"/>
      <w:sz w:val="22"/>
      <w:szCs w:val="18"/>
    </w:rPr>
  </w:style>
  <w:style w:type="paragraph" w:styleId="TableofFigures">
    <w:name w:val="table of figures"/>
    <w:basedOn w:val="Normal"/>
    <w:next w:val="Normal"/>
    <w:uiPriority w:val="99"/>
    <w:unhideWhenUsed/>
    <w:rsid w:val="006F1794"/>
    <w:pPr>
      <w:ind w:left="480" w:hanging="480"/>
    </w:pPr>
    <w:rPr>
      <w:smallCaps/>
      <w:sz w:val="20"/>
      <w:szCs w:val="20"/>
    </w:rPr>
  </w:style>
  <w:style w:type="paragraph" w:customStyle="1" w:styleId="Style1">
    <w:name w:val="Style1"/>
    <w:basedOn w:val="Caption"/>
    <w:qFormat/>
    <w:rsid w:val="006F1794"/>
    <w:pPr>
      <w:keepNext/>
    </w:pPr>
    <w:rPr>
      <w:rFonts w:ascii="Arial" w:hAnsi="Arial"/>
      <w:b w:val="0"/>
      <w:i/>
    </w:rPr>
  </w:style>
  <w:style w:type="character" w:customStyle="1" w:styleId="Heading2Char">
    <w:name w:val="Heading 2 Char"/>
    <w:basedOn w:val="DefaultParagraphFont"/>
    <w:link w:val="Heading2"/>
    <w:uiPriority w:val="9"/>
    <w:rsid w:val="003C597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120184"/>
    <w:rPr>
      <w:i/>
      <w:iCs/>
      <w:color w:val="404040" w:themeColor="text1" w:themeTint="BF"/>
    </w:rPr>
  </w:style>
  <w:style w:type="character" w:customStyle="1" w:styleId="UnresolvedMention1">
    <w:name w:val="Unresolved Mention1"/>
    <w:basedOn w:val="DefaultParagraphFont"/>
    <w:uiPriority w:val="99"/>
    <w:semiHidden/>
    <w:unhideWhenUsed/>
    <w:rsid w:val="007020CF"/>
    <w:rPr>
      <w:color w:val="605E5C"/>
      <w:shd w:val="clear" w:color="auto" w:fill="E1DFDD"/>
    </w:rPr>
  </w:style>
  <w:style w:type="paragraph" w:styleId="PlainText">
    <w:name w:val="Plain Text"/>
    <w:basedOn w:val="Normal"/>
    <w:link w:val="PlainTextChar"/>
    <w:uiPriority w:val="99"/>
    <w:unhideWhenUsed/>
    <w:rsid w:val="00BB7078"/>
    <w:rPr>
      <w:rFonts w:ascii="Calibri" w:hAnsi="Calibri"/>
      <w:sz w:val="22"/>
      <w:szCs w:val="21"/>
    </w:rPr>
  </w:style>
  <w:style w:type="character" w:customStyle="1" w:styleId="PlainTextChar">
    <w:name w:val="Plain Text Char"/>
    <w:basedOn w:val="DefaultParagraphFont"/>
    <w:link w:val="PlainText"/>
    <w:uiPriority w:val="99"/>
    <w:rsid w:val="00BB7078"/>
    <w:rPr>
      <w:rFonts w:ascii="Calibri" w:hAnsi="Calibri"/>
      <w:sz w:val="22"/>
      <w:szCs w:val="21"/>
    </w:rPr>
  </w:style>
  <w:style w:type="character" w:styleId="FollowedHyperlink">
    <w:name w:val="FollowedHyperlink"/>
    <w:basedOn w:val="DefaultParagraphFont"/>
    <w:uiPriority w:val="99"/>
    <w:semiHidden/>
    <w:unhideWhenUsed/>
    <w:rsid w:val="00525244"/>
    <w:rPr>
      <w:color w:val="954F72" w:themeColor="followedHyperlink"/>
      <w:u w:val="single"/>
    </w:rPr>
  </w:style>
  <w:style w:type="character" w:customStyle="1" w:styleId="Heading3Char">
    <w:name w:val="Heading 3 Char"/>
    <w:basedOn w:val="DefaultParagraphFont"/>
    <w:link w:val="Heading3"/>
    <w:uiPriority w:val="9"/>
    <w:semiHidden/>
    <w:rsid w:val="005A6C7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A6C7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A6C7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A6C7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A6C7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A6C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A6C7B"/>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59"/>
    <w:rsid w:val="007A3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D6E5B"/>
  </w:style>
  <w:style w:type="character" w:styleId="UnresolvedMention">
    <w:name w:val="Unresolved Mention"/>
    <w:basedOn w:val="DefaultParagraphFont"/>
    <w:uiPriority w:val="99"/>
    <w:semiHidden/>
    <w:unhideWhenUsed/>
    <w:rsid w:val="00A1162E"/>
    <w:rPr>
      <w:color w:val="605E5C"/>
      <w:shd w:val="clear" w:color="auto" w:fill="E1DFDD"/>
    </w:rPr>
  </w:style>
  <w:style w:type="paragraph" w:styleId="HTMLPreformatted">
    <w:name w:val="HTML Preformatted"/>
    <w:basedOn w:val="Normal"/>
    <w:link w:val="HTMLPreformattedChar"/>
    <w:uiPriority w:val="99"/>
    <w:semiHidden/>
    <w:unhideWhenUsed/>
    <w:rsid w:val="008337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33789"/>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34385">
      <w:bodyDiv w:val="1"/>
      <w:marLeft w:val="0"/>
      <w:marRight w:val="0"/>
      <w:marTop w:val="0"/>
      <w:marBottom w:val="0"/>
      <w:divBdr>
        <w:top w:val="none" w:sz="0" w:space="0" w:color="auto"/>
        <w:left w:val="none" w:sz="0" w:space="0" w:color="auto"/>
        <w:bottom w:val="none" w:sz="0" w:space="0" w:color="auto"/>
        <w:right w:val="none" w:sz="0" w:space="0" w:color="auto"/>
      </w:divBdr>
    </w:div>
    <w:div w:id="228855664">
      <w:bodyDiv w:val="1"/>
      <w:marLeft w:val="0"/>
      <w:marRight w:val="0"/>
      <w:marTop w:val="0"/>
      <w:marBottom w:val="0"/>
      <w:divBdr>
        <w:top w:val="none" w:sz="0" w:space="0" w:color="auto"/>
        <w:left w:val="none" w:sz="0" w:space="0" w:color="auto"/>
        <w:bottom w:val="none" w:sz="0" w:space="0" w:color="auto"/>
        <w:right w:val="none" w:sz="0" w:space="0" w:color="auto"/>
      </w:divBdr>
    </w:div>
    <w:div w:id="330529921">
      <w:bodyDiv w:val="1"/>
      <w:marLeft w:val="0"/>
      <w:marRight w:val="0"/>
      <w:marTop w:val="0"/>
      <w:marBottom w:val="0"/>
      <w:divBdr>
        <w:top w:val="none" w:sz="0" w:space="0" w:color="auto"/>
        <w:left w:val="none" w:sz="0" w:space="0" w:color="auto"/>
        <w:bottom w:val="none" w:sz="0" w:space="0" w:color="auto"/>
        <w:right w:val="none" w:sz="0" w:space="0" w:color="auto"/>
      </w:divBdr>
    </w:div>
    <w:div w:id="1005130769">
      <w:bodyDiv w:val="1"/>
      <w:marLeft w:val="0"/>
      <w:marRight w:val="0"/>
      <w:marTop w:val="0"/>
      <w:marBottom w:val="0"/>
      <w:divBdr>
        <w:top w:val="none" w:sz="0" w:space="0" w:color="auto"/>
        <w:left w:val="none" w:sz="0" w:space="0" w:color="auto"/>
        <w:bottom w:val="none" w:sz="0" w:space="0" w:color="auto"/>
        <w:right w:val="none" w:sz="0" w:space="0" w:color="auto"/>
      </w:divBdr>
    </w:div>
    <w:div w:id="1033649536">
      <w:bodyDiv w:val="1"/>
      <w:marLeft w:val="0"/>
      <w:marRight w:val="0"/>
      <w:marTop w:val="0"/>
      <w:marBottom w:val="0"/>
      <w:divBdr>
        <w:top w:val="none" w:sz="0" w:space="0" w:color="auto"/>
        <w:left w:val="none" w:sz="0" w:space="0" w:color="auto"/>
        <w:bottom w:val="none" w:sz="0" w:space="0" w:color="auto"/>
        <w:right w:val="none" w:sz="0" w:space="0" w:color="auto"/>
      </w:divBdr>
    </w:div>
    <w:div w:id="1089541830">
      <w:bodyDiv w:val="1"/>
      <w:marLeft w:val="0"/>
      <w:marRight w:val="0"/>
      <w:marTop w:val="0"/>
      <w:marBottom w:val="0"/>
      <w:divBdr>
        <w:top w:val="none" w:sz="0" w:space="0" w:color="auto"/>
        <w:left w:val="none" w:sz="0" w:space="0" w:color="auto"/>
        <w:bottom w:val="none" w:sz="0" w:space="0" w:color="auto"/>
        <w:right w:val="none" w:sz="0" w:space="0" w:color="auto"/>
      </w:divBdr>
    </w:div>
    <w:div w:id="1149057861">
      <w:bodyDiv w:val="1"/>
      <w:marLeft w:val="0"/>
      <w:marRight w:val="0"/>
      <w:marTop w:val="0"/>
      <w:marBottom w:val="0"/>
      <w:divBdr>
        <w:top w:val="none" w:sz="0" w:space="0" w:color="auto"/>
        <w:left w:val="none" w:sz="0" w:space="0" w:color="auto"/>
        <w:bottom w:val="none" w:sz="0" w:space="0" w:color="auto"/>
        <w:right w:val="none" w:sz="0" w:space="0" w:color="auto"/>
      </w:divBdr>
    </w:div>
    <w:div w:id="1221596229">
      <w:bodyDiv w:val="1"/>
      <w:marLeft w:val="0"/>
      <w:marRight w:val="0"/>
      <w:marTop w:val="0"/>
      <w:marBottom w:val="0"/>
      <w:divBdr>
        <w:top w:val="none" w:sz="0" w:space="0" w:color="auto"/>
        <w:left w:val="none" w:sz="0" w:space="0" w:color="auto"/>
        <w:bottom w:val="none" w:sz="0" w:space="0" w:color="auto"/>
        <w:right w:val="none" w:sz="0" w:space="0" w:color="auto"/>
      </w:divBdr>
    </w:div>
    <w:div w:id="1765959774">
      <w:bodyDiv w:val="1"/>
      <w:marLeft w:val="0"/>
      <w:marRight w:val="0"/>
      <w:marTop w:val="0"/>
      <w:marBottom w:val="0"/>
      <w:divBdr>
        <w:top w:val="none" w:sz="0" w:space="0" w:color="auto"/>
        <w:left w:val="none" w:sz="0" w:space="0" w:color="auto"/>
        <w:bottom w:val="none" w:sz="0" w:space="0" w:color="auto"/>
        <w:right w:val="none" w:sz="0" w:space="0" w:color="auto"/>
      </w:divBdr>
    </w:div>
    <w:div w:id="1792627687">
      <w:bodyDiv w:val="1"/>
      <w:marLeft w:val="0"/>
      <w:marRight w:val="0"/>
      <w:marTop w:val="0"/>
      <w:marBottom w:val="0"/>
      <w:divBdr>
        <w:top w:val="none" w:sz="0" w:space="0" w:color="auto"/>
        <w:left w:val="none" w:sz="0" w:space="0" w:color="auto"/>
        <w:bottom w:val="none" w:sz="0" w:space="0" w:color="auto"/>
        <w:right w:val="none" w:sz="0" w:space="0" w:color="auto"/>
      </w:divBdr>
    </w:div>
    <w:div w:id="194379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s.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240A84F7C834A8B426135FCFA19B9" ma:contentTypeVersion="12" ma:contentTypeDescription="Create a new document." ma:contentTypeScope="" ma:versionID="a4e3140ed30521503ce982533d6c4fb2">
  <xsd:schema xmlns:xsd="http://www.w3.org/2001/XMLSchema" xmlns:xs="http://www.w3.org/2001/XMLSchema" xmlns:p="http://schemas.microsoft.com/office/2006/metadata/properties" xmlns:ns3="dbc3d754-ca65-4db1-9f8e-ff75dc4bc4d4" xmlns:ns4="e1be6e97-ed99-4aac-91eb-9cfbc8c623d5" targetNamespace="http://schemas.microsoft.com/office/2006/metadata/properties" ma:root="true" ma:fieldsID="df3e679443aff2fb68c3a0bd8240fd98" ns3:_="" ns4:_="">
    <xsd:import namespace="dbc3d754-ca65-4db1-9f8e-ff75dc4bc4d4"/>
    <xsd:import namespace="e1be6e97-ed99-4aac-91eb-9cfbc8c623d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3d754-ca65-4db1-9f8e-ff75dc4bc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be6e97-ed99-4aac-91eb-9cfbc8c623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4FFFC24-627C-47F0-B114-16147A5D8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3d754-ca65-4db1-9f8e-ff75dc4bc4d4"/>
    <ds:schemaRef ds:uri="e1be6e97-ed99-4aac-91eb-9cfbc8c62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59BD6A-9E0D-440D-9A3F-E1AEC18A76BE}">
  <ds:schemaRefs>
    <ds:schemaRef ds:uri="http://schemas.microsoft.com/sharepoint/v3/contenttype/forms"/>
  </ds:schemaRefs>
</ds:datastoreItem>
</file>

<file path=customXml/itemProps3.xml><?xml version="1.0" encoding="utf-8"?>
<ds:datastoreItem xmlns:ds="http://schemas.openxmlformats.org/officeDocument/2006/customXml" ds:itemID="{3D6F4554-6D99-4E5F-9A10-26CB77C6BE6A}">
  <ds:schemaRefs>
    <ds:schemaRef ds:uri="http://purl.org/dc/dcmitype/"/>
    <ds:schemaRef ds:uri="http://schemas.microsoft.com/office/infopath/2007/PartnerControls"/>
    <ds:schemaRef ds:uri="2c7ed892-df0b-4a2e-947b-cd7a45e57b5f"/>
    <ds:schemaRef ds:uri="http://purl.org/dc/elements/1.1/"/>
    <ds:schemaRef ds:uri="http://schemas.microsoft.com/office/2006/metadata/properties"/>
    <ds:schemaRef ds:uri="7e6a9e51-c76b-435b-954b-070e8a026dcb"/>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60FAF294-2153-4C9C-A844-6162258CE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6725</Words>
  <Characters>38336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Lorenzo Argante</dc:creator>
  <cp:lastModifiedBy>Adrian Kremer</cp:lastModifiedBy>
  <cp:revision>2</cp:revision>
  <cp:lastPrinted>2021-04-09T11:09:00Z</cp:lastPrinted>
  <dcterms:created xsi:type="dcterms:W3CDTF">2021-08-18T20:16:00Z</dcterms:created>
  <dcterms:modified xsi:type="dcterms:W3CDTF">2021-10-14T07:47:00Z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ed60eccb-4f12-3c64-825d-5b9a5f3c8f90</vt:lpwstr>
  </property>
  <property fmtid="{D5CDD505-2E9C-101B-9397-08002B2CF9AE}" pid="24" name="Mendeley Citation Style_1">
    <vt:lpwstr>http://www.zotero.org/styles/american-medical-association</vt:lpwstr>
  </property>
  <property fmtid="{D5CDD505-2E9C-101B-9397-08002B2CF9AE}" pid="25" name="ContentTypeId">
    <vt:lpwstr>0x010100978765BF3A5FAE4B84CEE99E436D88C0</vt:lpwstr>
  </property>
</Properties>
</file>