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3DFA" w14:textId="30D8D6A8" w:rsidR="00416626" w:rsidRPr="00416626" w:rsidRDefault="00416626" w:rsidP="00AF3F14">
      <w:pPr>
        <w:spacing w:after="360"/>
        <w:rPr>
          <w:sz w:val="24"/>
          <w:szCs w:val="24"/>
        </w:rPr>
      </w:pPr>
      <w:r w:rsidRPr="00416626">
        <w:rPr>
          <w:sz w:val="24"/>
          <w:szCs w:val="24"/>
        </w:rPr>
        <w:t>Supplementary information for</w:t>
      </w:r>
      <w:r>
        <w:rPr>
          <w:sz w:val="24"/>
          <w:szCs w:val="24"/>
        </w:rPr>
        <w:t xml:space="preserve">: </w:t>
      </w:r>
      <w:r w:rsidRPr="00416626">
        <w:rPr>
          <w:sz w:val="24"/>
          <w:szCs w:val="24"/>
        </w:rPr>
        <w:t xml:space="preserve">Changing socio-economic and ethnic distribution of cases over the containment phase of the UK Influenza </w:t>
      </w:r>
      <w:proofErr w:type="gramStart"/>
      <w:r w:rsidRPr="00416626">
        <w:rPr>
          <w:sz w:val="24"/>
          <w:szCs w:val="24"/>
        </w:rPr>
        <w:t>A</w:t>
      </w:r>
      <w:proofErr w:type="gramEnd"/>
      <w:r w:rsidRPr="00416626">
        <w:rPr>
          <w:sz w:val="24"/>
          <w:szCs w:val="24"/>
        </w:rPr>
        <w:t xml:space="preserve"> H1N1 epidemic in 2009 – a comparison of London and Birmingham</w:t>
      </w:r>
    </w:p>
    <w:p w14:paraId="0EE092B8" w14:textId="6CED9F82" w:rsidR="00AF3F14" w:rsidRPr="00AF3F14" w:rsidRDefault="00AF3F14" w:rsidP="00AF3F14">
      <w:pPr>
        <w:spacing w:after="360"/>
        <w:rPr>
          <w:b/>
          <w:bCs/>
          <w:sz w:val="24"/>
          <w:szCs w:val="24"/>
        </w:rPr>
      </w:pPr>
      <w:r w:rsidRPr="00AF3F14">
        <w:rPr>
          <w:b/>
          <w:bCs/>
          <w:sz w:val="24"/>
          <w:szCs w:val="24"/>
        </w:rPr>
        <w:t xml:space="preserve">Details of the </w:t>
      </w:r>
      <w:proofErr w:type="spellStart"/>
      <w:r w:rsidRPr="00AF3F14">
        <w:rPr>
          <w:b/>
          <w:bCs/>
          <w:sz w:val="24"/>
          <w:szCs w:val="24"/>
        </w:rPr>
        <w:t>Onomap</w:t>
      </w:r>
      <w:proofErr w:type="spellEnd"/>
      <w:r w:rsidRPr="00AF3F14">
        <w:rPr>
          <w:b/>
          <w:bCs/>
          <w:sz w:val="24"/>
          <w:szCs w:val="24"/>
        </w:rPr>
        <w:t xml:space="preserve"> software and verification</w:t>
      </w:r>
    </w:p>
    <w:p w14:paraId="586952DE" w14:textId="5A04544B" w:rsidR="00AF3F14" w:rsidRPr="00737D0C" w:rsidRDefault="00AF3F14" w:rsidP="00AF3F14">
      <w:pPr>
        <w:spacing w:line="276" w:lineRule="auto"/>
        <w:rPr>
          <w:sz w:val="24"/>
          <w:lang w:val="en-GB"/>
        </w:rPr>
      </w:pPr>
      <w:proofErr w:type="spellStart"/>
      <w:r w:rsidRPr="00737D0C">
        <w:rPr>
          <w:sz w:val="24"/>
          <w:lang w:val="en-GB"/>
        </w:rPr>
        <w:t>Onomap</w:t>
      </w:r>
      <w:proofErr w:type="spellEnd"/>
      <w:r w:rsidRPr="00737D0C">
        <w:rPr>
          <w:sz w:val="24"/>
          <w:lang w:val="en-GB"/>
        </w:rPr>
        <w:t xml:space="preserve"> version 2 (used for the analysis described in this </w:t>
      </w:r>
      <w:r>
        <w:rPr>
          <w:sz w:val="24"/>
          <w:lang w:val="en-GB"/>
        </w:rPr>
        <w:t>paper</w:t>
      </w:r>
      <w:r w:rsidRPr="00737D0C">
        <w:rPr>
          <w:sz w:val="24"/>
          <w:lang w:val="en-GB"/>
        </w:rPr>
        <w:t xml:space="preserve">) was developed in 2009 </w:t>
      </w:r>
      <w:r w:rsidRPr="00737D0C">
        <w:rPr>
          <w:sz w:val="24"/>
          <w:lang w:val="en-GB"/>
        </w:rPr>
        <w:fldChar w:fldCharType="begin" w:fldLock="1"/>
      </w:r>
      <w:r w:rsidR="00416626">
        <w:rPr>
          <w:sz w:val="24"/>
          <w:lang w:val="en-GB"/>
        </w:rPr>
        <w:instrText>ADDIN CSL_CITATION {"citationItems":[{"id":"ITEM-1","itemData":{"DOI":"10.1371/journal.pone.0022943","ISSN":"1932-6203","abstract":"Personal naming practices exist in all human groups and are far from random. Rather, they continue to reflect social norms and ethno-cultural customs that have developed over generations. As a consequence, contemporary name frequency distributions retain distinct geographic, social and ethno-cultural patterning that can be exploited to understand population structure in human biology, public health and social science. Previous attempts to detect and delineate such structure in large populations have entailed extensive empirical analysis of naming conventions in different parts of the world without seeking any general or automated methods of population classification by ethno-cultural origin. Here we show how 'naming networks', constructed from forename-surname pairs of a large sample of the contemporary human population in 17 countries, provide a valuable representation of cultural, ethnic and linguistic population structure around the world. This innovative approach enriches and adds value to automated population classification through conventional national data sources such as telephone directories and electoral registers. The method identifies clear social and ethno-cultural clusters in such naming networks that extend far beyond the geographic areas in which particular names originated, and that are preserved even after international migration. Moreover, one of the most striking findings of this approach is that these clusters simply 'emerge' from the aggregation of millions of individual decisions on parental naming practices for their children, without any prior knowledge introduced by the researcher. Our probabilistic approach to community assignment, both at city level as well as at a global scale, helps to reveal the degree of isolation, integration or overlap between human populations in our rapidly globalising world. As such, this work has important implications for research in population genetics, public health, and social science adding new understandings of migration, identity, integration and social interaction across the world. © 2011 Mateos et al.","author":[{"dropping-particle":"","family":"Mateos","given":"Pablo","non-dropping-particle":"","parse-names":false,"suffix":""},{"dropping-particle":"","family":"Longley","given":"Paul A.","non-dropping-particle":"","parse-names":false,"suffix":""},{"dropping-particle":"","family":"O'Sullivan","given":"David","non-dropping-particle":"","parse-names":false,"suffix":""}],"container-title":"PLoS ONE","editor":[{"dropping-particle":"","family":"O'Rourke","given":"Dennis","non-dropping-particle":"","parse-names":false,"suffix":""}],"id":"ITEM-1","issue":"9","issued":{"date-parts":[["2011","9","6"]]},"page":"e22943","publisher":"Public Library of Science","title":"Ethnicity and Population Structure in Personal Naming Networks","type":"article-journal","volume":"6"},"uris":["http://www.mendeley.com/documents/?uuid=38e6f33c-0b69-3c3f-a867-d75c4e731928"]}],"mendeley":{"formattedCitation":"[1]","plainTextFormattedCitation":"[1]","previouslyFormattedCitation":"[21]"},"properties":{"noteIndex":0},"schema":"https://github.com/citation-style-language/schema/raw/master/csl-citation.json"}</w:instrText>
      </w:r>
      <w:r w:rsidRPr="00737D0C">
        <w:rPr>
          <w:sz w:val="24"/>
          <w:lang w:val="en-GB"/>
        </w:rPr>
        <w:fldChar w:fldCharType="separate"/>
      </w:r>
      <w:r w:rsidR="00416626" w:rsidRPr="00416626">
        <w:rPr>
          <w:noProof/>
          <w:sz w:val="24"/>
          <w:lang w:val="en-GB"/>
        </w:rPr>
        <w:t>[1]</w:t>
      </w:r>
      <w:r w:rsidRPr="00737D0C">
        <w:rPr>
          <w:sz w:val="24"/>
          <w:lang w:val="en-GB"/>
        </w:rPr>
        <w:fldChar w:fldCharType="end"/>
      </w:r>
      <w:r w:rsidRPr="00737D0C">
        <w:rPr>
          <w:sz w:val="24"/>
          <w:lang w:val="en-GB"/>
        </w:rPr>
        <w:t>; this version of the software consists of a database of names derived from public registries of over 26 countries and includes 448,657 surnames and 253,881 forenames</w:t>
      </w:r>
      <w:r w:rsidRPr="00737D0C">
        <w:rPr>
          <w:lang w:val="en-GB"/>
        </w:rPr>
        <w:t xml:space="preserve"> </w:t>
      </w:r>
      <w:r w:rsidRPr="00737D0C">
        <w:rPr>
          <w:sz w:val="24"/>
          <w:lang w:val="en-GB"/>
        </w:rPr>
        <w:fldChar w:fldCharType="begin" w:fldLock="1"/>
      </w:r>
      <w:r w:rsidR="00416626">
        <w:rPr>
          <w:sz w:val="24"/>
          <w:lang w:val="en-GB"/>
        </w:rPr>
        <w:instrText>ADDIN CSL_CITATION {"citationItems":[{"id":"ITEM-1","itemData":{"DOI":"10.1016/J.PUHE.2011.05.003","ISSN":"0033-3506","abstract":"OBJECTIVES\nHealth inequalities between ethnic minorities and the general population are persistent. Addressing them is hampered by the inability to classify individuals’ ethnicity accurately. This is addressed by a new name-based ethnicity classification methodology called ‘Onomap’. This paper evaluates the diagnostic accuracy of Onomap in identifying population groups by ethnicity, and discusses applications to public health practice. \n\nSTUDY DESIGN\nOnomap was applied to three independent reference datasets (birth registration, pupil census and register of Polish health professionals) collected in Britain and Poland at individual level (n = 260,748). \n\nMETHODS\nResults were compared with the reference database ethnicity ‘gold standard’. Outcome measures included sensitivity, specificity, positive predictive value (PPV) and negative predictive value (NPV). Ninety-five percent confidence intervals and Chi-squared tests were used. \n\nRESULTS\nOnomap identified the majority of those in the British participant group with high sensitivity and PPV (&gt;95%), and low misclassification (&lt;5%), although specificity and NPV were lowest in this group (56–87%). Outcome measures for all other non-British groupings were high for specificity and NPV (&gt;98%), but variable for sensitivity and PPV (17–89%). Differences in misclassification by gender were statistically significant. Using maiden name rather than married name in women improved classification outcomes for those born in the British Isles (0.53%, 95% confidence interval 0.26–0.8%; P &lt; 0.001) but not for South Asian or Polish groups. \n\nCONCLUSIONS\nOnomap offers an effective methodology for identifying population groups in both health-related and educational datasets, categorizing populations into a variety of ethnic groups. This evaluation suggests that it can successfully assist health researchers, planners and policy makers in identifying and addressing health inequalities.","author":[{"dropping-particle":"","family":"Lakha","given":"F.","non-dropping-particle":"","parse-names":false,"suffix":""},{"dropping-particle":"","family":"Gorman","given":"D.R.","non-dropping-particle":"","parse-names":false,"suffix":""},{"dropping-particle":"","family":"Mateos","given":"P.","non-dropping-particle":"","parse-names":false,"suffix":""}],"container-title":"Public Health","id":"ITEM-1","issue":"10","issued":{"date-parts":[["2011","10","1"]]},"page":"688-696","publisher":"W.B. Saunders","title":"Name analysis to classify populations by ethnicity in public health: Validation of Onomap in Scotland","type":"article-journal","volume":"125"},"uris":["http://www.mendeley.com/documents/?uuid=4c936c19-2a0c-3a95-9db9-7a122855ce46"]}],"mendeley":{"formattedCitation":"[2]","plainTextFormattedCitation":"[2]","previouslyFormattedCitation":"[19]"},"properties":{"noteIndex":0},"schema":"https://github.com/citation-style-language/schema/raw/master/csl-citation.json"}</w:instrText>
      </w:r>
      <w:r w:rsidRPr="00737D0C">
        <w:rPr>
          <w:sz w:val="24"/>
          <w:lang w:val="en-GB"/>
        </w:rPr>
        <w:fldChar w:fldCharType="separate"/>
      </w:r>
      <w:r w:rsidR="00416626" w:rsidRPr="00416626">
        <w:rPr>
          <w:noProof/>
          <w:sz w:val="24"/>
          <w:lang w:val="en-GB"/>
        </w:rPr>
        <w:t>[2]</w:t>
      </w:r>
      <w:r w:rsidRPr="00737D0C">
        <w:rPr>
          <w:sz w:val="24"/>
          <w:lang w:val="en-GB"/>
        </w:rPr>
        <w:fldChar w:fldCharType="end"/>
      </w:r>
      <w:r w:rsidRPr="00737D0C">
        <w:rPr>
          <w:sz w:val="24"/>
          <w:lang w:val="en-GB"/>
        </w:rPr>
        <w:t xml:space="preserve">. The names are each classified by cultural ethnic </w:t>
      </w:r>
      <w:r w:rsidRPr="00737D0C">
        <w:rPr>
          <w:lang w:val="en-GB"/>
        </w:rPr>
        <w:t>and</w:t>
      </w:r>
      <w:r w:rsidRPr="00737D0C">
        <w:rPr>
          <w:sz w:val="24"/>
          <w:lang w:val="en-GB"/>
        </w:rPr>
        <w:t xml:space="preserve"> linguistic group by evaluating the community structure of the name network (linked by fore- and surnames). The lowest level classification is “</w:t>
      </w:r>
      <w:proofErr w:type="spellStart"/>
      <w:r w:rsidRPr="00737D0C">
        <w:rPr>
          <w:sz w:val="24"/>
          <w:lang w:val="en-GB"/>
        </w:rPr>
        <w:t>Onomap</w:t>
      </w:r>
      <w:proofErr w:type="spellEnd"/>
      <w:r w:rsidRPr="00737D0C">
        <w:rPr>
          <w:sz w:val="24"/>
          <w:lang w:val="en-GB"/>
        </w:rPr>
        <w:t xml:space="preserve"> type” which occurs as a community within the name network, along with this type is a probability score which gives likelihood of a name-type match, which is calculated from the share of the population with the particular name that can be assigned to that type in the training dataset (2001 census). As I stated before, </w:t>
      </w:r>
      <w:proofErr w:type="spellStart"/>
      <w:r w:rsidRPr="00737D0C">
        <w:rPr>
          <w:sz w:val="24"/>
          <w:lang w:val="en-GB"/>
        </w:rPr>
        <w:t>Onomap</w:t>
      </w:r>
      <w:proofErr w:type="spellEnd"/>
      <w:r w:rsidRPr="00737D0C">
        <w:rPr>
          <w:sz w:val="24"/>
          <w:lang w:val="en-GB"/>
        </w:rPr>
        <w:t xml:space="preserve"> software assesses both fore- and surname to assign an ethnicity classification. If the assignment conflicts, the software assigns the name-type match with the highest probability score.</w:t>
      </w:r>
    </w:p>
    <w:p w14:paraId="5B9CE710" w14:textId="77777777" w:rsidR="00AF3F14" w:rsidRPr="00737D0C" w:rsidRDefault="00AF3F14" w:rsidP="00AF3F14">
      <w:pPr>
        <w:spacing w:line="276" w:lineRule="auto"/>
        <w:rPr>
          <w:sz w:val="24"/>
          <w:lang w:val="en-GB"/>
        </w:rPr>
      </w:pPr>
    </w:p>
    <w:p w14:paraId="2D59378A" w14:textId="57222CBE" w:rsidR="00AF3F14" w:rsidRPr="00737D0C" w:rsidRDefault="00AF3F14" w:rsidP="00AF3F14">
      <w:pPr>
        <w:spacing w:line="276" w:lineRule="auto"/>
        <w:rPr>
          <w:lang w:val="en-GB"/>
        </w:rPr>
      </w:pPr>
      <w:r w:rsidRPr="00737D0C">
        <w:rPr>
          <w:sz w:val="24"/>
          <w:lang w:val="en-GB"/>
        </w:rPr>
        <w:t xml:space="preserve">Evaluation of the performance of the software has been undertaken by </w:t>
      </w:r>
      <w:proofErr w:type="spellStart"/>
      <w:r w:rsidRPr="00737D0C">
        <w:rPr>
          <w:sz w:val="24"/>
          <w:lang w:val="en-GB"/>
        </w:rPr>
        <w:t>Lakha</w:t>
      </w:r>
      <w:proofErr w:type="spellEnd"/>
      <w:r w:rsidRPr="00737D0C">
        <w:rPr>
          <w:sz w:val="24"/>
          <w:lang w:val="en-GB"/>
        </w:rPr>
        <w:t xml:space="preserve"> et. al. </w:t>
      </w:r>
      <w:r w:rsidRPr="00737D0C">
        <w:rPr>
          <w:sz w:val="24"/>
          <w:lang w:val="en-GB"/>
        </w:rPr>
        <w:fldChar w:fldCharType="begin" w:fldLock="1"/>
      </w:r>
      <w:r w:rsidR="00416626">
        <w:rPr>
          <w:sz w:val="24"/>
          <w:lang w:val="en-GB"/>
        </w:rPr>
        <w:instrText>ADDIN CSL_CITATION {"citationItems":[{"id":"ITEM-1","itemData":{"DOI":"10.1016/J.PUHE.2011.05.003","ISSN":"0033-3506","abstract":"OBJECTIVES\nHealth inequalities between ethnic minorities and the general population are persistent. Addressing them is hampered by the inability to classify individuals’ ethnicity accurately. This is addressed by a new name-based ethnicity classification methodology called ‘Onomap’. This paper evaluates the diagnostic accuracy of Onomap in identifying population groups by ethnicity, and discusses applications to public health practice. \n\nSTUDY DESIGN\nOnomap was applied to three independent reference datasets (birth registration, pupil census and register of Polish health professionals) collected in Britain and Poland at individual level (n = 260,748). \n\nMETHODS\nResults were compared with the reference database ethnicity ‘gold standard’. Outcome measures included sensitivity, specificity, positive predictive value (PPV) and negative predictive value (NPV). Ninety-five percent confidence intervals and Chi-squared tests were used. \n\nRESULTS\nOnomap identified the majority of those in the British participant group with high sensitivity and PPV (&gt;95%), and low misclassification (&lt;5%), although specificity and NPV were lowest in this group (56–87%). Outcome measures for all other non-British groupings were high for specificity and NPV (&gt;98%), but variable for sensitivity and PPV (17–89%). Differences in misclassification by gender were statistically significant. Using maiden name rather than married name in women improved classification outcomes for those born in the British Isles (0.53%, 95% confidence interval 0.26–0.8%; P &lt; 0.001) but not for South Asian or Polish groups. \n\nCONCLUSIONS\nOnomap offers an effective methodology for identifying population groups in both health-related and educational datasets, categorizing populations into a variety of ethnic groups. This evaluation suggests that it can successfully assist health researchers, planners and policy makers in identifying and addressing health inequalities.","author":[{"dropping-particle":"","family":"Lakha","given":"F.","non-dropping-particle":"","parse-names":false,"suffix":""},{"dropping-particle":"","family":"Gorman","given":"D.R.","non-dropping-particle":"","parse-names":false,"suffix":""},{"dropping-particle":"","family":"Mateos","given":"P.","non-dropping-particle":"","parse-names":false,"suffix":""}],"container-title":"Public Health","id":"ITEM-1","issue":"10","issued":{"date-parts":[["2011","10","1"]]},"page":"688-696","publisher":"W.B. Saunders","title":"Name analysis to classify populations by ethnicity in public health: Validation of Onomap in Scotland","type":"article-journal","volume":"125"},"uris":["http://www.mendeley.com/documents/?uuid=4c936c19-2a0c-3a95-9db9-7a122855ce46"]}],"mendeley":{"formattedCitation":"[2]","plainTextFormattedCitation":"[2]","previouslyFormattedCitation":"[19]"},"properties":{"noteIndex":0},"schema":"https://github.com/citation-style-language/schema/raw/master/csl-citation.json"}</w:instrText>
      </w:r>
      <w:r w:rsidRPr="00737D0C">
        <w:rPr>
          <w:sz w:val="24"/>
          <w:lang w:val="en-GB"/>
        </w:rPr>
        <w:fldChar w:fldCharType="separate"/>
      </w:r>
      <w:r w:rsidR="00416626" w:rsidRPr="00416626">
        <w:rPr>
          <w:noProof/>
          <w:sz w:val="24"/>
          <w:lang w:val="en-GB"/>
        </w:rPr>
        <w:t>[2]</w:t>
      </w:r>
      <w:r w:rsidRPr="00737D0C">
        <w:rPr>
          <w:sz w:val="24"/>
          <w:lang w:val="en-GB"/>
        </w:rPr>
        <w:fldChar w:fldCharType="end"/>
      </w:r>
      <w:r w:rsidRPr="00737D0C">
        <w:rPr>
          <w:sz w:val="24"/>
          <w:lang w:val="en-GB"/>
        </w:rPr>
        <w:t xml:space="preserve"> in a study which tested the software’s performance against multiple datasets in Scotland by comparing assigned ethnicity with parents’ country of birth. The Sensitivity, Specificity, positive predictive value and Negative predictive value</w:t>
      </w:r>
      <w:r w:rsidRPr="00737D0C">
        <w:rPr>
          <w:i/>
          <w:iCs/>
          <w:sz w:val="24"/>
          <w:lang w:val="en-GB"/>
        </w:rPr>
        <w:t xml:space="preserve"> </w:t>
      </w:r>
      <w:r w:rsidRPr="00737D0C">
        <w:rPr>
          <w:sz w:val="24"/>
          <w:lang w:val="en-GB"/>
        </w:rPr>
        <w:t>were reported for each ethnic classification. For clarity I present summary results here in Table</w:t>
      </w:r>
      <w:r w:rsidR="004E2BB9">
        <w:rPr>
          <w:sz w:val="24"/>
          <w:lang w:val="en-GB"/>
        </w:rPr>
        <w:t xml:space="preserve"> S1</w:t>
      </w:r>
      <w:r w:rsidRPr="00737D0C">
        <w:rPr>
          <w:sz w:val="24"/>
          <w:lang w:val="en-GB"/>
        </w:rPr>
        <w:t xml:space="preserve">. Notably, the assignment of ethnicity had higher specificity than sensitivity for all ethnicities except British. Complementarily, all non-British ethnicities were assigned with near perfect specificity, whereas British births had relatively poor specificity (68%). I include implications for this variation in sensitivity and specificity in the discussion of this chapter. African ethnicities were assigned with poor sensitivity. </w:t>
      </w:r>
    </w:p>
    <w:p w14:paraId="20AD1DB4" w14:textId="7E552734" w:rsidR="003B0C35" w:rsidRDefault="000D2838"/>
    <w:p w14:paraId="2D4A60C8" w14:textId="77777777" w:rsidR="00AF3F14" w:rsidRPr="00737D0C" w:rsidRDefault="00AF3F14" w:rsidP="00AF3F14">
      <w:pPr>
        <w:rPr>
          <w:lang w:val="en-GB"/>
        </w:rPr>
      </w:pPr>
      <w:r w:rsidRPr="00737D0C">
        <w:rPr>
          <w:noProof/>
          <w:lang w:val="en-GB"/>
        </w:rPr>
        <w:drawing>
          <wp:inline distT="0" distB="0" distL="0" distR="0" wp14:anchorId="69794DD6" wp14:editId="6DAC071F">
            <wp:extent cx="5130800" cy="318262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0800" cy="3182620"/>
                    </a:xfrm>
                    <a:prstGeom prst="rect">
                      <a:avLst/>
                    </a:prstGeom>
                  </pic:spPr>
                </pic:pic>
              </a:graphicData>
            </a:graphic>
          </wp:inline>
        </w:drawing>
      </w:r>
    </w:p>
    <w:p w14:paraId="196F9A25" w14:textId="317B2298" w:rsidR="00AF3F14" w:rsidRDefault="00AF3F14" w:rsidP="00AF3F14">
      <w:pPr>
        <w:pStyle w:val="Caption"/>
        <w:rPr>
          <w:lang w:val="en-GB"/>
        </w:rPr>
      </w:pPr>
      <w:r w:rsidRPr="00737D0C">
        <w:rPr>
          <w:lang w:val="en-GB"/>
        </w:rPr>
        <w:lastRenderedPageBreak/>
        <w:t xml:space="preserve">Table </w:t>
      </w:r>
      <w:r w:rsidR="00416626">
        <w:rPr>
          <w:lang w:val="en-GB"/>
        </w:rPr>
        <w:t>S1</w:t>
      </w:r>
      <w:r w:rsidRPr="00737D0C">
        <w:rPr>
          <w:lang w:val="en-GB"/>
        </w:rPr>
        <w:t xml:space="preserve"> Comparison of </w:t>
      </w:r>
      <w:proofErr w:type="spellStart"/>
      <w:r w:rsidRPr="00737D0C">
        <w:rPr>
          <w:lang w:val="en-GB"/>
        </w:rPr>
        <w:t>Onomap</w:t>
      </w:r>
      <w:proofErr w:type="spellEnd"/>
      <w:r w:rsidRPr="00737D0C">
        <w:rPr>
          <w:lang w:val="en-GB"/>
        </w:rPr>
        <w:t xml:space="preserve"> results against general register office for Scotland (GROS) birth registration (males and females together). PPV, positive predictive value; NPV, negative predictive value; CI, confidence interval. [Directly from Table 1 in </w:t>
      </w:r>
      <w:proofErr w:type="spellStart"/>
      <w:r w:rsidRPr="00737D0C">
        <w:rPr>
          <w:lang w:val="en-GB"/>
        </w:rPr>
        <w:t>Lakha</w:t>
      </w:r>
      <w:proofErr w:type="spellEnd"/>
      <w:r w:rsidRPr="00737D0C">
        <w:rPr>
          <w:lang w:val="en-GB"/>
        </w:rPr>
        <w:t xml:space="preserve"> et. al </w:t>
      </w:r>
      <w:r w:rsidRPr="00737D0C">
        <w:rPr>
          <w:lang w:val="en-GB"/>
        </w:rPr>
        <w:fldChar w:fldCharType="begin" w:fldLock="1"/>
      </w:r>
      <w:r w:rsidR="00416626">
        <w:rPr>
          <w:lang w:val="en-GB"/>
        </w:rPr>
        <w:instrText>ADDIN CSL_CITATION {"citationItems":[{"id":"ITEM-1","itemData":{"DOI":"10.1016/J.PUHE.2011.05.003","ISSN":"0033-3506","abstract":"OBJECTIVES\nHealth inequalities between ethnic minorities and the general population are persistent. Addressing them is hampered by the inability to classify individuals’ ethnicity accurately. This is addressed by a new name-based ethnicity classification methodology called ‘Onomap’. This paper evaluates the diagnostic accuracy of Onomap in identifying population groups by ethnicity, and discusses applications to public health practice. \n\nSTUDY DESIGN\nOnomap was applied to three independent reference datasets (birth registration, pupil census and register of Polish health professionals) collected in Britain and Poland at individual level (n = 260,748). \n\nMETHODS\nResults were compared with the reference database ethnicity ‘gold standard’. Outcome measures included sensitivity, specificity, positive predictive value (PPV) and negative predictive value (NPV). Ninety-five percent confidence intervals and Chi-squared tests were used. \n\nRESULTS\nOnomap identified the majority of those in the British participant group with high sensitivity and PPV (&gt;95%), and low misclassification (&lt;5%), although specificity and NPV were lowest in this group (56–87%). Outcome measures for all other non-British groupings were high for specificity and NPV (&gt;98%), but variable for sensitivity and PPV (17–89%). Differences in misclassification by gender were statistically significant. Using maiden name rather than married name in women improved classification outcomes for those born in the British Isles (0.53%, 95% confidence interval 0.26–0.8%; P &lt; 0.001) but not for South Asian or Polish groups. \n\nCONCLUSIONS\nOnomap offers an effective methodology for identifying population groups in both health-related and educational datasets, categorizing populations into a variety of ethnic groups. This evaluation suggests that it can successfully assist health researchers, planners and policy makers in identifying and addressing health inequalities.","author":[{"dropping-particle":"","family":"Lakha","given":"F.","non-dropping-particle":"","parse-names":false,"suffix":""},{"dropping-particle":"","family":"Gorman","given":"D.R.","non-dropping-particle":"","parse-names":false,"suffix":""},{"dropping-particle":"","family":"Mateos","given":"P.","non-dropping-particle":"","parse-names":false,"suffix":""}],"container-title":"Public Health","id":"ITEM-1","issue":"10","issued":{"date-parts":[["2011","10","1"]]},"page":"688-696","publisher":"W.B. Saunders","title":"Name analysis to classify populations by ethnicity in public health: Validation of Onomap in Scotland","type":"article-journal","volume":"125"},"uris":["http://www.mendeley.com/documents/?uuid=4c936c19-2a0c-3a95-9db9-7a122855ce46"]}],"mendeley":{"formattedCitation":"[2]","plainTextFormattedCitation":"[2]","previouslyFormattedCitation":"[19]"},"properties":{"noteIndex":0},"schema":"https://github.com/citation-style-language/schema/raw/master/csl-citation.json"}</w:instrText>
      </w:r>
      <w:r w:rsidRPr="00737D0C">
        <w:rPr>
          <w:lang w:val="en-GB"/>
        </w:rPr>
        <w:fldChar w:fldCharType="separate"/>
      </w:r>
      <w:r w:rsidR="00416626" w:rsidRPr="00416626">
        <w:rPr>
          <w:i w:val="0"/>
          <w:noProof/>
          <w:lang w:val="en-GB"/>
        </w:rPr>
        <w:t>[2]</w:t>
      </w:r>
      <w:r w:rsidRPr="00737D0C">
        <w:rPr>
          <w:lang w:val="en-GB"/>
        </w:rPr>
        <w:fldChar w:fldCharType="end"/>
      </w:r>
      <w:r w:rsidRPr="00737D0C">
        <w:rPr>
          <w:lang w:val="en-GB"/>
        </w:rPr>
        <w:t>]</w:t>
      </w:r>
    </w:p>
    <w:p w14:paraId="0D9A5624" w14:textId="5DAAAFA3" w:rsidR="00416626" w:rsidRDefault="00416626" w:rsidP="00416626">
      <w:pPr>
        <w:rPr>
          <w:lang w:val="en-GB"/>
        </w:rPr>
      </w:pPr>
    </w:p>
    <w:p w14:paraId="7820E6B7" w14:textId="5C51ACE7" w:rsidR="00453218" w:rsidRPr="00453218" w:rsidRDefault="00453218" w:rsidP="00453218">
      <w:pPr>
        <w:spacing w:after="360"/>
        <w:rPr>
          <w:b/>
          <w:bCs/>
          <w:sz w:val="24"/>
          <w:szCs w:val="24"/>
        </w:rPr>
      </w:pPr>
      <w:r w:rsidRPr="00453218">
        <w:rPr>
          <w:b/>
          <w:bCs/>
          <w:sz w:val="24"/>
          <w:szCs w:val="24"/>
        </w:rPr>
        <w:t>Confidence intervals</w:t>
      </w:r>
    </w:p>
    <w:p w14:paraId="7B9D3D0C" w14:textId="4462F568" w:rsidR="00416626" w:rsidRDefault="00416626" w:rsidP="00416626">
      <w:pPr>
        <w:rPr>
          <w:lang w:val="en-GB"/>
        </w:rPr>
      </w:pPr>
    </w:p>
    <w:p w14:paraId="374743CA" w14:textId="77777777" w:rsidR="00453218" w:rsidRPr="00453218" w:rsidRDefault="00453218" w:rsidP="00453218">
      <w:pPr>
        <w:spacing w:line="276" w:lineRule="auto"/>
        <w:rPr>
          <w:sz w:val="24"/>
          <w:lang w:val="en-GB"/>
        </w:rPr>
      </w:pPr>
      <w:r w:rsidRPr="00453218">
        <w:rPr>
          <w:sz w:val="24"/>
          <w:lang w:val="en-GB"/>
        </w:rPr>
        <w:t xml:space="preserve">Confidence intervals of proportions were calculated as: </w:t>
      </w:r>
    </w:p>
    <w:p w14:paraId="440072DA" w14:textId="77777777" w:rsidR="00453218" w:rsidRPr="00453218" w:rsidRDefault="00453218" w:rsidP="00453218">
      <w:pPr>
        <w:spacing w:line="276" w:lineRule="auto"/>
        <w:rPr>
          <w:sz w:val="24"/>
          <w:lang w:val="en-GB"/>
        </w:rPr>
      </w:pPr>
      <m:oMathPara>
        <m:oMath>
          <m:r>
            <w:rPr>
              <w:rFonts w:ascii="Cambria Math" w:hAnsi="Cambria Math"/>
              <w:sz w:val="24"/>
              <w:lang w:val="en-GB"/>
            </w:rPr>
            <m:t>p</m:t>
          </m:r>
          <m:r>
            <m:rPr>
              <m:sty m:val="p"/>
            </m:rPr>
            <w:rPr>
              <w:rFonts w:ascii="Cambria Math" w:hAnsi="Cambria Math"/>
              <w:sz w:val="24"/>
              <w:lang w:val="en-GB"/>
            </w:rPr>
            <m:t>±1.96</m:t>
          </m:r>
          <m:rad>
            <m:radPr>
              <m:degHide m:val="1"/>
              <m:ctrlPr>
                <w:rPr>
                  <w:rFonts w:ascii="Cambria Math" w:hAnsi="Cambria Math"/>
                  <w:sz w:val="24"/>
                  <w:lang w:val="en-GB"/>
                </w:rPr>
              </m:ctrlPr>
            </m:radPr>
            <m:deg/>
            <m:e>
              <m:f>
                <m:fPr>
                  <m:ctrlPr>
                    <w:rPr>
                      <w:rFonts w:ascii="Cambria Math" w:hAnsi="Cambria Math"/>
                      <w:sz w:val="24"/>
                      <w:lang w:val="en-GB"/>
                    </w:rPr>
                  </m:ctrlPr>
                </m:fPr>
                <m:num>
                  <m:r>
                    <w:rPr>
                      <w:rFonts w:ascii="Cambria Math" w:hAnsi="Cambria Math"/>
                      <w:sz w:val="24"/>
                      <w:lang w:val="en-GB"/>
                    </w:rPr>
                    <m:t>p</m:t>
                  </m:r>
                  <m:d>
                    <m:dPr>
                      <m:ctrlPr>
                        <w:rPr>
                          <w:rFonts w:ascii="Cambria Math" w:hAnsi="Cambria Math"/>
                          <w:sz w:val="24"/>
                          <w:lang w:val="en-GB"/>
                        </w:rPr>
                      </m:ctrlPr>
                    </m:dPr>
                    <m:e>
                      <m:r>
                        <m:rPr>
                          <m:sty m:val="p"/>
                        </m:rPr>
                        <w:rPr>
                          <w:rFonts w:ascii="Cambria Math" w:hAnsi="Cambria Math"/>
                          <w:sz w:val="24"/>
                          <w:lang w:val="en-GB"/>
                        </w:rPr>
                        <m:t>1-</m:t>
                      </m:r>
                      <m:r>
                        <w:rPr>
                          <w:rFonts w:ascii="Cambria Math" w:hAnsi="Cambria Math"/>
                          <w:sz w:val="24"/>
                          <w:lang w:val="en-GB"/>
                        </w:rPr>
                        <m:t>p</m:t>
                      </m:r>
                    </m:e>
                  </m:d>
                </m:num>
                <m:den>
                  <m:r>
                    <w:rPr>
                      <w:rFonts w:ascii="Cambria Math" w:hAnsi="Cambria Math"/>
                      <w:sz w:val="24"/>
                      <w:lang w:val="en-GB"/>
                    </w:rPr>
                    <m:t>n</m:t>
                  </m:r>
                </m:den>
              </m:f>
            </m:e>
          </m:rad>
        </m:oMath>
      </m:oMathPara>
    </w:p>
    <w:p w14:paraId="6042E032" w14:textId="04283E58" w:rsidR="00453218" w:rsidRDefault="00453218" w:rsidP="00453218">
      <w:pPr>
        <w:spacing w:line="276" w:lineRule="auto"/>
        <w:rPr>
          <w:sz w:val="24"/>
          <w:lang w:val="en-GB"/>
        </w:rPr>
      </w:pPr>
      <w:r w:rsidRPr="00453218">
        <w:rPr>
          <w:sz w:val="24"/>
          <w:lang w:val="en-GB"/>
        </w:rPr>
        <w:t xml:space="preserve">Where p is the proportion and n </w:t>
      </w:r>
      <w:proofErr w:type="gramStart"/>
      <w:r w:rsidRPr="00453218">
        <w:rPr>
          <w:sz w:val="24"/>
          <w:lang w:val="en-GB"/>
        </w:rPr>
        <w:t>is</w:t>
      </w:r>
      <w:proofErr w:type="gramEnd"/>
      <w:r w:rsidRPr="00453218">
        <w:rPr>
          <w:sz w:val="24"/>
          <w:lang w:val="en-GB"/>
        </w:rPr>
        <w:t xml:space="preserve"> the total population from which the proportion has been drawn.</w:t>
      </w:r>
    </w:p>
    <w:p w14:paraId="16EC7895" w14:textId="77777777" w:rsidR="00A52022" w:rsidRPr="00453218" w:rsidRDefault="00A52022" w:rsidP="00453218">
      <w:pPr>
        <w:spacing w:line="276" w:lineRule="auto"/>
        <w:rPr>
          <w:sz w:val="24"/>
          <w:lang w:val="en-GB"/>
        </w:rPr>
      </w:pPr>
    </w:p>
    <w:p w14:paraId="009FD78D" w14:textId="77777777" w:rsidR="00453218" w:rsidRPr="00453218" w:rsidRDefault="00453218" w:rsidP="00453218">
      <w:pPr>
        <w:spacing w:line="276" w:lineRule="auto"/>
        <w:rPr>
          <w:sz w:val="24"/>
          <w:lang w:val="en-GB"/>
        </w:rPr>
      </w:pPr>
      <w:r w:rsidRPr="00453218">
        <w:rPr>
          <w:sz w:val="24"/>
          <w:lang w:val="en-GB"/>
        </w:rPr>
        <w:t>Confidence intervals of all relative risks were calculated as:</w:t>
      </w:r>
    </w:p>
    <w:p w14:paraId="0F1CF998" w14:textId="77777777" w:rsidR="00453218" w:rsidRPr="00453218" w:rsidRDefault="000D2838" w:rsidP="00453218">
      <w:pPr>
        <w:spacing w:line="276" w:lineRule="auto"/>
        <w:rPr>
          <w:sz w:val="24"/>
          <w:lang w:val="en-GB"/>
        </w:rPr>
      </w:pPr>
      <m:oMathPara>
        <m:oMath>
          <m:func>
            <m:funcPr>
              <m:ctrlPr>
                <w:rPr>
                  <w:rFonts w:ascii="Cambria Math" w:hAnsi="Cambria Math"/>
                  <w:sz w:val="24"/>
                  <w:lang w:val="en-GB"/>
                </w:rPr>
              </m:ctrlPr>
            </m:funcPr>
            <m:fName>
              <m:r>
                <m:rPr>
                  <m:sty m:val="p"/>
                </m:rPr>
                <w:rPr>
                  <w:rFonts w:ascii="Cambria Math" w:hAnsi="Cambria Math"/>
                  <w:sz w:val="24"/>
                  <w:lang w:val="en-GB"/>
                </w:rPr>
                <m:t>exp</m:t>
              </m:r>
            </m:fName>
            <m:e>
              <m:d>
                <m:dPr>
                  <m:ctrlPr>
                    <w:rPr>
                      <w:rFonts w:ascii="Cambria Math" w:hAnsi="Cambria Math"/>
                      <w:sz w:val="24"/>
                      <w:lang w:val="en-GB"/>
                    </w:rPr>
                  </m:ctrlPr>
                </m:dPr>
                <m:e>
                  <m:r>
                    <w:rPr>
                      <w:rFonts w:ascii="Cambria Math" w:hAnsi="Cambria Math"/>
                      <w:sz w:val="24"/>
                      <w:lang w:val="en-GB"/>
                    </w:rPr>
                    <m:t>LN</m:t>
                  </m:r>
                  <m:r>
                    <m:rPr>
                      <m:sty m:val="p"/>
                    </m:rPr>
                    <w:rPr>
                      <w:rFonts w:ascii="Cambria Math" w:hAnsi="Cambria Math"/>
                      <w:sz w:val="24"/>
                      <w:lang w:val="en-GB"/>
                    </w:rPr>
                    <m:t>(</m:t>
                  </m:r>
                  <m:r>
                    <w:rPr>
                      <w:rFonts w:ascii="Cambria Math" w:hAnsi="Cambria Math"/>
                      <w:sz w:val="24"/>
                      <w:lang w:val="en-GB"/>
                    </w:rPr>
                    <m:t>RR</m:t>
                  </m:r>
                  <m:r>
                    <m:rPr>
                      <m:sty m:val="p"/>
                    </m:rPr>
                    <w:rPr>
                      <w:rFonts w:ascii="Cambria Math" w:hAnsi="Cambria Math"/>
                      <w:sz w:val="24"/>
                      <w:lang w:val="en-GB"/>
                    </w:rPr>
                    <m:t>)±1.96</m:t>
                  </m:r>
                  <m:rad>
                    <m:radPr>
                      <m:degHide m:val="1"/>
                      <m:ctrlPr>
                        <w:rPr>
                          <w:rFonts w:ascii="Cambria Math" w:hAnsi="Cambria Math"/>
                          <w:sz w:val="24"/>
                          <w:lang w:val="en-GB"/>
                        </w:rPr>
                      </m:ctrlPr>
                    </m:radPr>
                    <m:deg/>
                    <m:e>
                      <m:f>
                        <m:fPr>
                          <m:ctrlPr>
                            <w:rPr>
                              <w:rFonts w:ascii="Cambria Math" w:hAnsi="Cambria Math"/>
                              <w:sz w:val="24"/>
                              <w:lang w:val="en-GB"/>
                            </w:rPr>
                          </m:ctrlPr>
                        </m:fPr>
                        <m:num>
                          <m:sSub>
                            <m:sSubPr>
                              <m:ctrlPr>
                                <w:rPr>
                                  <w:rFonts w:ascii="Cambria Math" w:hAnsi="Cambria Math"/>
                                  <w:sz w:val="24"/>
                                  <w:lang w:val="en-GB"/>
                                </w:rPr>
                              </m:ctrlPr>
                            </m:sSubPr>
                            <m:e>
                              <m:r>
                                <m:rPr>
                                  <m:sty m:val="p"/>
                                </m:rPr>
                                <w:rPr>
                                  <w:rFonts w:ascii="Cambria Math" w:hAnsi="Cambria Math"/>
                                  <w:sz w:val="24"/>
                                  <w:lang w:val="en-GB"/>
                                </w:rPr>
                                <m:t>(</m:t>
                              </m:r>
                              <m:r>
                                <w:rPr>
                                  <w:rFonts w:ascii="Cambria Math" w:hAnsi="Cambria Math"/>
                                  <w:sz w:val="24"/>
                                  <w:lang w:val="en-GB"/>
                                </w:rPr>
                                <m:t>n</m:t>
                              </m:r>
                            </m:e>
                            <m:sub>
                              <m:r>
                                <w:rPr>
                                  <w:rFonts w:ascii="Cambria Math" w:hAnsi="Cambria Math"/>
                                  <w:sz w:val="24"/>
                                  <w:lang w:val="en-GB"/>
                                </w:rPr>
                                <m:t>pop</m:t>
                              </m:r>
                            </m:sub>
                          </m:sSub>
                          <m:r>
                            <m:rPr>
                              <m:sty m:val="p"/>
                            </m:rPr>
                            <w:rPr>
                              <w:rFonts w:ascii="Cambria Math" w:hAnsi="Cambria Math"/>
                              <w:sz w:val="24"/>
                              <w:lang w:val="en-GB"/>
                            </w:rPr>
                            <m:t>-</m:t>
                          </m:r>
                          <m:sSub>
                            <m:sSubPr>
                              <m:ctrlPr>
                                <w:rPr>
                                  <w:rFonts w:ascii="Cambria Math" w:hAnsi="Cambria Math"/>
                                  <w:sz w:val="24"/>
                                  <w:lang w:val="en-GB"/>
                                </w:rPr>
                              </m:ctrlPr>
                            </m:sSubPr>
                            <m:e>
                              <m:r>
                                <w:rPr>
                                  <w:rFonts w:ascii="Cambria Math" w:hAnsi="Cambria Math"/>
                                  <w:sz w:val="24"/>
                                  <w:lang w:val="en-GB"/>
                                </w:rPr>
                                <m:t>x</m:t>
                              </m:r>
                            </m:e>
                            <m:sub>
                              <m:r>
                                <w:rPr>
                                  <w:rFonts w:ascii="Cambria Math" w:hAnsi="Cambria Math"/>
                                  <w:sz w:val="24"/>
                                  <w:lang w:val="en-GB"/>
                                </w:rPr>
                                <m:t>pop</m:t>
                              </m:r>
                            </m:sub>
                          </m:sSub>
                          <m:r>
                            <m:rPr>
                              <m:sty m:val="p"/>
                            </m:rPr>
                            <w:rPr>
                              <w:rFonts w:ascii="Cambria Math" w:hAnsi="Cambria Math"/>
                              <w:sz w:val="24"/>
                              <w:lang w:val="en-GB"/>
                            </w:rPr>
                            <m:t>)/</m:t>
                          </m:r>
                          <m:sSub>
                            <m:sSubPr>
                              <m:ctrlPr>
                                <w:rPr>
                                  <w:rFonts w:ascii="Cambria Math" w:hAnsi="Cambria Math"/>
                                  <w:sz w:val="24"/>
                                  <w:lang w:val="en-GB"/>
                                </w:rPr>
                              </m:ctrlPr>
                            </m:sSubPr>
                            <m:e>
                              <m:r>
                                <w:rPr>
                                  <w:rFonts w:ascii="Cambria Math" w:hAnsi="Cambria Math"/>
                                  <w:sz w:val="24"/>
                                  <w:lang w:val="en-GB"/>
                                </w:rPr>
                                <m:t>x</m:t>
                              </m:r>
                            </m:e>
                            <m:sub>
                              <m:r>
                                <w:rPr>
                                  <w:rFonts w:ascii="Cambria Math" w:hAnsi="Cambria Math"/>
                                  <w:sz w:val="24"/>
                                  <w:lang w:val="en-GB"/>
                                </w:rPr>
                                <m:t>pop</m:t>
                              </m:r>
                            </m:sub>
                          </m:sSub>
                        </m:num>
                        <m:den>
                          <m:sSub>
                            <m:sSubPr>
                              <m:ctrlPr>
                                <w:rPr>
                                  <w:rFonts w:ascii="Cambria Math" w:hAnsi="Cambria Math"/>
                                  <w:sz w:val="24"/>
                                  <w:lang w:val="en-GB"/>
                                </w:rPr>
                              </m:ctrlPr>
                            </m:sSubPr>
                            <m:e>
                              <m:r>
                                <w:rPr>
                                  <w:rFonts w:ascii="Cambria Math" w:hAnsi="Cambria Math"/>
                                  <w:sz w:val="24"/>
                                  <w:lang w:val="en-GB"/>
                                </w:rPr>
                                <m:t>n</m:t>
                              </m:r>
                            </m:e>
                            <m:sub>
                              <m:r>
                                <w:rPr>
                                  <w:rFonts w:ascii="Cambria Math" w:hAnsi="Cambria Math"/>
                                  <w:sz w:val="24"/>
                                  <w:lang w:val="en-GB"/>
                                </w:rPr>
                                <m:t>pop</m:t>
                              </m:r>
                            </m:sub>
                          </m:sSub>
                        </m:den>
                      </m:f>
                      <m:r>
                        <m:rPr>
                          <m:sty m:val="p"/>
                        </m:rPr>
                        <w:rPr>
                          <w:rFonts w:ascii="Cambria Math" w:hAnsi="Cambria Math"/>
                          <w:sz w:val="24"/>
                          <w:lang w:val="en-GB"/>
                        </w:rPr>
                        <m:t>+</m:t>
                      </m:r>
                      <m:f>
                        <m:fPr>
                          <m:ctrlPr>
                            <w:rPr>
                              <w:rFonts w:ascii="Cambria Math" w:hAnsi="Cambria Math"/>
                              <w:sz w:val="24"/>
                              <w:lang w:val="en-GB"/>
                            </w:rPr>
                          </m:ctrlPr>
                        </m:fPr>
                        <m:num>
                          <m:sSub>
                            <m:sSubPr>
                              <m:ctrlPr>
                                <w:rPr>
                                  <w:rFonts w:ascii="Cambria Math" w:hAnsi="Cambria Math"/>
                                  <w:sz w:val="24"/>
                                  <w:lang w:val="en-GB"/>
                                </w:rPr>
                              </m:ctrlPr>
                            </m:sSubPr>
                            <m:e>
                              <m:r>
                                <m:rPr>
                                  <m:sty m:val="p"/>
                                </m:rPr>
                                <w:rPr>
                                  <w:rFonts w:ascii="Cambria Math" w:hAnsi="Cambria Math"/>
                                  <w:sz w:val="24"/>
                                  <w:lang w:val="en-GB"/>
                                </w:rPr>
                                <m:t>(</m:t>
                              </m:r>
                              <m:r>
                                <w:rPr>
                                  <w:rFonts w:ascii="Cambria Math" w:hAnsi="Cambria Math"/>
                                  <w:sz w:val="24"/>
                                  <w:lang w:val="en-GB"/>
                                </w:rPr>
                                <m:t>n</m:t>
                              </m:r>
                            </m:e>
                            <m:sub>
                              <m:r>
                                <w:rPr>
                                  <w:rFonts w:ascii="Cambria Math" w:hAnsi="Cambria Math"/>
                                  <w:sz w:val="24"/>
                                  <w:lang w:val="en-GB"/>
                                </w:rPr>
                                <m:t>cases</m:t>
                              </m:r>
                            </m:sub>
                          </m:sSub>
                          <m:r>
                            <m:rPr>
                              <m:sty m:val="p"/>
                            </m:rPr>
                            <w:rPr>
                              <w:rFonts w:ascii="Cambria Math" w:hAnsi="Cambria Math"/>
                              <w:sz w:val="24"/>
                              <w:lang w:val="en-GB"/>
                            </w:rPr>
                            <m:t>-</m:t>
                          </m:r>
                          <m:sSub>
                            <m:sSubPr>
                              <m:ctrlPr>
                                <w:rPr>
                                  <w:rFonts w:ascii="Cambria Math" w:hAnsi="Cambria Math"/>
                                  <w:sz w:val="24"/>
                                  <w:lang w:val="en-GB"/>
                                </w:rPr>
                              </m:ctrlPr>
                            </m:sSubPr>
                            <m:e>
                              <m:r>
                                <w:rPr>
                                  <w:rFonts w:ascii="Cambria Math" w:hAnsi="Cambria Math"/>
                                  <w:sz w:val="24"/>
                                  <w:lang w:val="en-GB"/>
                                </w:rPr>
                                <m:t>x</m:t>
                              </m:r>
                            </m:e>
                            <m:sub>
                              <m:r>
                                <w:rPr>
                                  <w:rFonts w:ascii="Cambria Math" w:hAnsi="Cambria Math"/>
                                  <w:sz w:val="24"/>
                                  <w:lang w:val="en-GB"/>
                                </w:rPr>
                                <m:t>cases</m:t>
                              </m:r>
                            </m:sub>
                          </m:sSub>
                          <m:r>
                            <m:rPr>
                              <m:sty m:val="p"/>
                            </m:rPr>
                            <w:rPr>
                              <w:rFonts w:ascii="Cambria Math" w:hAnsi="Cambria Math"/>
                              <w:sz w:val="24"/>
                              <w:lang w:val="en-GB"/>
                            </w:rPr>
                            <m:t>)</m:t>
                          </m:r>
                          <m:sSub>
                            <m:sSubPr>
                              <m:ctrlPr>
                                <w:rPr>
                                  <w:rFonts w:ascii="Cambria Math" w:hAnsi="Cambria Math"/>
                                  <w:sz w:val="24"/>
                                  <w:lang w:val="en-GB"/>
                                </w:rPr>
                              </m:ctrlPr>
                            </m:sSubPr>
                            <m:e>
                              <m:r>
                                <m:rPr>
                                  <m:sty m:val="p"/>
                                </m:rPr>
                                <w:rPr>
                                  <w:rFonts w:ascii="Cambria Math" w:hAnsi="Cambria Math"/>
                                  <w:sz w:val="24"/>
                                  <w:lang w:val="en-GB"/>
                                </w:rPr>
                                <m:t>/</m:t>
                              </m:r>
                              <m:r>
                                <w:rPr>
                                  <w:rFonts w:ascii="Cambria Math" w:hAnsi="Cambria Math"/>
                                  <w:sz w:val="24"/>
                                  <w:lang w:val="en-GB"/>
                                </w:rPr>
                                <m:t>x</m:t>
                              </m:r>
                            </m:e>
                            <m:sub>
                              <m:r>
                                <w:rPr>
                                  <w:rFonts w:ascii="Cambria Math" w:hAnsi="Cambria Math"/>
                                  <w:sz w:val="24"/>
                                  <w:lang w:val="en-GB"/>
                                </w:rPr>
                                <m:t>cases</m:t>
                              </m:r>
                            </m:sub>
                          </m:sSub>
                        </m:num>
                        <m:den>
                          <m:sSub>
                            <m:sSubPr>
                              <m:ctrlPr>
                                <w:rPr>
                                  <w:rFonts w:ascii="Cambria Math" w:hAnsi="Cambria Math"/>
                                  <w:sz w:val="24"/>
                                  <w:lang w:val="en-GB"/>
                                </w:rPr>
                              </m:ctrlPr>
                            </m:sSubPr>
                            <m:e>
                              <m:r>
                                <w:rPr>
                                  <w:rFonts w:ascii="Cambria Math" w:hAnsi="Cambria Math"/>
                                  <w:sz w:val="24"/>
                                  <w:lang w:val="en-GB"/>
                                </w:rPr>
                                <m:t>n</m:t>
                              </m:r>
                            </m:e>
                            <m:sub>
                              <m:r>
                                <w:rPr>
                                  <w:rFonts w:ascii="Cambria Math" w:hAnsi="Cambria Math"/>
                                  <w:sz w:val="24"/>
                                  <w:lang w:val="en-GB"/>
                                </w:rPr>
                                <m:t>cases</m:t>
                              </m:r>
                            </m:sub>
                          </m:sSub>
                        </m:den>
                      </m:f>
                    </m:e>
                  </m:rad>
                </m:e>
              </m:d>
            </m:e>
          </m:func>
        </m:oMath>
      </m:oMathPara>
    </w:p>
    <w:p w14:paraId="659FE6A1" w14:textId="77777777" w:rsidR="00453218" w:rsidRPr="00453218" w:rsidRDefault="00453218" w:rsidP="00453218">
      <w:pPr>
        <w:spacing w:line="276" w:lineRule="auto"/>
        <w:rPr>
          <w:sz w:val="24"/>
          <w:lang w:val="en-GB"/>
        </w:rPr>
      </w:pPr>
      <w:r w:rsidRPr="00453218">
        <w:rPr>
          <w:sz w:val="24"/>
          <w:lang w:val="en-GB"/>
        </w:rPr>
        <w:t xml:space="preserve">Where </w:t>
      </w:r>
      <w:proofErr w:type="spellStart"/>
      <w:r w:rsidRPr="00453218">
        <w:rPr>
          <w:sz w:val="24"/>
          <w:lang w:val="en-GB"/>
        </w:rPr>
        <w:t>n</w:t>
      </w:r>
      <w:r w:rsidRPr="00A52022">
        <w:rPr>
          <w:sz w:val="24"/>
          <w:vertAlign w:val="subscript"/>
          <w:lang w:val="en-GB"/>
        </w:rPr>
        <w:t>pop</w:t>
      </w:r>
      <w:proofErr w:type="spellEnd"/>
      <w:r w:rsidRPr="00453218">
        <w:rPr>
          <w:sz w:val="24"/>
          <w:lang w:val="en-GB"/>
        </w:rPr>
        <w:t xml:space="preserve"> is the total population and </w:t>
      </w:r>
      <w:proofErr w:type="spellStart"/>
      <w:r w:rsidRPr="00453218">
        <w:rPr>
          <w:sz w:val="24"/>
          <w:lang w:val="en-GB"/>
        </w:rPr>
        <w:t>n</w:t>
      </w:r>
      <w:r w:rsidRPr="00A52022">
        <w:rPr>
          <w:sz w:val="24"/>
          <w:vertAlign w:val="subscript"/>
          <w:lang w:val="en-GB"/>
        </w:rPr>
        <w:t>cases</w:t>
      </w:r>
      <w:proofErr w:type="spellEnd"/>
      <w:r w:rsidRPr="00453218">
        <w:rPr>
          <w:sz w:val="24"/>
          <w:lang w:val="en-GB"/>
        </w:rPr>
        <w:t xml:space="preserve"> is the total number of cases and </w:t>
      </w:r>
      <w:proofErr w:type="spellStart"/>
      <w:r w:rsidRPr="00453218">
        <w:rPr>
          <w:sz w:val="24"/>
          <w:lang w:val="en-GB"/>
        </w:rPr>
        <w:t>x</w:t>
      </w:r>
      <w:r w:rsidRPr="00A52022">
        <w:rPr>
          <w:sz w:val="24"/>
          <w:vertAlign w:val="subscript"/>
          <w:lang w:val="en-GB"/>
        </w:rPr>
        <w:t>pop</w:t>
      </w:r>
      <w:proofErr w:type="spellEnd"/>
      <w:r w:rsidRPr="00453218">
        <w:rPr>
          <w:sz w:val="24"/>
          <w:lang w:val="en-GB"/>
        </w:rPr>
        <w:t xml:space="preserve"> is the population in the particular sub-group and </w:t>
      </w:r>
      <w:proofErr w:type="spellStart"/>
      <w:r w:rsidRPr="00453218">
        <w:rPr>
          <w:sz w:val="24"/>
          <w:lang w:val="en-GB"/>
        </w:rPr>
        <w:t>x</w:t>
      </w:r>
      <w:r w:rsidRPr="00A52022">
        <w:rPr>
          <w:sz w:val="24"/>
          <w:vertAlign w:val="subscript"/>
          <w:lang w:val="en-GB"/>
        </w:rPr>
        <w:t>cases</w:t>
      </w:r>
      <w:proofErr w:type="spellEnd"/>
      <w:r w:rsidRPr="00453218">
        <w:rPr>
          <w:sz w:val="24"/>
          <w:lang w:val="en-GB"/>
        </w:rPr>
        <w:t xml:space="preserve"> is the number of cases in the particular sub-group. </w:t>
      </w:r>
    </w:p>
    <w:p w14:paraId="236D684E" w14:textId="77777777" w:rsidR="00453218" w:rsidRPr="00AE4DB4" w:rsidRDefault="00453218" w:rsidP="00416626">
      <w:pPr>
        <w:rPr>
          <w:lang w:val="en-GB"/>
        </w:rPr>
      </w:pPr>
    </w:p>
    <w:p w14:paraId="5A3BE8BF" w14:textId="77777777" w:rsidR="00416626" w:rsidRPr="00AE4DB4" w:rsidRDefault="00416626" w:rsidP="00416626">
      <w:pPr>
        <w:rPr>
          <w:sz w:val="24"/>
          <w:szCs w:val="24"/>
          <w:lang w:val="en-GB"/>
        </w:rPr>
      </w:pPr>
    </w:p>
    <w:p w14:paraId="475CDD19" w14:textId="77777777" w:rsidR="00416626" w:rsidRPr="00416626" w:rsidRDefault="00416626" w:rsidP="00416626">
      <w:pPr>
        <w:spacing w:after="360"/>
        <w:rPr>
          <w:b/>
          <w:bCs/>
          <w:sz w:val="24"/>
          <w:szCs w:val="24"/>
        </w:rPr>
      </w:pPr>
      <w:bookmarkStart w:id="0" w:name="_Toc26866437"/>
      <w:r w:rsidRPr="00416626">
        <w:rPr>
          <w:b/>
          <w:bCs/>
          <w:sz w:val="24"/>
          <w:szCs w:val="24"/>
        </w:rPr>
        <w:t>Missing data</w:t>
      </w:r>
      <w:bookmarkEnd w:id="0"/>
    </w:p>
    <w:p w14:paraId="509AEFA2" w14:textId="77777777" w:rsidR="00416626" w:rsidRPr="00AE4DB4" w:rsidRDefault="00416626" w:rsidP="00416626">
      <w:pPr>
        <w:rPr>
          <w:sz w:val="24"/>
          <w:szCs w:val="24"/>
          <w:lang w:val="en-GB"/>
        </w:rPr>
      </w:pPr>
    </w:p>
    <w:p w14:paraId="62E7F4BD" w14:textId="77777777" w:rsidR="00416626" w:rsidRPr="00AE4DB4" w:rsidRDefault="00416626" w:rsidP="00416626">
      <w:pPr>
        <w:rPr>
          <w:rFonts w:eastAsia="Times New Roman"/>
          <w:noProof/>
          <w:color w:val="000000"/>
          <w:sz w:val="24"/>
          <w:szCs w:val="24"/>
          <w:lang w:val="en-GB"/>
        </w:rPr>
      </w:pPr>
      <w:r w:rsidRPr="00AE4DB4">
        <w:rPr>
          <w:rFonts w:eastAsia="Times New Roman"/>
          <w:noProof/>
          <w:color w:val="000000"/>
          <w:sz w:val="24"/>
          <w:szCs w:val="24"/>
          <w:lang w:val="en-GB"/>
        </w:rPr>
        <w:t xml:space="preserve">I evaluated the proportion of reported cases with a missing postcode by date collected, age, gender and case status: </w:t>
      </w:r>
    </w:p>
    <w:p w14:paraId="77A4DD29" w14:textId="77777777" w:rsidR="00416626" w:rsidRPr="00AE4DB4" w:rsidRDefault="00416626" w:rsidP="00416626">
      <w:pPr>
        <w:rPr>
          <w:rFonts w:eastAsia="Times New Roman"/>
          <w:noProof/>
          <w:color w:val="000000"/>
          <w:sz w:val="24"/>
          <w:szCs w:val="24"/>
          <w:lang w:val="en-GB"/>
        </w:rPr>
      </w:pPr>
    </w:p>
    <w:p w14:paraId="0AC55A52" w14:textId="77777777" w:rsidR="00416626" w:rsidRPr="00AE4DB4" w:rsidRDefault="00416626" w:rsidP="00416626">
      <w:pPr>
        <w:rPr>
          <w:rFonts w:eastAsia="Times New Roman"/>
          <w:noProof/>
          <w:color w:val="000000"/>
          <w:sz w:val="24"/>
          <w:szCs w:val="24"/>
          <w:lang w:val="en-GB"/>
        </w:rPr>
      </w:pPr>
      <w:r w:rsidRPr="00AE4DB4">
        <w:rPr>
          <w:rFonts w:eastAsia="Times New Roman"/>
          <w:noProof/>
          <w:color w:val="000000"/>
          <w:sz w:val="24"/>
          <w:szCs w:val="24"/>
          <w:lang w:val="en-GB"/>
        </w:rPr>
        <w:t xml:space="preserve">I ran a logistic regression for missing postcode with explanatory variables: Age, date recorded and whether tests were carried out. </w:t>
      </w:r>
    </w:p>
    <w:p w14:paraId="5026A8F8" w14:textId="77777777" w:rsidR="00416626" w:rsidRPr="00AE4DB4" w:rsidRDefault="00416626" w:rsidP="00416626">
      <w:pPr>
        <w:rPr>
          <w:rFonts w:eastAsia="Times New Roman"/>
          <w:noProof/>
          <w:color w:val="000000"/>
          <w:sz w:val="24"/>
          <w:szCs w:val="24"/>
          <w:lang w:val="en-GB"/>
        </w:rPr>
      </w:pPr>
    </w:p>
    <w:p w14:paraId="762D203C" w14:textId="77777777" w:rsidR="00416626" w:rsidRPr="00AE4DB4" w:rsidRDefault="00416626" w:rsidP="00416626">
      <w:pPr>
        <w:rPr>
          <w:rFonts w:eastAsia="Times New Roman"/>
          <w:sz w:val="24"/>
          <w:szCs w:val="24"/>
          <w:lang w:val="en-GB"/>
        </w:rPr>
      </w:pPr>
    </w:p>
    <w:p w14:paraId="3C3A9E73" w14:textId="08DAB1F7" w:rsidR="00416626" w:rsidRDefault="00416626" w:rsidP="00416626">
      <w:pPr>
        <w:rPr>
          <w:sz w:val="24"/>
          <w:szCs w:val="24"/>
          <w:lang w:val="en-GB"/>
        </w:rPr>
      </w:pPr>
    </w:p>
    <w:p w14:paraId="48EA0F4C" w14:textId="5659A3C9" w:rsidR="00A52022" w:rsidRDefault="00A52022" w:rsidP="00416626">
      <w:pPr>
        <w:rPr>
          <w:sz w:val="24"/>
          <w:szCs w:val="24"/>
          <w:lang w:val="en-GB"/>
        </w:rPr>
      </w:pPr>
    </w:p>
    <w:p w14:paraId="47ED334E" w14:textId="71D616A4" w:rsidR="00A52022" w:rsidRDefault="00A52022" w:rsidP="00416626">
      <w:pPr>
        <w:rPr>
          <w:sz w:val="24"/>
          <w:szCs w:val="24"/>
          <w:lang w:val="en-GB"/>
        </w:rPr>
      </w:pPr>
    </w:p>
    <w:p w14:paraId="3D2F9394" w14:textId="653D744C" w:rsidR="00A52022" w:rsidRDefault="00A52022" w:rsidP="00416626">
      <w:pPr>
        <w:rPr>
          <w:sz w:val="24"/>
          <w:szCs w:val="24"/>
          <w:lang w:val="en-GB"/>
        </w:rPr>
      </w:pPr>
    </w:p>
    <w:p w14:paraId="01A37828" w14:textId="77454343" w:rsidR="00A52022" w:rsidRDefault="00A52022" w:rsidP="00416626">
      <w:pPr>
        <w:rPr>
          <w:sz w:val="24"/>
          <w:szCs w:val="24"/>
          <w:lang w:val="en-GB"/>
        </w:rPr>
      </w:pPr>
    </w:p>
    <w:p w14:paraId="37324C0A" w14:textId="1F9BF3D3" w:rsidR="00A52022" w:rsidRDefault="00A52022" w:rsidP="00416626">
      <w:pPr>
        <w:rPr>
          <w:sz w:val="24"/>
          <w:szCs w:val="24"/>
          <w:lang w:val="en-GB"/>
        </w:rPr>
      </w:pPr>
    </w:p>
    <w:p w14:paraId="3CE5B779" w14:textId="53BC8448" w:rsidR="00A52022" w:rsidRDefault="00A52022" w:rsidP="00416626">
      <w:pPr>
        <w:rPr>
          <w:sz w:val="24"/>
          <w:szCs w:val="24"/>
          <w:lang w:val="en-GB"/>
        </w:rPr>
      </w:pPr>
    </w:p>
    <w:p w14:paraId="022BAA82" w14:textId="6038E35D" w:rsidR="00A52022" w:rsidRDefault="00A52022" w:rsidP="00416626">
      <w:pPr>
        <w:rPr>
          <w:sz w:val="24"/>
          <w:szCs w:val="24"/>
          <w:lang w:val="en-GB"/>
        </w:rPr>
      </w:pPr>
    </w:p>
    <w:p w14:paraId="01775217" w14:textId="5994E4AA" w:rsidR="00A52022" w:rsidRDefault="00A52022" w:rsidP="00416626">
      <w:pPr>
        <w:rPr>
          <w:sz w:val="24"/>
          <w:szCs w:val="24"/>
          <w:lang w:val="en-GB"/>
        </w:rPr>
      </w:pPr>
    </w:p>
    <w:p w14:paraId="40154352" w14:textId="0AC485DF" w:rsidR="00A52022" w:rsidRDefault="00A52022" w:rsidP="00416626">
      <w:pPr>
        <w:rPr>
          <w:sz w:val="24"/>
          <w:szCs w:val="24"/>
          <w:lang w:val="en-GB"/>
        </w:rPr>
      </w:pPr>
    </w:p>
    <w:p w14:paraId="305070C3" w14:textId="1902BDE3" w:rsidR="00A52022" w:rsidRDefault="00A52022" w:rsidP="00416626">
      <w:pPr>
        <w:rPr>
          <w:sz w:val="24"/>
          <w:szCs w:val="24"/>
          <w:lang w:val="en-GB"/>
        </w:rPr>
      </w:pPr>
    </w:p>
    <w:p w14:paraId="193B672A" w14:textId="16F1647E" w:rsidR="00A52022" w:rsidRDefault="00A52022" w:rsidP="00416626">
      <w:pPr>
        <w:rPr>
          <w:sz w:val="24"/>
          <w:szCs w:val="24"/>
          <w:lang w:val="en-GB"/>
        </w:rPr>
      </w:pPr>
    </w:p>
    <w:p w14:paraId="45A8EC06" w14:textId="7C736922" w:rsidR="00A52022" w:rsidRDefault="00A52022" w:rsidP="00416626">
      <w:pPr>
        <w:rPr>
          <w:sz w:val="24"/>
          <w:szCs w:val="24"/>
          <w:lang w:val="en-GB"/>
        </w:rPr>
      </w:pPr>
    </w:p>
    <w:p w14:paraId="72953E13" w14:textId="627B6180" w:rsidR="00A52022" w:rsidRDefault="00A52022" w:rsidP="00416626">
      <w:pPr>
        <w:rPr>
          <w:sz w:val="24"/>
          <w:szCs w:val="24"/>
          <w:lang w:val="en-GB"/>
        </w:rPr>
      </w:pPr>
    </w:p>
    <w:p w14:paraId="32585C6B" w14:textId="02DE4473" w:rsidR="00A52022" w:rsidRDefault="00A52022" w:rsidP="00416626">
      <w:pPr>
        <w:rPr>
          <w:sz w:val="24"/>
          <w:szCs w:val="24"/>
          <w:lang w:val="en-GB"/>
        </w:rPr>
      </w:pPr>
    </w:p>
    <w:p w14:paraId="23F49F82" w14:textId="7A980CC0" w:rsidR="00A52022" w:rsidRDefault="00A52022" w:rsidP="00416626">
      <w:pPr>
        <w:rPr>
          <w:sz w:val="24"/>
          <w:szCs w:val="24"/>
          <w:lang w:val="en-GB"/>
        </w:rPr>
      </w:pPr>
    </w:p>
    <w:p w14:paraId="362E2061" w14:textId="229D022E" w:rsidR="00A52022" w:rsidRDefault="00A52022" w:rsidP="00416626">
      <w:pPr>
        <w:rPr>
          <w:sz w:val="24"/>
          <w:szCs w:val="24"/>
          <w:lang w:val="en-GB"/>
        </w:rPr>
      </w:pPr>
    </w:p>
    <w:p w14:paraId="7C69697C" w14:textId="77777777" w:rsidR="00A52022" w:rsidRPr="00AE4DB4" w:rsidRDefault="00A52022" w:rsidP="00416626">
      <w:pPr>
        <w:rPr>
          <w:sz w:val="24"/>
          <w:szCs w:val="24"/>
          <w:lang w:val="en-GB"/>
        </w:rPr>
      </w:pPr>
    </w:p>
    <w:p w14:paraId="2FDD76F9"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lastRenderedPageBreak/>
        <w:t>Missing postcodes per onset date</w:t>
      </w:r>
    </w:p>
    <w:p w14:paraId="5E29F616" w14:textId="77777777" w:rsidR="00416626" w:rsidRPr="00AE4DB4" w:rsidRDefault="00416626" w:rsidP="00416626">
      <w:pPr>
        <w:pStyle w:val="Normal1"/>
        <w:rPr>
          <w:rFonts w:ascii="Times New Roman" w:hAnsi="Times New Roman" w:cs="Times New Roman"/>
          <w:sz w:val="24"/>
          <w:szCs w:val="24"/>
          <w:lang w:val="en-GB"/>
        </w:rPr>
      </w:pPr>
    </w:p>
    <w:p w14:paraId="0AD29CB6" w14:textId="77777777" w:rsidR="00416626" w:rsidRPr="00AE4DB4" w:rsidRDefault="00416626" w:rsidP="00416626">
      <w:pPr>
        <w:pStyle w:val="Normal1"/>
        <w:rPr>
          <w:rFonts w:ascii="Times New Roman" w:hAnsi="Times New Roman" w:cs="Times New Roman"/>
          <w:sz w:val="24"/>
          <w:szCs w:val="24"/>
          <w:lang w:val="en-GB"/>
        </w:rPr>
      </w:pPr>
    </w:p>
    <w:p w14:paraId="4CD2A91D"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noProof/>
          <w:sz w:val="24"/>
          <w:szCs w:val="24"/>
          <w:lang w:val="en-GB"/>
        </w:rPr>
        <w:drawing>
          <wp:inline distT="114300" distB="114300" distL="114300" distR="114300" wp14:anchorId="50827B59" wp14:editId="38C2DDF9">
            <wp:extent cx="5924550" cy="5638800"/>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24550" cy="5638800"/>
                    </a:xfrm>
                    <a:prstGeom prst="rect">
                      <a:avLst/>
                    </a:prstGeom>
                    <a:ln/>
                  </pic:spPr>
                </pic:pic>
              </a:graphicData>
            </a:graphic>
          </wp:inline>
        </w:drawing>
      </w:r>
    </w:p>
    <w:p w14:paraId="48AEA3D0" w14:textId="5BEAFFA1" w:rsidR="00416626" w:rsidRPr="00416626" w:rsidRDefault="00416626" w:rsidP="00416626">
      <w:pPr>
        <w:pStyle w:val="Caption"/>
        <w:rPr>
          <w:lang w:val="en-GB"/>
        </w:rPr>
      </w:pPr>
      <w:r w:rsidRPr="00416626">
        <w:rPr>
          <w:lang w:val="en-GB"/>
        </w:rPr>
        <w:t xml:space="preserve">Figure </w:t>
      </w:r>
      <w:r>
        <w:rPr>
          <w:lang w:val="en-GB"/>
        </w:rPr>
        <w:t>S</w:t>
      </w:r>
      <w:r w:rsidRPr="00416626">
        <w:rPr>
          <w:lang w:val="en-GB"/>
        </w:rPr>
        <w:t>1 Missing postcodes per onset date</w:t>
      </w:r>
    </w:p>
    <w:p w14:paraId="6ECF3A14" w14:textId="77777777" w:rsidR="00416626" w:rsidRPr="00AE4DB4" w:rsidRDefault="00416626" w:rsidP="00416626">
      <w:pPr>
        <w:pStyle w:val="Normal1"/>
        <w:rPr>
          <w:rFonts w:ascii="Times New Roman" w:hAnsi="Times New Roman" w:cs="Times New Roman"/>
          <w:sz w:val="24"/>
          <w:szCs w:val="24"/>
          <w:lang w:val="en-GB"/>
        </w:rPr>
      </w:pPr>
    </w:p>
    <w:p w14:paraId="1EF3F11A" w14:textId="77777777" w:rsidR="00416626" w:rsidRPr="00AE4DB4" w:rsidRDefault="00416626" w:rsidP="00416626">
      <w:pPr>
        <w:pStyle w:val="Normal1"/>
        <w:rPr>
          <w:rFonts w:ascii="Times New Roman" w:hAnsi="Times New Roman" w:cs="Times New Roman"/>
          <w:sz w:val="24"/>
          <w:szCs w:val="24"/>
          <w:lang w:val="en-GB"/>
        </w:rPr>
      </w:pPr>
    </w:p>
    <w:p w14:paraId="0F753236" w14:textId="7300C4E3" w:rsidR="00416626" w:rsidRDefault="00416626" w:rsidP="00416626">
      <w:pPr>
        <w:pStyle w:val="Normal1"/>
        <w:rPr>
          <w:rFonts w:ascii="Times New Roman" w:hAnsi="Times New Roman" w:cs="Times New Roman"/>
          <w:sz w:val="24"/>
          <w:szCs w:val="24"/>
          <w:lang w:val="en-GB"/>
        </w:rPr>
      </w:pPr>
    </w:p>
    <w:p w14:paraId="7F8E28A1" w14:textId="0BB9A58C" w:rsidR="00A52022" w:rsidRDefault="00A52022" w:rsidP="00416626">
      <w:pPr>
        <w:pStyle w:val="Normal1"/>
        <w:rPr>
          <w:rFonts w:ascii="Times New Roman" w:hAnsi="Times New Roman" w:cs="Times New Roman"/>
          <w:sz w:val="24"/>
          <w:szCs w:val="24"/>
          <w:lang w:val="en-GB"/>
        </w:rPr>
      </w:pPr>
    </w:p>
    <w:p w14:paraId="6C10A57A" w14:textId="55A92D4F" w:rsidR="00A52022" w:rsidRDefault="00A52022" w:rsidP="00416626">
      <w:pPr>
        <w:pStyle w:val="Normal1"/>
        <w:rPr>
          <w:rFonts w:ascii="Times New Roman" w:hAnsi="Times New Roman" w:cs="Times New Roman"/>
          <w:sz w:val="24"/>
          <w:szCs w:val="24"/>
          <w:lang w:val="en-GB"/>
        </w:rPr>
      </w:pPr>
    </w:p>
    <w:p w14:paraId="563C106E" w14:textId="594F38E8" w:rsidR="00A52022" w:rsidRDefault="00A52022" w:rsidP="00416626">
      <w:pPr>
        <w:pStyle w:val="Normal1"/>
        <w:rPr>
          <w:rFonts w:ascii="Times New Roman" w:hAnsi="Times New Roman" w:cs="Times New Roman"/>
          <w:sz w:val="24"/>
          <w:szCs w:val="24"/>
          <w:lang w:val="en-GB"/>
        </w:rPr>
      </w:pPr>
    </w:p>
    <w:p w14:paraId="4F46FA2A" w14:textId="70F80DF3" w:rsidR="00A52022" w:rsidRDefault="00A52022" w:rsidP="00416626">
      <w:pPr>
        <w:pStyle w:val="Normal1"/>
        <w:rPr>
          <w:rFonts w:ascii="Times New Roman" w:hAnsi="Times New Roman" w:cs="Times New Roman"/>
          <w:sz w:val="24"/>
          <w:szCs w:val="24"/>
          <w:lang w:val="en-GB"/>
        </w:rPr>
      </w:pPr>
    </w:p>
    <w:p w14:paraId="773C044E" w14:textId="547E2D3B" w:rsidR="00A52022" w:rsidRDefault="00A52022" w:rsidP="00416626">
      <w:pPr>
        <w:pStyle w:val="Normal1"/>
        <w:rPr>
          <w:rFonts w:ascii="Times New Roman" w:hAnsi="Times New Roman" w:cs="Times New Roman"/>
          <w:sz w:val="24"/>
          <w:szCs w:val="24"/>
          <w:lang w:val="en-GB"/>
        </w:rPr>
      </w:pPr>
    </w:p>
    <w:p w14:paraId="079A04E2" w14:textId="3AB9FA6A" w:rsidR="00A52022" w:rsidRDefault="00A52022" w:rsidP="00416626">
      <w:pPr>
        <w:pStyle w:val="Normal1"/>
        <w:rPr>
          <w:rFonts w:ascii="Times New Roman" w:hAnsi="Times New Roman" w:cs="Times New Roman"/>
          <w:sz w:val="24"/>
          <w:szCs w:val="24"/>
          <w:lang w:val="en-GB"/>
        </w:rPr>
      </w:pPr>
    </w:p>
    <w:p w14:paraId="0BC883B6" w14:textId="2671905F" w:rsidR="00A52022" w:rsidRDefault="00A52022" w:rsidP="00416626">
      <w:pPr>
        <w:pStyle w:val="Normal1"/>
        <w:rPr>
          <w:rFonts w:ascii="Times New Roman" w:hAnsi="Times New Roman" w:cs="Times New Roman"/>
          <w:sz w:val="24"/>
          <w:szCs w:val="24"/>
          <w:lang w:val="en-GB"/>
        </w:rPr>
      </w:pPr>
    </w:p>
    <w:p w14:paraId="6DBC4947" w14:textId="6B540E8B" w:rsidR="00A52022" w:rsidRDefault="00A52022" w:rsidP="00416626">
      <w:pPr>
        <w:pStyle w:val="Normal1"/>
        <w:rPr>
          <w:rFonts w:ascii="Times New Roman" w:hAnsi="Times New Roman" w:cs="Times New Roman"/>
          <w:sz w:val="24"/>
          <w:szCs w:val="24"/>
          <w:lang w:val="en-GB"/>
        </w:rPr>
      </w:pPr>
    </w:p>
    <w:p w14:paraId="12BEDE1D" w14:textId="3F5BBC80" w:rsidR="00A52022" w:rsidRDefault="00A52022" w:rsidP="00416626">
      <w:pPr>
        <w:pStyle w:val="Normal1"/>
        <w:rPr>
          <w:rFonts w:ascii="Times New Roman" w:hAnsi="Times New Roman" w:cs="Times New Roman"/>
          <w:sz w:val="24"/>
          <w:szCs w:val="24"/>
          <w:lang w:val="en-GB"/>
        </w:rPr>
      </w:pPr>
    </w:p>
    <w:p w14:paraId="3D5B5CA8" w14:textId="77777777" w:rsidR="00A52022" w:rsidRPr="00AE4DB4" w:rsidRDefault="00A52022" w:rsidP="00416626">
      <w:pPr>
        <w:pStyle w:val="Normal1"/>
        <w:rPr>
          <w:rFonts w:ascii="Times New Roman" w:hAnsi="Times New Roman" w:cs="Times New Roman"/>
          <w:sz w:val="24"/>
          <w:szCs w:val="24"/>
          <w:lang w:val="en-GB"/>
        </w:rPr>
      </w:pPr>
    </w:p>
    <w:p w14:paraId="1E140B33" w14:textId="77777777" w:rsidR="00416626" w:rsidRPr="00AE4DB4" w:rsidRDefault="00416626" w:rsidP="00416626">
      <w:pPr>
        <w:pStyle w:val="Normal1"/>
        <w:rPr>
          <w:rFonts w:ascii="Times New Roman" w:hAnsi="Times New Roman" w:cs="Times New Roman"/>
          <w:sz w:val="24"/>
          <w:szCs w:val="24"/>
          <w:lang w:val="en-GB"/>
        </w:rPr>
      </w:pPr>
    </w:p>
    <w:p w14:paraId="01FE653E"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Missing postcodes per age group</w:t>
      </w:r>
    </w:p>
    <w:p w14:paraId="177EBA77" w14:textId="77777777" w:rsidR="00416626" w:rsidRPr="00AE4DB4" w:rsidRDefault="00416626" w:rsidP="00416626">
      <w:pPr>
        <w:pStyle w:val="Normal1"/>
        <w:rPr>
          <w:rFonts w:ascii="Times New Roman" w:hAnsi="Times New Roman" w:cs="Times New Roman"/>
          <w:sz w:val="24"/>
          <w:szCs w:val="24"/>
          <w:lang w:val="en-GB"/>
        </w:rPr>
      </w:pPr>
    </w:p>
    <w:p w14:paraId="73C430E2"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noProof/>
          <w:sz w:val="24"/>
          <w:szCs w:val="24"/>
          <w:lang w:val="en-GB"/>
        </w:rPr>
        <w:drawing>
          <wp:inline distT="114300" distB="114300" distL="114300" distR="114300" wp14:anchorId="26CA6EBA" wp14:editId="3F06A42C">
            <wp:extent cx="5857875" cy="5638800"/>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857875" cy="5638800"/>
                    </a:xfrm>
                    <a:prstGeom prst="rect">
                      <a:avLst/>
                    </a:prstGeom>
                    <a:ln/>
                  </pic:spPr>
                </pic:pic>
              </a:graphicData>
            </a:graphic>
          </wp:inline>
        </w:drawing>
      </w:r>
    </w:p>
    <w:p w14:paraId="48945426" w14:textId="77777777" w:rsidR="00416626" w:rsidRPr="00AE4DB4" w:rsidRDefault="00416626" w:rsidP="00416626">
      <w:pPr>
        <w:pStyle w:val="Normal1"/>
        <w:rPr>
          <w:rFonts w:ascii="Times New Roman" w:hAnsi="Times New Roman" w:cs="Times New Roman"/>
          <w:sz w:val="24"/>
          <w:szCs w:val="24"/>
          <w:lang w:val="en-GB"/>
        </w:rPr>
      </w:pPr>
    </w:p>
    <w:p w14:paraId="7D6D0DFE" w14:textId="615D983B" w:rsidR="00416626" w:rsidRPr="00416626" w:rsidRDefault="00416626" w:rsidP="00416626">
      <w:pPr>
        <w:pStyle w:val="Caption"/>
        <w:rPr>
          <w:lang w:val="en-GB"/>
        </w:rPr>
      </w:pPr>
      <w:r w:rsidRPr="00416626">
        <w:rPr>
          <w:lang w:val="en-GB"/>
        </w:rPr>
        <w:t xml:space="preserve">Figure </w:t>
      </w:r>
      <w:r>
        <w:rPr>
          <w:lang w:val="en-GB"/>
        </w:rPr>
        <w:t>S</w:t>
      </w:r>
      <w:r w:rsidRPr="00416626">
        <w:rPr>
          <w:lang w:val="en-GB"/>
        </w:rPr>
        <w:t>2 Missing postcodes per age group</w:t>
      </w:r>
    </w:p>
    <w:p w14:paraId="5BBEC175" w14:textId="77777777" w:rsidR="00416626" w:rsidRPr="00AE4DB4" w:rsidRDefault="00416626" w:rsidP="00416626">
      <w:pPr>
        <w:pStyle w:val="Normal1"/>
        <w:rPr>
          <w:rFonts w:ascii="Times New Roman" w:hAnsi="Times New Roman" w:cs="Times New Roman"/>
          <w:sz w:val="24"/>
          <w:szCs w:val="24"/>
          <w:lang w:val="en-GB"/>
        </w:rPr>
      </w:pPr>
    </w:p>
    <w:p w14:paraId="40108CD5" w14:textId="77777777" w:rsidR="00416626" w:rsidRPr="00AE4DB4" w:rsidRDefault="00416626" w:rsidP="00416626">
      <w:pPr>
        <w:pStyle w:val="Normal1"/>
        <w:rPr>
          <w:rFonts w:ascii="Times New Roman" w:hAnsi="Times New Roman" w:cs="Times New Roman"/>
          <w:sz w:val="24"/>
          <w:szCs w:val="24"/>
          <w:lang w:val="en-GB"/>
        </w:rPr>
      </w:pPr>
    </w:p>
    <w:p w14:paraId="55F78D5C" w14:textId="77777777" w:rsidR="00416626" w:rsidRPr="00AE4DB4" w:rsidRDefault="00416626" w:rsidP="00416626">
      <w:pPr>
        <w:pStyle w:val="Normal1"/>
        <w:rPr>
          <w:rFonts w:ascii="Times New Roman" w:hAnsi="Times New Roman" w:cs="Times New Roman"/>
          <w:sz w:val="24"/>
          <w:szCs w:val="24"/>
          <w:lang w:val="en-GB"/>
        </w:rPr>
      </w:pPr>
    </w:p>
    <w:p w14:paraId="14F6F54A" w14:textId="77777777" w:rsidR="00416626" w:rsidRPr="00AE4DB4" w:rsidRDefault="00416626" w:rsidP="00416626">
      <w:pPr>
        <w:pStyle w:val="Normal1"/>
        <w:rPr>
          <w:rFonts w:ascii="Times New Roman" w:hAnsi="Times New Roman" w:cs="Times New Roman"/>
          <w:sz w:val="24"/>
          <w:szCs w:val="24"/>
          <w:lang w:val="en-GB"/>
        </w:rPr>
      </w:pPr>
    </w:p>
    <w:p w14:paraId="612CDCD1" w14:textId="77777777" w:rsidR="00416626" w:rsidRPr="00AE4DB4" w:rsidRDefault="00416626" w:rsidP="00416626">
      <w:pPr>
        <w:pStyle w:val="Normal1"/>
        <w:rPr>
          <w:rFonts w:ascii="Times New Roman" w:hAnsi="Times New Roman" w:cs="Times New Roman"/>
          <w:sz w:val="24"/>
          <w:szCs w:val="24"/>
          <w:lang w:val="en-GB"/>
        </w:rPr>
      </w:pPr>
    </w:p>
    <w:p w14:paraId="11201BF7" w14:textId="77777777" w:rsidR="00416626" w:rsidRPr="00AE4DB4" w:rsidRDefault="00416626" w:rsidP="00416626">
      <w:pPr>
        <w:pStyle w:val="Normal1"/>
        <w:rPr>
          <w:rFonts w:ascii="Times New Roman" w:hAnsi="Times New Roman" w:cs="Times New Roman"/>
          <w:sz w:val="24"/>
          <w:szCs w:val="24"/>
          <w:lang w:val="en-GB"/>
        </w:rPr>
      </w:pPr>
    </w:p>
    <w:p w14:paraId="17DD84A3" w14:textId="77777777" w:rsidR="00416626" w:rsidRPr="00AE4DB4" w:rsidRDefault="00416626" w:rsidP="00416626">
      <w:pPr>
        <w:pStyle w:val="Normal1"/>
        <w:rPr>
          <w:rFonts w:ascii="Times New Roman" w:hAnsi="Times New Roman" w:cs="Times New Roman"/>
          <w:sz w:val="24"/>
          <w:szCs w:val="24"/>
          <w:lang w:val="en-GB"/>
        </w:rPr>
      </w:pPr>
    </w:p>
    <w:p w14:paraId="283613A5" w14:textId="77777777" w:rsidR="00416626" w:rsidRPr="00AE4DB4" w:rsidRDefault="00416626" w:rsidP="00416626">
      <w:pPr>
        <w:pStyle w:val="Normal1"/>
        <w:rPr>
          <w:rFonts w:ascii="Times New Roman" w:hAnsi="Times New Roman" w:cs="Times New Roman"/>
          <w:sz w:val="24"/>
          <w:szCs w:val="24"/>
          <w:lang w:val="en-GB"/>
        </w:rPr>
      </w:pPr>
    </w:p>
    <w:p w14:paraId="3D9C5DC9" w14:textId="77777777" w:rsidR="00416626" w:rsidRPr="00AE4DB4" w:rsidRDefault="00416626" w:rsidP="00416626">
      <w:pPr>
        <w:pStyle w:val="Normal1"/>
        <w:rPr>
          <w:rFonts w:ascii="Times New Roman" w:hAnsi="Times New Roman" w:cs="Times New Roman"/>
          <w:sz w:val="24"/>
          <w:szCs w:val="24"/>
          <w:lang w:val="en-GB"/>
        </w:rPr>
      </w:pPr>
    </w:p>
    <w:p w14:paraId="32C6AE61" w14:textId="77777777" w:rsidR="00416626" w:rsidRPr="00AE4DB4" w:rsidRDefault="00416626" w:rsidP="00416626">
      <w:pPr>
        <w:pStyle w:val="Normal1"/>
        <w:rPr>
          <w:rFonts w:ascii="Times New Roman" w:hAnsi="Times New Roman" w:cs="Times New Roman"/>
          <w:sz w:val="24"/>
          <w:szCs w:val="24"/>
          <w:lang w:val="en-GB"/>
        </w:rPr>
      </w:pPr>
    </w:p>
    <w:p w14:paraId="0B1C8839" w14:textId="77777777" w:rsidR="00416626" w:rsidRPr="00AE4DB4" w:rsidRDefault="00416626" w:rsidP="00416626">
      <w:pPr>
        <w:pStyle w:val="Normal1"/>
        <w:rPr>
          <w:rFonts w:ascii="Times New Roman" w:hAnsi="Times New Roman" w:cs="Times New Roman"/>
          <w:sz w:val="24"/>
          <w:szCs w:val="24"/>
          <w:lang w:val="en-GB"/>
        </w:rPr>
      </w:pPr>
    </w:p>
    <w:p w14:paraId="60A2A309" w14:textId="77777777" w:rsidR="00416626" w:rsidRPr="00AE4DB4" w:rsidRDefault="00416626" w:rsidP="00416626">
      <w:pPr>
        <w:pStyle w:val="Normal1"/>
        <w:rPr>
          <w:rFonts w:ascii="Times New Roman" w:hAnsi="Times New Roman" w:cs="Times New Roman"/>
          <w:sz w:val="24"/>
          <w:szCs w:val="24"/>
          <w:lang w:val="en-GB"/>
        </w:rPr>
      </w:pPr>
    </w:p>
    <w:p w14:paraId="5A55702D" w14:textId="77777777" w:rsidR="00416626" w:rsidRPr="00AE4DB4" w:rsidRDefault="00416626" w:rsidP="00416626">
      <w:pPr>
        <w:pStyle w:val="Normal1"/>
        <w:rPr>
          <w:rFonts w:ascii="Times New Roman" w:hAnsi="Times New Roman" w:cs="Times New Roman"/>
          <w:sz w:val="24"/>
          <w:szCs w:val="24"/>
          <w:lang w:val="en-GB"/>
        </w:rPr>
      </w:pPr>
    </w:p>
    <w:p w14:paraId="1ABD5B5F" w14:textId="77777777" w:rsidR="00416626" w:rsidRPr="00AE4DB4" w:rsidRDefault="00416626" w:rsidP="00416626">
      <w:pPr>
        <w:pStyle w:val="Normal1"/>
        <w:rPr>
          <w:rFonts w:ascii="Times New Roman" w:hAnsi="Times New Roman" w:cs="Times New Roman"/>
          <w:sz w:val="24"/>
          <w:szCs w:val="24"/>
          <w:lang w:val="en-GB"/>
        </w:rPr>
      </w:pPr>
    </w:p>
    <w:p w14:paraId="6D670A00" w14:textId="77777777" w:rsidR="00416626" w:rsidRPr="00AE4DB4" w:rsidRDefault="00416626" w:rsidP="00416626">
      <w:pPr>
        <w:pStyle w:val="Normal1"/>
        <w:rPr>
          <w:rFonts w:ascii="Times New Roman" w:hAnsi="Times New Roman" w:cs="Times New Roman"/>
          <w:sz w:val="24"/>
          <w:szCs w:val="24"/>
          <w:lang w:val="en-GB"/>
        </w:rPr>
      </w:pPr>
    </w:p>
    <w:p w14:paraId="24F78E93" w14:textId="77777777" w:rsidR="00416626" w:rsidRPr="00AE4DB4" w:rsidRDefault="00416626" w:rsidP="00416626">
      <w:pPr>
        <w:pStyle w:val="Normal1"/>
        <w:rPr>
          <w:rFonts w:ascii="Times New Roman" w:hAnsi="Times New Roman" w:cs="Times New Roman"/>
          <w:b/>
          <w:bCs/>
          <w:sz w:val="24"/>
          <w:szCs w:val="24"/>
          <w:lang w:val="en-GB"/>
        </w:rPr>
      </w:pPr>
      <w:r w:rsidRPr="00AE4DB4">
        <w:rPr>
          <w:rFonts w:ascii="Times New Roman" w:hAnsi="Times New Roman" w:cs="Times New Roman"/>
          <w:b/>
          <w:bCs/>
          <w:sz w:val="24"/>
          <w:szCs w:val="24"/>
          <w:lang w:val="en-GB"/>
        </w:rPr>
        <w:t>Missing postcodes by test status</w:t>
      </w:r>
    </w:p>
    <w:p w14:paraId="48255885" w14:textId="77777777" w:rsidR="00416626" w:rsidRPr="00AE4DB4" w:rsidRDefault="00416626" w:rsidP="00416626">
      <w:pPr>
        <w:pStyle w:val="Normal1"/>
        <w:rPr>
          <w:rFonts w:ascii="Times New Roman" w:hAnsi="Times New Roman" w:cs="Times New Roman"/>
          <w:sz w:val="24"/>
          <w:szCs w:val="24"/>
          <w:lang w:val="en-GB"/>
        </w:rPr>
      </w:pPr>
    </w:p>
    <w:p w14:paraId="5BC1CC38" w14:textId="77777777" w:rsidR="00416626" w:rsidRPr="00AE4DB4" w:rsidRDefault="00416626" w:rsidP="00416626">
      <w:pPr>
        <w:pStyle w:val="Normal1"/>
        <w:rPr>
          <w:rFonts w:ascii="Times New Roman" w:hAnsi="Times New Roman" w:cs="Times New Roman"/>
          <w:sz w:val="24"/>
          <w:szCs w:val="24"/>
          <w:lang w:val="en-GB"/>
        </w:rPr>
      </w:pPr>
    </w:p>
    <w:p w14:paraId="34C45B62"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noProof/>
          <w:sz w:val="24"/>
          <w:szCs w:val="24"/>
          <w:lang w:val="en-GB"/>
        </w:rPr>
        <w:drawing>
          <wp:inline distT="114300" distB="114300" distL="114300" distR="114300" wp14:anchorId="7CD4F436" wp14:editId="10A9BFB8">
            <wp:extent cx="3705225" cy="2533650"/>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705225" cy="2533650"/>
                    </a:xfrm>
                    <a:prstGeom prst="rect">
                      <a:avLst/>
                    </a:prstGeom>
                    <a:ln/>
                  </pic:spPr>
                </pic:pic>
              </a:graphicData>
            </a:graphic>
          </wp:inline>
        </w:drawing>
      </w:r>
    </w:p>
    <w:p w14:paraId="6BF28CAD" w14:textId="77777777" w:rsidR="00416626" w:rsidRPr="00AE4DB4" w:rsidRDefault="00416626" w:rsidP="00416626">
      <w:pPr>
        <w:pStyle w:val="Normal1"/>
        <w:rPr>
          <w:rFonts w:ascii="Times New Roman" w:hAnsi="Times New Roman" w:cs="Times New Roman"/>
          <w:sz w:val="24"/>
          <w:szCs w:val="24"/>
          <w:lang w:val="en-GB"/>
        </w:rPr>
      </w:pPr>
    </w:p>
    <w:p w14:paraId="530BAD07" w14:textId="5EA5F9FB" w:rsidR="00416626" w:rsidRPr="00416626" w:rsidRDefault="00416626" w:rsidP="00416626">
      <w:pPr>
        <w:pStyle w:val="Caption"/>
        <w:rPr>
          <w:lang w:val="en-GB"/>
        </w:rPr>
      </w:pPr>
      <w:r w:rsidRPr="00416626">
        <w:rPr>
          <w:lang w:val="en-GB"/>
        </w:rPr>
        <w:t xml:space="preserve">Figure </w:t>
      </w:r>
      <w:r>
        <w:rPr>
          <w:lang w:val="en-GB"/>
        </w:rPr>
        <w:t>S</w:t>
      </w:r>
      <w:r w:rsidRPr="00416626">
        <w:rPr>
          <w:lang w:val="en-GB"/>
        </w:rPr>
        <w:t>3 Missing postcodes by test status</w:t>
      </w:r>
    </w:p>
    <w:p w14:paraId="01F9B9D7" w14:textId="77777777" w:rsidR="00416626" w:rsidRPr="00AE4DB4" w:rsidRDefault="00416626" w:rsidP="00416626">
      <w:pPr>
        <w:pStyle w:val="Normal1"/>
        <w:rPr>
          <w:rFonts w:ascii="Times New Roman" w:hAnsi="Times New Roman" w:cs="Times New Roman"/>
          <w:sz w:val="24"/>
          <w:szCs w:val="24"/>
          <w:lang w:val="en-GB"/>
        </w:rPr>
      </w:pPr>
    </w:p>
    <w:p w14:paraId="645B2DD7" w14:textId="77777777" w:rsidR="00416626" w:rsidRPr="00AE4DB4" w:rsidRDefault="00416626" w:rsidP="00416626">
      <w:pPr>
        <w:pStyle w:val="Normal1"/>
        <w:rPr>
          <w:rFonts w:ascii="Times New Roman" w:hAnsi="Times New Roman" w:cs="Times New Roman"/>
          <w:sz w:val="24"/>
          <w:szCs w:val="24"/>
          <w:lang w:val="en-GB"/>
        </w:rPr>
      </w:pPr>
    </w:p>
    <w:p w14:paraId="18FA8EEA" w14:textId="77777777" w:rsidR="00416626" w:rsidRPr="00AE4DB4" w:rsidRDefault="00416626" w:rsidP="00416626">
      <w:pPr>
        <w:pStyle w:val="Normal1"/>
        <w:rPr>
          <w:rFonts w:ascii="Times New Roman" w:hAnsi="Times New Roman" w:cs="Times New Roman"/>
          <w:sz w:val="24"/>
          <w:szCs w:val="24"/>
          <w:lang w:val="en-GB"/>
        </w:rPr>
      </w:pPr>
    </w:p>
    <w:p w14:paraId="5F497083" w14:textId="77777777" w:rsidR="00416626" w:rsidRPr="00AE4DB4" w:rsidRDefault="00416626" w:rsidP="00416626">
      <w:pPr>
        <w:pStyle w:val="Normal1"/>
        <w:rPr>
          <w:rFonts w:ascii="Times New Roman" w:hAnsi="Times New Roman" w:cs="Times New Roman"/>
          <w:b/>
          <w:bCs/>
          <w:sz w:val="24"/>
          <w:szCs w:val="24"/>
          <w:lang w:val="en-GB"/>
        </w:rPr>
      </w:pPr>
      <w:r w:rsidRPr="00AE4DB4">
        <w:rPr>
          <w:rFonts w:ascii="Times New Roman" w:hAnsi="Times New Roman" w:cs="Times New Roman"/>
          <w:b/>
          <w:bCs/>
          <w:sz w:val="24"/>
          <w:szCs w:val="24"/>
          <w:lang w:val="en-GB"/>
        </w:rPr>
        <w:t>Missing postcodes by gender</w:t>
      </w:r>
    </w:p>
    <w:p w14:paraId="1F6E32B3" w14:textId="77777777" w:rsidR="00416626" w:rsidRPr="00AE4DB4" w:rsidRDefault="00416626" w:rsidP="00416626">
      <w:pPr>
        <w:pStyle w:val="Normal1"/>
        <w:rPr>
          <w:rFonts w:ascii="Times New Roman" w:hAnsi="Times New Roman" w:cs="Times New Roman"/>
          <w:sz w:val="24"/>
          <w:szCs w:val="24"/>
          <w:lang w:val="en-GB"/>
        </w:rPr>
      </w:pPr>
    </w:p>
    <w:p w14:paraId="619BC016" w14:textId="77777777" w:rsidR="00416626" w:rsidRPr="00AE4DB4" w:rsidRDefault="00416626" w:rsidP="00416626">
      <w:pPr>
        <w:pStyle w:val="Normal1"/>
        <w:rPr>
          <w:rFonts w:ascii="Times New Roman" w:hAnsi="Times New Roman" w:cs="Times New Roman"/>
          <w:sz w:val="24"/>
          <w:szCs w:val="24"/>
          <w:lang w:val="en-GB"/>
        </w:rPr>
      </w:pPr>
    </w:p>
    <w:p w14:paraId="2F24FBA3"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noProof/>
          <w:sz w:val="24"/>
          <w:szCs w:val="24"/>
          <w:lang w:val="en-GB"/>
        </w:rPr>
        <w:drawing>
          <wp:inline distT="114300" distB="114300" distL="114300" distR="114300" wp14:anchorId="5B2CB24F" wp14:editId="5CC170F1">
            <wp:extent cx="3705225" cy="2533650"/>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705225" cy="2533650"/>
                    </a:xfrm>
                    <a:prstGeom prst="rect">
                      <a:avLst/>
                    </a:prstGeom>
                    <a:ln/>
                  </pic:spPr>
                </pic:pic>
              </a:graphicData>
            </a:graphic>
          </wp:inline>
        </w:drawing>
      </w:r>
    </w:p>
    <w:p w14:paraId="38D6686B" w14:textId="38EC9AF2" w:rsidR="00416626" w:rsidRPr="00416626" w:rsidRDefault="00416626" w:rsidP="00416626">
      <w:pPr>
        <w:pStyle w:val="Caption"/>
        <w:rPr>
          <w:lang w:val="en-GB"/>
        </w:rPr>
      </w:pPr>
      <w:r w:rsidRPr="00416626">
        <w:rPr>
          <w:lang w:val="en-GB"/>
        </w:rPr>
        <w:t xml:space="preserve">Figure </w:t>
      </w:r>
      <w:r>
        <w:rPr>
          <w:lang w:val="en-GB"/>
        </w:rPr>
        <w:t>S</w:t>
      </w:r>
      <w:r w:rsidRPr="00416626">
        <w:rPr>
          <w:lang w:val="en-GB"/>
        </w:rPr>
        <w:t>4 Missing postcodes by gender</w:t>
      </w:r>
    </w:p>
    <w:p w14:paraId="1470A04C" w14:textId="77777777" w:rsidR="00416626" w:rsidRPr="00416626" w:rsidRDefault="00416626" w:rsidP="00416626">
      <w:pPr>
        <w:pStyle w:val="Caption"/>
        <w:rPr>
          <w:lang w:val="en-GB"/>
        </w:rPr>
      </w:pPr>
    </w:p>
    <w:p w14:paraId="3FC24BC4" w14:textId="77777777" w:rsidR="00416626" w:rsidRPr="00AE4DB4" w:rsidRDefault="00416626" w:rsidP="00416626">
      <w:pPr>
        <w:pStyle w:val="Normal1"/>
        <w:rPr>
          <w:rFonts w:ascii="Times New Roman" w:hAnsi="Times New Roman" w:cs="Times New Roman"/>
          <w:sz w:val="24"/>
          <w:szCs w:val="24"/>
          <w:lang w:val="en-GB"/>
        </w:rPr>
      </w:pPr>
    </w:p>
    <w:p w14:paraId="1BE174F9" w14:textId="77777777" w:rsidR="00416626" w:rsidRPr="00AE4DB4" w:rsidRDefault="00416626" w:rsidP="00416626">
      <w:pPr>
        <w:pStyle w:val="Normal1"/>
        <w:rPr>
          <w:rFonts w:ascii="Times New Roman" w:hAnsi="Times New Roman" w:cs="Times New Roman"/>
          <w:sz w:val="24"/>
          <w:szCs w:val="24"/>
          <w:lang w:val="en-GB"/>
        </w:rPr>
      </w:pPr>
    </w:p>
    <w:p w14:paraId="335134F9" w14:textId="77777777" w:rsidR="00416626" w:rsidRPr="00AE4DB4" w:rsidRDefault="00416626" w:rsidP="00416626">
      <w:pPr>
        <w:pStyle w:val="Normal1"/>
        <w:rPr>
          <w:rFonts w:ascii="Times New Roman" w:hAnsi="Times New Roman" w:cs="Times New Roman"/>
          <w:sz w:val="24"/>
          <w:szCs w:val="24"/>
          <w:lang w:val="en-GB"/>
        </w:rPr>
      </w:pPr>
    </w:p>
    <w:p w14:paraId="4D69F6FE" w14:textId="77777777" w:rsidR="00416626" w:rsidRPr="00AE4DB4" w:rsidRDefault="00416626" w:rsidP="00416626">
      <w:pPr>
        <w:pStyle w:val="Normal1"/>
        <w:rPr>
          <w:rFonts w:ascii="Times New Roman" w:hAnsi="Times New Roman" w:cs="Times New Roman"/>
          <w:sz w:val="24"/>
          <w:szCs w:val="24"/>
          <w:lang w:val="en-GB"/>
        </w:rPr>
      </w:pPr>
    </w:p>
    <w:p w14:paraId="75355380" w14:textId="77777777" w:rsidR="00416626" w:rsidRPr="00AE4DB4" w:rsidRDefault="00416626" w:rsidP="00416626">
      <w:pPr>
        <w:pStyle w:val="Normal1"/>
        <w:rPr>
          <w:rFonts w:ascii="Times New Roman" w:hAnsi="Times New Roman" w:cs="Times New Roman"/>
          <w:sz w:val="24"/>
          <w:szCs w:val="24"/>
          <w:lang w:val="en-GB"/>
        </w:rPr>
      </w:pPr>
    </w:p>
    <w:p w14:paraId="19D13E8D" w14:textId="77777777" w:rsidR="00416626" w:rsidRPr="00AE4DB4" w:rsidRDefault="00416626" w:rsidP="00416626">
      <w:pPr>
        <w:pStyle w:val="Normal1"/>
        <w:rPr>
          <w:rFonts w:ascii="Times New Roman" w:hAnsi="Times New Roman" w:cs="Times New Roman"/>
          <w:sz w:val="24"/>
          <w:szCs w:val="24"/>
          <w:lang w:val="en-GB"/>
        </w:rPr>
      </w:pPr>
    </w:p>
    <w:p w14:paraId="0B59742D" w14:textId="77777777" w:rsidR="00416626" w:rsidRPr="00AE4DB4" w:rsidRDefault="00416626" w:rsidP="00416626">
      <w:pPr>
        <w:pStyle w:val="Normal1"/>
        <w:rPr>
          <w:rFonts w:ascii="Times New Roman" w:hAnsi="Times New Roman" w:cs="Times New Roman"/>
          <w:sz w:val="24"/>
          <w:szCs w:val="24"/>
          <w:lang w:val="en-GB"/>
        </w:rPr>
      </w:pPr>
    </w:p>
    <w:p w14:paraId="01CAAABC" w14:textId="77777777" w:rsidR="00416626" w:rsidRPr="00AE4DB4" w:rsidRDefault="00416626" w:rsidP="00416626">
      <w:pPr>
        <w:pStyle w:val="Normal1"/>
        <w:rPr>
          <w:rFonts w:ascii="Times New Roman" w:hAnsi="Times New Roman" w:cs="Times New Roman"/>
          <w:b/>
          <w:sz w:val="24"/>
          <w:szCs w:val="24"/>
          <w:lang w:val="en-GB"/>
        </w:rPr>
      </w:pPr>
      <w:r w:rsidRPr="00AE4DB4">
        <w:rPr>
          <w:rFonts w:ascii="Times New Roman" w:hAnsi="Times New Roman" w:cs="Times New Roman"/>
          <w:b/>
          <w:sz w:val="24"/>
          <w:szCs w:val="24"/>
          <w:lang w:val="en-GB"/>
        </w:rPr>
        <w:t>Logistic regression for predictors of missing post code:</w:t>
      </w:r>
    </w:p>
    <w:p w14:paraId="57048D3E" w14:textId="77777777" w:rsidR="00416626" w:rsidRPr="00AE4DB4" w:rsidRDefault="00416626" w:rsidP="00416626">
      <w:pPr>
        <w:pStyle w:val="Normal1"/>
        <w:rPr>
          <w:rFonts w:ascii="Times New Roman" w:hAnsi="Times New Roman" w:cs="Times New Roman"/>
          <w:sz w:val="24"/>
          <w:szCs w:val="24"/>
          <w:lang w:val="en-GB"/>
        </w:rPr>
      </w:pPr>
    </w:p>
    <w:p w14:paraId="64AB5E0A"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I performed a logistic regression to identify predictors of a missing postcode in the data.</w:t>
      </w:r>
    </w:p>
    <w:p w14:paraId="1D43804C" w14:textId="77777777" w:rsidR="00416626" w:rsidRPr="00AE4DB4" w:rsidRDefault="00416626" w:rsidP="00416626">
      <w:pPr>
        <w:pStyle w:val="Normal1"/>
        <w:rPr>
          <w:rFonts w:ascii="Times New Roman" w:hAnsi="Times New Roman" w:cs="Times New Roman"/>
          <w:sz w:val="24"/>
          <w:szCs w:val="24"/>
          <w:lang w:val="en-GB"/>
        </w:rPr>
      </w:pPr>
    </w:p>
    <w:p w14:paraId="419DB535" w14:textId="4E65D444" w:rsidR="00416626" w:rsidRPr="00416626" w:rsidRDefault="00416626" w:rsidP="00416626">
      <w:pPr>
        <w:pStyle w:val="Caption"/>
        <w:rPr>
          <w:lang w:val="en-GB"/>
        </w:rPr>
      </w:pPr>
      <w:r w:rsidRPr="00416626">
        <w:rPr>
          <w:lang w:val="en-GB"/>
        </w:rPr>
        <w:t>Table S2</w:t>
      </w:r>
      <w:r w:rsidR="00F326D0">
        <w:rPr>
          <w:lang w:val="en-GB"/>
        </w:rPr>
        <w:t>A</w:t>
      </w:r>
      <w:r w:rsidRPr="00416626">
        <w:rPr>
          <w:lang w:val="en-GB"/>
        </w:rPr>
        <w:t xml:space="preserve"> Results from Logistic Regression </w:t>
      </w: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1"/>
        <w:gridCol w:w="1745"/>
        <w:gridCol w:w="2228"/>
        <w:gridCol w:w="2766"/>
      </w:tblGrid>
      <w:tr w:rsidR="00416626" w:rsidRPr="00AE4DB4" w14:paraId="4EBE0CD6"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A3D84AC"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Dep. Variable:</w:t>
            </w: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517B333" w14:textId="77777777" w:rsidR="00416626" w:rsidRPr="00AE4DB4" w:rsidRDefault="00416626" w:rsidP="003C0B79">
            <w:pPr>
              <w:pStyle w:val="Normal1"/>
              <w:rPr>
                <w:rFonts w:ascii="Times New Roman" w:hAnsi="Times New Roman" w:cs="Times New Roman"/>
                <w:sz w:val="24"/>
                <w:szCs w:val="24"/>
                <w:lang w:val="en-GB"/>
              </w:rPr>
            </w:pPr>
            <w:proofErr w:type="spellStart"/>
            <w:r w:rsidRPr="00AE4DB4">
              <w:rPr>
                <w:rFonts w:ascii="Times New Roman" w:hAnsi="Times New Roman" w:cs="Times New Roman"/>
                <w:sz w:val="24"/>
                <w:szCs w:val="24"/>
                <w:lang w:val="en-GB"/>
              </w:rPr>
              <w:t>PC_pres</w:t>
            </w:r>
            <w:proofErr w:type="spellEnd"/>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942508A"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No. Observations:</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018B400"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28428</w:t>
            </w:r>
          </w:p>
        </w:tc>
      </w:tr>
      <w:tr w:rsidR="00416626" w:rsidRPr="00AE4DB4" w14:paraId="694F9B07"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FF475B"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Model:</w:t>
            </w: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B615ED4"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Logit</w:t>
            </w:r>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17FACBB"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Df Residuals:</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A1240E0"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28424</w:t>
            </w:r>
          </w:p>
        </w:tc>
      </w:tr>
      <w:tr w:rsidR="00416626" w:rsidRPr="00AE4DB4" w14:paraId="1DF36722"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DFB4A97"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Method:</w:t>
            </w: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693DAD"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MLE</w:t>
            </w:r>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C6FDFE1"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Df Model:</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AEC7FE6"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3</w:t>
            </w:r>
          </w:p>
        </w:tc>
      </w:tr>
      <w:tr w:rsidR="00416626" w:rsidRPr="00AE4DB4" w14:paraId="142AA013"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DC84F42"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Date:</w:t>
            </w: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8954A87"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Wed, 08 Nov 2017</w:t>
            </w:r>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258F5B0"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Pseudo R-</w:t>
            </w:r>
            <w:proofErr w:type="spellStart"/>
            <w:r w:rsidRPr="00AE4DB4">
              <w:rPr>
                <w:rFonts w:ascii="Times New Roman" w:hAnsi="Times New Roman" w:cs="Times New Roman"/>
                <w:b/>
                <w:sz w:val="24"/>
                <w:szCs w:val="24"/>
                <w:lang w:val="en-GB"/>
              </w:rPr>
              <w:t>squ</w:t>
            </w:r>
            <w:proofErr w:type="spellEnd"/>
            <w:r w:rsidRPr="00AE4DB4">
              <w:rPr>
                <w:rFonts w:ascii="Times New Roman" w:hAnsi="Times New Roman" w:cs="Times New Roman"/>
                <w:b/>
                <w:sz w:val="24"/>
                <w:szCs w:val="24"/>
                <w:lang w:val="en-GB"/>
              </w:rPr>
              <w:t>.:</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9D60FD8"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0.004056</w:t>
            </w:r>
          </w:p>
        </w:tc>
      </w:tr>
      <w:tr w:rsidR="00416626" w:rsidRPr="00AE4DB4" w14:paraId="64568353"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4BB1C6"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Time:</w:t>
            </w: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CEFCD99"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17:21:05</w:t>
            </w:r>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6AF4A29"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Log-Likelihood:</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DBCF02B"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-18108.</w:t>
            </w:r>
          </w:p>
        </w:tc>
      </w:tr>
      <w:tr w:rsidR="00416626" w:rsidRPr="00AE4DB4" w14:paraId="563C5A6C"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5F901F5"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converged:</w:t>
            </w: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CD090B"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True</w:t>
            </w:r>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0E0BA33"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LL-Null:</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853E9C7"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-18182.</w:t>
            </w:r>
          </w:p>
        </w:tc>
      </w:tr>
      <w:tr w:rsidR="00416626" w:rsidRPr="00AE4DB4" w14:paraId="4D8D2956" w14:textId="77777777" w:rsidTr="003C0B79">
        <w:trPr>
          <w:trHeight w:val="394"/>
        </w:trPr>
        <w:tc>
          <w:tcPr>
            <w:tcW w:w="21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465D273" w14:textId="77777777" w:rsidR="00416626" w:rsidRPr="00AE4DB4" w:rsidRDefault="00416626" w:rsidP="003C0B79">
            <w:pPr>
              <w:pStyle w:val="Normal1"/>
              <w:jc w:val="right"/>
              <w:rPr>
                <w:rFonts w:ascii="Times New Roman" w:hAnsi="Times New Roman" w:cs="Times New Roman"/>
                <w:sz w:val="24"/>
                <w:szCs w:val="24"/>
                <w:lang w:val="en-GB"/>
              </w:rPr>
            </w:pPr>
          </w:p>
        </w:tc>
        <w:tc>
          <w:tcPr>
            <w:tcW w:w="1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147713A" w14:textId="77777777" w:rsidR="00416626" w:rsidRPr="00AE4DB4" w:rsidRDefault="00416626" w:rsidP="003C0B79">
            <w:pPr>
              <w:pStyle w:val="Normal1"/>
              <w:rPr>
                <w:rFonts w:ascii="Times New Roman" w:hAnsi="Times New Roman" w:cs="Times New Roman"/>
                <w:sz w:val="24"/>
                <w:szCs w:val="24"/>
                <w:lang w:val="en-GB"/>
              </w:rPr>
            </w:pPr>
          </w:p>
        </w:tc>
        <w:tc>
          <w:tcPr>
            <w:tcW w:w="2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CCF83AE" w14:textId="77777777" w:rsidR="00416626" w:rsidRPr="00AE4DB4" w:rsidRDefault="00416626" w:rsidP="003C0B79">
            <w:pPr>
              <w:pStyle w:val="Normal1"/>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LLR p-value:</w:t>
            </w:r>
          </w:p>
        </w:tc>
        <w:tc>
          <w:tcPr>
            <w:tcW w:w="2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FFB7A3C" w14:textId="77777777" w:rsidR="00416626" w:rsidRPr="00AE4DB4" w:rsidRDefault="00416626" w:rsidP="003C0B79">
            <w:pPr>
              <w:pStyle w:val="Normal1"/>
              <w:rPr>
                <w:rFonts w:ascii="Times New Roman" w:hAnsi="Times New Roman" w:cs="Times New Roman"/>
                <w:sz w:val="24"/>
                <w:szCs w:val="24"/>
                <w:lang w:val="en-GB"/>
              </w:rPr>
            </w:pPr>
            <w:r w:rsidRPr="00AE4DB4">
              <w:rPr>
                <w:rFonts w:ascii="Times New Roman" w:hAnsi="Times New Roman" w:cs="Times New Roman"/>
                <w:sz w:val="24"/>
                <w:szCs w:val="24"/>
                <w:lang w:val="en-GB"/>
              </w:rPr>
              <w:t>9.091e-32</w:t>
            </w:r>
          </w:p>
        </w:tc>
      </w:tr>
    </w:tbl>
    <w:p w14:paraId="638B45F4" w14:textId="77777777" w:rsidR="00F326D0" w:rsidRDefault="00F326D0" w:rsidP="00F326D0">
      <w:pPr>
        <w:pStyle w:val="Caption"/>
        <w:rPr>
          <w:lang w:val="en-GB"/>
        </w:rPr>
      </w:pPr>
    </w:p>
    <w:p w14:paraId="3B77A468" w14:textId="5B624203" w:rsidR="00416626" w:rsidRPr="00F326D0" w:rsidRDefault="00F326D0" w:rsidP="00F326D0">
      <w:pPr>
        <w:pStyle w:val="Caption"/>
        <w:rPr>
          <w:lang w:val="en-GB"/>
        </w:rPr>
      </w:pPr>
      <w:r w:rsidRPr="00416626">
        <w:rPr>
          <w:lang w:val="en-GB"/>
        </w:rPr>
        <w:t>Table S2</w:t>
      </w:r>
      <w:r>
        <w:rPr>
          <w:lang w:val="en-GB"/>
        </w:rPr>
        <w:t>B</w:t>
      </w:r>
      <w:r w:rsidRPr="00416626">
        <w:rPr>
          <w:lang w:val="en-GB"/>
        </w:rPr>
        <w:t xml:space="preserve"> Results from Logistic Regression </w:t>
      </w:r>
    </w:p>
    <w:tbl>
      <w:tblPr>
        <w:tblW w:w="8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7"/>
        <w:gridCol w:w="1243"/>
        <w:gridCol w:w="888"/>
        <w:gridCol w:w="1053"/>
        <w:gridCol w:w="1094"/>
        <w:gridCol w:w="1272"/>
        <w:gridCol w:w="1206"/>
      </w:tblGrid>
      <w:tr w:rsidR="00416626" w:rsidRPr="00AE4DB4" w14:paraId="232EDFC6" w14:textId="77777777" w:rsidTr="003C0B79">
        <w:trPr>
          <w:trHeight w:val="387"/>
        </w:trPr>
        <w:tc>
          <w:tcPr>
            <w:tcW w:w="21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7EAED4A" w14:textId="77777777" w:rsidR="00416626" w:rsidRPr="00AE4DB4" w:rsidRDefault="00416626" w:rsidP="003C0B79">
            <w:pPr>
              <w:pStyle w:val="Normal1"/>
              <w:spacing w:before="180"/>
              <w:rPr>
                <w:rFonts w:ascii="Times New Roman" w:hAnsi="Times New Roman" w:cs="Times New Roman"/>
                <w:sz w:val="24"/>
                <w:szCs w:val="24"/>
                <w:lang w:val="en-GB"/>
              </w:rPr>
            </w:pPr>
          </w:p>
        </w:tc>
        <w:tc>
          <w:tcPr>
            <w:tcW w:w="12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A9E22FA" w14:textId="77777777" w:rsidR="00416626" w:rsidRPr="00AE4DB4" w:rsidRDefault="00416626" w:rsidP="003C0B79">
            <w:pPr>
              <w:pStyle w:val="Normal1"/>
              <w:spacing w:before="180"/>
              <w:jc w:val="right"/>
              <w:rPr>
                <w:rFonts w:ascii="Times New Roman" w:hAnsi="Times New Roman" w:cs="Times New Roman"/>
                <w:sz w:val="24"/>
                <w:szCs w:val="24"/>
                <w:lang w:val="en-GB"/>
              </w:rPr>
            </w:pPr>
            <w:proofErr w:type="spellStart"/>
            <w:r w:rsidRPr="00AE4DB4">
              <w:rPr>
                <w:rFonts w:ascii="Times New Roman" w:hAnsi="Times New Roman" w:cs="Times New Roman"/>
                <w:b/>
                <w:sz w:val="24"/>
                <w:szCs w:val="24"/>
                <w:lang w:val="en-GB"/>
              </w:rPr>
              <w:t>coef</w:t>
            </w:r>
            <w:proofErr w:type="spellEnd"/>
          </w:p>
        </w:tc>
        <w:tc>
          <w:tcPr>
            <w:tcW w:w="8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FB0844B"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std err</w:t>
            </w:r>
          </w:p>
        </w:tc>
        <w:tc>
          <w:tcPr>
            <w:tcW w:w="10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1D02948"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z</w:t>
            </w:r>
          </w:p>
        </w:tc>
        <w:tc>
          <w:tcPr>
            <w:tcW w:w="10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9CC88B3"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P&gt;|z|</w:t>
            </w:r>
          </w:p>
        </w:tc>
        <w:tc>
          <w:tcPr>
            <w:tcW w:w="12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6A4F0D4"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[0.025</w:t>
            </w:r>
          </w:p>
        </w:tc>
        <w:tc>
          <w:tcPr>
            <w:tcW w:w="1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0B7B888"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0.975]</w:t>
            </w:r>
          </w:p>
        </w:tc>
      </w:tr>
      <w:tr w:rsidR="00416626" w:rsidRPr="00AE4DB4" w14:paraId="603B6E31" w14:textId="77777777" w:rsidTr="003C0B79">
        <w:trPr>
          <w:trHeight w:val="387"/>
        </w:trPr>
        <w:tc>
          <w:tcPr>
            <w:tcW w:w="21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4B6268"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Intercept</w:t>
            </w:r>
          </w:p>
        </w:tc>
        <w:tc>
          <w:tcPr>
            <w:tcW w:w="12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F0B0CF4"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0.4115</w:t>
            </w:r>
          </w:p>
        </w:tc>
        <w:tc>
          <w:tcPr>
            <w:tcW w:w="8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5FCD4A4"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0.037</w:t>
            </w:r>
          </w:p>
        </w:tc>
        <w:tc>
          <w:tcPr>
            <w:tcW w:w="10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F7675EB"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10.985</w:t>
            </w:r>
          </w:p>
        </w:tc>
        <w:tc>
          <w:tcPr>
            <w:tcW w:w="10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E965FC8"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0.000</w:t>
            </w:r>
          </w:p>
        </w:tc>
        <w:tc>
          <w:tcPr>
            <w:tcW w:w="12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9E56A52"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0.338</w:t>
            </w:r>
          </w:p>
        </w:tc>
        <w:tc>
          <w:tcPr>
            <w:tcW w:w="1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12CD6DA"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0.485</w:t>
            </w:r>
          </w:p>
        </w:tc>
      </w:tr>
      <w:tr w:rsidR="00416626" w:rsidRPr="00AE4DB4" w14:paraId="7BB614EC" w14:textId="77777777" w:rsidTr="003C0B79">
        <w:trPr>
          <w:trHeight w:val="387"/>
        </w:trPr>
        <w:tc>
          <w:tcPr>
            <w:tcW w:w="21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FF3786" w14:textId="77777777" w:rsidR="00416626" w:rsidRPr="00AE4DB4" w:rsidRDefault="00416626" w:rsidP="003C0B79">
            <w:pPr>
              <w:pStyle w:val="Normal1"/>
              <w:spacing w:before="180"/>
              <w:jc w:val="right"/>
              <w:rPr>
                <w:rFonts w:ascii="Times New Roman" w:hAnsi="Times New Roman" w:cs="Times New Roman"/>
                <w:sz w:val="24"/>
                <w:szCs w:val="24"/>
                <w:lang w:val="en-GB"/>
              </w:rPr>
            </w:pPr>
            <w:proofErr w:type="spellStart"/>
            <w:r w:rsidRPr="00AE4DB4">
              <w:rPr>
                <w:rFonts w:ascii="Times New Roman" w:hAnsi="Times New Roman" w:cs="Times New Roman"/>
                <w:b/>
                <w:sz w:val="24"/>
                <w:szCs w:val="24"/>
                <w:lang w:val="en-GB"/>
              </w:rPr>
              <w:t>age_system_generated</w:t>
            </w:r>
            <w:proofErr w:type="spellEnd"/>
          </w:p>
        </w:tc>
        <w:tc>
          <w:tcPr>
            <w:tcW w:w="12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401F4D4"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0.0062</w:t>
            </w:r>
          </w:p>
        </w:tc>
        <w:tc>
          <w:tcPr>
            <w:tcW w:w="8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A1A7177"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0.001</w:t>
            </w:r>
          </w:p>
        </w:tc>
        <w:tc>
          <w:tcPr>
            <w:tcW w:w="10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37F8CDE"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8.315</w:t>
            </w:r>
          </w:p>
        </w:tc>
        <w:tc>
          <w:tcPr>
            <w:tcW w:w="10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F4BE1B0"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0.000</w:t>
            </w:r>
          </w:p>
        </w:tc>
        <w:tc>
          <w:tcPr>
            <w:tcW w:w="12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D1DE9E3"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0.005</w:t>
            </w:r>
          </w:p>
        </w:tc>
        <w:tc>
          <w:tcPr>
            <w:tcW w:w="1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FA29835"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0.008</w:t>
            </w:r>
          </w:p>
        </w:tc>
      </w:tr>
      <w:tr w:rsidR="00416626" w:rsidRPr="00AE4DB4" w14:paraId="6FD49A66" w14:textId="77777777" w:rsidTr="003C0B79">
        <w:trPr>
          <w:trHeight w:val="387"/>
        </w:trPr>
        <w:tc>
          <w:tcPr>
            <w:tcW w:w="21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34DA29D" w14:textId="77777777" w:rsidR="00416626" w:rsidRPr="00AE4DB4" w:rsidRDefault="00416626" w:rsidP="003C0B79">
            <w:pPr>
              <w:pStyle w:val="Normal1"/>
              <w:spacing w:before="180"/>
              <w:jc w:val="right"/>
              <w:rPr>
                <w:rFonts w:ascii="Times New Roman" w:hAnsi="Times New Roman" w:cs="Times New Roman"/>
                <w:sz w:val="24"/>
                <w:szCs w:val="24"/>
                <w:lang w:val="en-GB"/>
              </w:rPr>
            </w:pPr>
            <w:proofErr w:type="spellStart"/>
            <w:r w:rsidRPr="00AE4DB4">
              <w:rPr>
                <w:rFonts w:ascii="Times New Roman" w:hAnsi="Times New Roman" w:cs="Times New Roman"/>
                <w:b/>
                <w:sz w:val="24"/>
                <w:szCs w:val="24"/>
                <w:lang w:val="en-GB"/>
              </w:rPr>
              <w:t>day_rep_c</w:t>
            </w:r>
            <w:proofErr w:type="spellEnd"/>
          </w:p>
        </w:tc>
        <w:tc>
          <w:tcPr>
            <w:tcW w:w="12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46424B3"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-0.0010</w:t>
            </w:r>
          </w:p>
        </w:tc>
        <w:tc>
          <w:tcPr>
            <w:tcW w:w="8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0E09B54"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0.002</w:t>
            </w:r>
          </w:p>
        </w:tc>
        <w:tc>
          <w:tcPr>
            <w:tcW w:w="10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3B3B71D"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-0.619</w:t>
            </w:r>
          </w:p>
        </w:tc>
        <w:tc>
          <w:tcPr>
            <w:tcW w:w="10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84A5F6"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0.536</w:t>
            </w:r>
          </w:p>
        </w:tc>
        <w:tc>
          <w:tcPr>
            <w:tcW w:w="12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BDF7A5A"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-0.004</w:t>
            </w:r>
          </w:p>
        </w:tc>
        <w:tc>
          <w:tcPr>
            <w:tcW w:w="1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7659A12"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0.002</w:t>
            </w:r>
          </w:p>
        </w:tc>
      </w:tr>
      <w:tr w:rsidR="00416626" w:rsidRPr="00AE4DB4" w14:paraId="53C0CFD1" w14:textId="77777777" w:rsidTr="003C0B79">
        <w:trPr>
          <w:trHeight w:val="387"/>
        </w:trPr>
        <w:tc>
          <w:tcPr>
            <w:tcW w:w="21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A34308B" w14:textId="77777777" w:rsidR="00416626" w:rsidRPr="00AE4DB4" w:rsidRDefault="00416626" w:rsidP="003C0B79">
            <w:pPr>
              <w:pStyle w:val="Normal1"/>
              <w:spacing w:before="180"/>
              <w:jc w:val="right"/>
              <w:rPr>
                <w:rFonts w:ascii="Times New Roman" w:hAnsi="Times New Roman" w:cs="Times New Roman"/>
                <w:sz w:val="24"/>
                <w:szCs w:val="24"/>
                <w:lang w:val="en-GB"/>
              </w:rPr>
            </w:pPr>
            <w:r w:rsidRPr="00AE4DB4">
              <w:rPr>
                <w:rFonts w:ascii="Times New Roman" w:hAnsi="Times New Roman" w:cs="Times New Roman"/>
                <w:b/>
                <w:sz w:val="24"/>
                <w:szCs w:val="24"/>
                <w:lang w:val="en-GB"/>
              </w:rPr>
              <w:t>tested</w:t>
            </w:r>
          </w:p>
        </w:tc>
        <w:tc>
          <w:tcPr>
            <w:tcW w:w="12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F371724"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0.2105</w:t>
            </w:r>
          </w:p>
        </w:tc>
        <w:tc>
          <w:tcPr>
            <w:tcW w:w="8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F7FA755"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0.026</w:t>
            </w:r>
          </w:p>
        </w:tc>
        <w:tc>
          <w:tcPr>
            <w:tcW w:w="10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F4326E5"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8.122</w:t>
            </w:r>
          </w:p>
        </w:tc>
        <w:tc>
          <w:tcPr>
            <w:tcW w:w="10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E37EFD1"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0.000</w:t>
            </w:r>
          </w:p>
        </w:tc>
        <w:tc>
          <w:tcPr>
            <w:tcW w:w="12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2F7E97D"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0.160</w:t>
            </w:r>
          </w:p>
        </w:tc>
        <w:tc>
          <w:tcPr>
            <w:tcW w:w="1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BC51B9A" w14:textId="77777777" w:rsidR="00416626" w:rsidRPr="00AE4DB4" w:rsidRDefault="00416626" w:rsidP="003C0B79">
            <w:pPr>
              <w:pStyle w:val="Normal1"/>
              <w:spacing w:before="180"/>
              <w:rPr>
                <w:rFonts w:ascii="Times New Roman" w:hAnsi="Times New Roman" w:cs="Times New Roman"/>
                <w:sz w:val="24"/>
                <w:szCs w:val="24"/>
                <w:lang w:val="en-GB"/>
              </w:rPr>
            </w:pPr>
            <w:r w:rsidRPr="00AE4DB4">
              <w:rPr>
                <w:rFonts w:ascii="Times New Roman" w:hAnsi="Times New Roman" w:cs="Times New Roman"/>
                <w:sz w:val="24"/>
                <w:szCs w:val="24"/>
                <w:lang w:val="en-GB"/>
              </w:rPr>
              <w:t>0.261</w:t>
            </w:r>
          </w:p>
        </w:tc>
      </w:tr>
    </w:tbl>
    <w:p w14:paraId="26F172D9" w14:textId="77777777" w:rsidR="00416626" w:rsidRPr="00AE4DB4" w:rsidRDefault="00416626" w:rsidP="00416626">
      <w:pPr>
        <w:pStyle w:val="Normal1"/>
        <w:rPr>
          <w:rFonts w:ascii="Times New Roman" w:hAnsi="Times New Roman" w:cs="Times New Roman"/>
          <w:sz w:val="24"/>
          <w:szCs w:val="24"/>
          <w:lang w:val="en-GB"/>
        </w:rPr>
      </w:pPr>
    </w:p>
    <w:p w14:paraId="17CFB438" w14:textId="77777777" w:rsidR="00416626" w:rsidRPr="00AE4DB4" w:rsidRDefault="00416626" w:rsidP="00416626">
      <w:pPr>
        <w:rPr>
          <w:sz w:val="24"/>
          <w:szCs w:val="24"/>
          <w:lang w:val="en-GB"/>
        </w:rPr>
      </w:pPr>
    </w:p>
    <w:p w14:paraId="16418377" w14:textId="77777777" w:rsidR="00416626" w:rsidRPr="00AE4DB4" w:rsidRDefault="00416626" w:rsidP="00416626">
      <w:pPr>
        <w:rPr>
          <w:sz w:val="24"/>
          <w:szCs w:val="24"/>
          <w:lang w:val="en-GB"/>
        </w:rPr>
      </w:pPr>
    </w:p>
    <w:p w14:paraId="6A5D2BC4" w14:textId="77777777" w:rsidR="00416626" w:rsidRPr="00AE4DB4" w:rsidRDefault="00416626" w:rsidP="00416626">
      <w:pPr>
        <w:rPr>
          <w:sz w:val="24"/>
          <w:szCs w:val="24"/>
          <w:lang w:val="en-GB"/>
        </w:rPr>
      </w:pPr>
    </w:p>
    <w:p w14:paraId="1364FF9B" w14:textId="77777777" w:rsidR="00416626" w:rsidRPr="00AE4DB4" w:rsidRDefault="00416626" w:rsidP="00416626">
      <w:pPr>
        <w:rPr>
          <w:sz w:val="24"/>
          <w:szCs w:val="24"/>
          <w:lang w:val="en-GB"/>
        </w:rPr>
      </w:pPr>
    </w:p>
    <w:p w14:paraId="24AEAB63" w14:textId="77777777" w:rsidR="00416626" w:rsidRPr="00AE4DB4" w:rsidRDefault="00416626" w:rsidP="00416626">
      <w:pPr>
        <w:rPr>
          <w:sz w:val="24"/>
          <w:szCs w:val="24"/>
          <w:lang w:val="en-GB"/>
        </w:rPr>
      </w:pPr>
    </w:p>
    <w:p w14:paraId="5BF1B2C8" w14:textId="77777777" w:rsidR="00416626" w:rsidRPr="00AE4DB4" w:rsidRDefault="00416626" w:rsidP="00416626">
      <w:pPr>
        <w:rPr>
          <w:sz w:val="24"/>
          <w:szCs w:val="24"/>
          <w:lang w:val="en-GB"/>
        </w:rPr>
      </w:pPr>
    </w:p>
    <w:p w14:paraId="626476E0" w14:textId="77777777" w:rsidR="00416626" w:rsidRPr="00AE4DB4" w:rsidRDefault="00416626" w:rsidP="00416626">
      <w:pPr>
        <w:rPr>
          <w:sz w:val="24"/>
          <w:szCs w:val="24"/>
          <w:lang w:val="en-GB"/>
        </w:rPr>
      </w:pPr>
    </w:p>
    <w:p w14:paraId="43314F82" w14:textId="40042039" w:rsidR="00416626" w:rsidRDefault="00416626" w:rsidP="00416626">
      <w:pPr>
        <w:rPr>
          <w:sz w:val="24"/>
          <w:szCs w:val="24"/>
          <w:lang w:val="en-GB"/>
        </w:rPr>
      </w:pPr>
    </w:p>
    <w:p w14:paraId="7954FB2D" w14:textId="4C34F0B2" w:rsidR="00416626" w:rsidRDefault="00416626" w:rsidP="00416626">
      <w:pPr>
        <w:rPr>
          <w:sz w:val="24"/>
          <w:szCs w:val="24"/>
          <w:lang w:val="en-GB"/>
        </w:rPr>
      </w:pPr>
    </w:p>
    <w:p w14:paraId="2602C68A" w14:textId="538768DC" w:rsidR="00416626" w:rsidRDefault="00416626" w:rsidP="00416626">
      <w:pPr>
        <w:rPr>
          <w:sz w:val="24"/>
          <w:szCs w:val="24"/>
          <w:lang w:val="en-GB"/>
        </w:rPr>
      </w:pPr>
    </w:p>
    <w:p w14:paraId="0CCE99C4" w14:textId="77777777" w:rsidR="00416626" w:rsidRPr="00416626" w:rsidRDefault="00416626" w:rsidP="00416626">
      <w:pPr>
        <w:pStyle w:val="Normal1"/>
        <w:rPr>
          <w:rFonts w:ascii="Times New Roman" w:hAnsi="Times New Roman" w:cs="Times New Roman"/>
          <w:b/>
          <w:sz w:val="24"/>
          <w:szCs w:val="24"/>
          <w:lang w:val="en-GB"/>
        </w:rPr>
      </w:pPr>
    </w:p>
    <w:p w14:paraId="55C409CA" w14:textId="77777777" w:rsidR="00416626" w:rsidRPr="00416626" w:rsidRDefault="00416626" w:rsidP="00416626">
      <w:pPr>
        <w:pStyle w:val="Normal1"/>
        <w:rPr>
          <w:rFonts w:ascii="Times New Roman" w:hAnsi="Times New Roman" w:cs="Times New Roman"/>
          <w:b/>
          <w:sz w:val="24"/>
          <w:szCs w:val="24"/>
          <w:lang w:val="en-GB"/>
        </w:rPr>
      </w:pPr>
      <w:r w:rsidRPr="00416626">
        <w:rPr>
          <w:rFonts w:ascii="Times New Roman" w:hAnsi="Times New Roman" w:cs="Times New Roman"/>
          <w:b/>
          <w:sz w:val="24"/>
          <w:szCs w:val="24"/>
          <w:lang w:val="en-GB"/>
        </w:rPr>
        <w:t>2 Percentage of cases tested and tests positive by ethnic group</w:t>
      </w:r>
    </w:p>
    <w:p w14:paraId="5CB862DF" w14:textId="77777777" w:rsidR="00416626" w:rsidRPr="00AE4DB4" w:rsidRDefault="00416626" w:rsidP="00416626">
      <w:pPr>
        <w:pStyle w:val="Normal1"/>
        <w:rPr>
          <w:rFonts w:ascii="Times New Roman" w:hAnsi="Times New Roman" w:cs="Times New Roman"/>
          <w:sz w:val="24"/>
          <w:szCs w:val="24"/>
          <w:lang w:val="en-GB"/>
        </w:rPr>
      </w:pPr>
    </w:p>
    <w:p w14:paraId="28B5F2B5" w14:textId="77777777" w:rsidR="00416626" w:rsidRPr="00AE4DB4" w:rsidRDefault="00416626" w:rsidP="00416626">
      <w:pPr>
        <w:pStyle w:val="Normal1"/>
        <w:rPr>
          <w:rFonts w:ascii="Times New Roman" w:hAnsi="Times New Roman" w:cs="Times New Roman"/>
          <w:sz w:val="24"/>
          <w:szCs w:val="24"/>
          <w:lang w:val="en-GB"/>
        </w:rPr>
      </w:pPr>
      <w:r w:rsidRPr="00AE4DB4">
        <w:rPr>
          <w:rFonts w:ascii="Times New Roman" w:hAnsi="Times New Roman" w:cs="Times New Roman"/>
          <w:noProof/>
          <w:sz w:val="24"/>
          <w:szCs w:val="24"/>
          <w:lang w:val="en-GB"/>
        </w:rPr>
        <w:drawing>
          <wp:inline distT="114300" distB="114300" distL="114300" distR="114300" wp14:anchorId="0416AB24" wp14:editId="74B03288">
            <wp:extent cx="5800725" cy="424815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800725" cy="4248150"/>
                    </a:xfrm>
                    <a:prstGeom prst="rect">
                      <a:avLst/>
                    </a:prstGeom>
                    <a:ln/>
                  </pic:spPr>
                </pic:pic>
              </a:graphicData>
            </a:graphic>
          </wp:inline>
        </w:drawing>
      </w:r>
    </w:p>
    <w:p w14:paraId="672CE098" w14:textId="487E8622" w:rsidR="00416626" w:rsidRPr="00416626" w:rsidRDefault="00416626" w:rsidP="00416626">
      <w:pPr>
        <w:pStyle w:val="Caption"/>
        <w:rPr>
          <w:lang w:val="en-GB"/>
        </w:rPr>
      </w:pPr>
      <w:r w:rsidRPr="00416626">
        <w:rPr>
          <w:lang w:val="en-GB"/>
        </w:rPr>
        <w:t>Figure S5 Percentage of cases tested and tests positive by ethnic group</w:t>
      </w:r>
    </w:p>
    <w:p w14:paraId="3FB11510" w14:textId="77777777" w:rsidR="00416626" w:rsidRPr="00AE4DB4" w:rsidRDefault="00416626" w:rsidP="00416626">
      <w:pPr>
        <w:pStyle w:val="Normal1"/>
        <w:rPr>
          <w:rFonts w:ascii="Times New Roman" w:hAnsi="Times New Roman" w:cs="Times New Roman"/>
          <w:sz w:val="24"/>
          <w:szCs w:val="24"/>
          <w:lang w:val="en-GB"/>
        </w:rPr>
      </w:pPr>
    </w:p>
    <w:p w14:paraId="0781EB98" w14:textId="77777777" w:rsidR="00416626" w:rsidRPr="00AE4DB4" w:rsidRDefault="00416626" w:rsidP="00416626">
      <w:pPr>
        <w:pStyle w:val="Normal1"/>
        <w:rPr>
          <w:rFonts w:ascii="Times New Roman" w:hAnsi="Times New Roman" w:cs="Times New Roman"/>
          <w:sz w:val="24"/>
          <w:szCs w:val="24"/>
          <w:lang w:val="en-GB"/>
        </w:rPr>
      </w:pPr>
    </w:p>
    <w:p w14:paraId="1E37E576" w14:textId="77777777" w:rsidR="00416626" w:rsidRPr="00AE4DB4" w:rsidRDefault="00416626" w:rsidP="00416626">
      <w:pPr>
        <w:pStyle w:val="Normal1"/>
        <w:numPr>
          <w:ilvl w:val="0"/>
          <w:numId w:val="3"/>
        </w:numPr>
        <w:rPr>
          <w:rFonts w:ascii="Times New Roman" w:hAnsi="Times New Roman" w:cs="Times New Roman"/>
          <w:sz w:val="24"/>
          <w:szCs w:val="24"/>
          <w:lang w:val="en-GB"/>
        </w:rPr>
      </w:pPr>
      <w:r w:rsidRPr="00AE4DB4">
        <w:rPr>
          <w:rFonts w:ascii="Times New Roman" w:hAnsi="Times New Roman" w:cs="Times New Roman"/>
          <w:sz w:val="24"/>
          <w:szCs w:val="24"/>
          <w:lang w:val="en-GB"/>
        </w:rPr>
        <w:t>The proportion of tests that were positive is much lower in the white population. This could mean that there was an inflated reporting rate in this population.</w:t>
      </w:r>
      <w:r w:rsidRPr="00AE4DB4">
        <w:rPr>
          <w:rFonts w:ascii="Times New Roman" w:hAnsi="Times New Roman" w:cs="Times New Roman"/>
          <w:sz w:val="24"/>
          <w:szCs w:val="24"/>
          <w:lang w:val="en-GB"/>
        </w:rPr>
        <w:br/>
      </w:r>
    </w:p>
    <w:p w14:paraId="616A9F08" w14:textId="7B062203" w:rsidR="00416626" w:rsidRPr="00AE4DB4" w:rsidRDefault="00416626" w:rsidP="00416626">
      <w:pPr>
        <w:pStyle w:val="Normal1"/>
        <w:numPr>
          <w:ilvl w:val="0"/>
          <w:numId w:val="2"/>
        </w:numPr>
        <w:rPr>
          <w:rFonts w:ascii="Times New Roman" w:hAnsi="Times New Roman" w:cs="Times New Roman"/>
          <w:sz w:val="24"/>
          <w:szCs w:val="24"/>
          <w:lang w:val="en-GB"/>
        </w:rPr>
      </w:pPr>
      <w:r w:rsidRPr="00AE4DB4">
        <w:rPr>
          <w:rFonts w:ascii="Times New Roman" w:hAnsi="Times New Roman" w:cs="Times New Roman"/>
          <w:sz w:val="24"/>
          <w:szCs w:val="24"/>
          <w:lang w:val="en-GB"/>
        </w:rPr>
        <w:t xml:space="preserve">Noticeably, the test rate of cases was consistent for most ethnicities (around 60-65%) but this drops to less than 40% in black </w:t>
      </w:r>
      <w:r w:rsidR="00A04EBF" w:rsidRPr="00AE4DB4">
        <w:rPr>
          <w:rFonts w:ascii="Times New Roman" w:hAnsi="Times New Roman" w:cs="Times New Roman"/>
          <w:sz w:val="24"/>
          <w:szCs w:val="24"/>
          <w:lang w:val="en-GB"/>
        </w:rPr>
        <w:t>Caribbean’s</w:t>
      </w:r>
      <w:r w:rsidRPr="00AE4DB4">
        <w:rPr>
          <w:rFonts w:ascii="Times New Roman" w:hAnsi="Times New Roman" w:cs="Times New Roman"/>
          <w:sz w:val="24"/>
          <w:szCs w:val="24"/>
          <w:lang w:val="en-GB"/>
        </w:rPr>
        <w:t>. There were very small number of cases though - so may not be significant.</w:t>
      </w:r>
    </w:p>
    <w:p w14:paraId="5263D477" w14:textId="77777777" w:rsidR="00416626" w:rsidRPr="00AE4DB4" w:rsidRDefault="00416626" w:rsidP="00416626">
      <w:pPr>
        <w:pStyle w:val="Normal1"/>
        <w:rPr>
          <w:rFonts w:ascii="Times New Roman" w:hAnsi="Times New Roman" w:cs="Times New Roman"/>
          <w:sz w:val="24"/>
          <w:szCs w:val="24"/>
          <w:lang w:val="en-GB"/>
        </w:rPr>
      </w:pPr>
    </w:p>
    <w:p w14:paraId="5ADABBE9" w14:textId="77777777" w:rsidR="00416626" w:rsidRPr="00AE4DB4" w:rsidRDefault="00416626" w:rsidP="00416626">
      <w:pPr>
        <w:pStyle w:val="Normal1"/>
        <w:rPr>
          <w:rFonts w:ascii="Times New Roman" w:hAnsi="Times New Roman" w:cs="Times New Roman"/>
          <w:sz w:val="24"/>
          <w:szCs w:val="24"/>
          <w:lang w:val="en-GB"/>
        </w:rPr>
      </w:pPr>
    </w:p>
    <w:p w14:paraId="1467BBF4" w14:textId="77777777" w:rsidR="00416626" w:rsidRPr="00AE4DB4" w:rsidRDefault="00416626" w:rsidP="00416626">
      <w:pPr>
        <w:pStyle w:val="Normal1"/>
        <w:rPr>
          <w:rFonts w:ascii="Times New Roman" w:hAnsi="Times New Roman" w:cs="Times New Roman"/>
          <w:sz w:val="24"/>
          <w:szCs w:val="24"/>
          <w:lang w:val="en-GB"/>
        </w:rPr>
      </w:pPr>
    </w:p>
    <w:p w14:paraId="6AA23F1A" w14:textId="77777777" w:rsidR="00416626" w:rsidRPr="00AE4DB4" w:rsidRDefault="00416626" w:rsidP="00416626">
      <w:pPr>
        <w:pStyle w:val="Normal1"/>
        <w:rPr>
          <w:rFonts w:ascii="Times New Roman" w:hAnsi="Times New Roman" w:cs="Times New Roman"/>
          <w:sz w:val="24"/>
          <w:szCs w:val="24"/>
          <w:lang w:val="en-GB"/>
        </w:rPr>
      </w:pPr>
    </w:p>
    <w:p w14:paraId="6D5BC2E0" w14:textId="77777777" w:rsidR="00416626" w:rsidRPr="00AE4DB4" w:rsidRDefault="00416626" w:rsidP="00416626">
      <w:pPr>
        <w:pStyle w:val="Normal1"/>
        <w:rPr>
          <w:rFonts w:ascii="Times New Roman" w:hAnsi="Times New Roman" w:cs="Times New Roman"/>
          <w:sz w:val="24"/>
          <w:szCs w:val="24"/>
          <w:lang w:val="en-GB"/>
        </w:rPr>
      </w:pPr>
    </w:p>
    <w:p w14:paraId="745003EF" w14:textId="77777777" w:rsidR="00416626" w:rsidRPr="00AE4DB4" w:rsidRDefault="00416626" w:rsidP="00416626">
      <w:pPr>
        <w:pStyle w:val="Normal1"/>
        <w:rPr>
          <w:rFonts w:ascii="Times New Roman" w:hAnsi="Times New Roman" w:cs="Times New Roman"/>
          <w:sz w:val="24"/>
          <w:szCs w:val="24"/>
          <w:lang w:val="en-GB"/>
        </w:rPr>
      </w:pPr>
    </w:p>
    <w:p w14:paraId="3CB3CBB4" w14:textId="77777777" w:rsidR="00416626" w:rsidRPr="00AE4DB4" w:rsidRDefault="00416626" w:rsidP="00416626">
      <w:pPr>
        <w:pStyle w:val="Normal1"/>
        <w:rPr>
          <w:rFonts w:ascii="Times New Roman" w:hAnsi="Times New Roman" w:cs="Times New Roman"/>
          <w:sz w:val="24"/>
          <w:szCs w:val="24"/>
          <w:lang w:val="en-GB"/>
        </w:rPr>
      </w:pPr>
    </w:p>
    <w:p w14:paraId="5DB45993" w14:textId="6ADD53FC" w:rsidR="00416626" w:rsidRDefault="00416626" w:rsidP="00416626">
      <w:pPr>
        <w:rPr>
          <w:lang w:val="en-GB"/>
        </w:rPr>
      </w:pPr>
    </w:p>
    <w:p w14:paraId="47EBE6DA" w14:textId="77777777" w:rsidR="00416626" w:rsidRPr="00AE4DB4" w:rsidRDefault="00416626" w:rsidP="00416626">
      <w:pPr>
        <w:rPr>
          <w:lang w:val="en-GB"/>
        </w:rPr>
      </w:pPr>
    </w:p>
    <w:p w14:paraId="77BDDC22" w14:textId="77777777" w:rsidR="00416626" w:rsidRPr="00AE4DB4" w:rsidRDefault="00416626" w:rsidP="00416626">
      <w:pPr>
        <w:rPr>
          <w:lang w:val="en-GB"/>
        </w:rPr>
      </w:pPr>
    </w:p>
    <w:p w14:paraId="49B2F438" w14:textId="77777777" w:rsidR="00416626" w:rsidRPr="00AE4DB4" w:rsidRDefault="00416626" w:rsidP="00416626">
      <w:pPr>
        <w:rPr>
          <w:sz w:val="24"/>
          <w:szCs w:val="24"/>
          <w:lang w:val="en-GB"/>
        </w:rPr>
      </w:pPr>
    </w:p>
    <w:p w14:paraId="714FE986" w14:textId="05374D85" w:rsidR="00416626" w:rsidRPr="00416626" w:rsidRDefault="00416626" w:rsidP="00416626">
      <w:pPr>
        <w:pStyle w:val="Normal1"/>
        <w:rPr>
          <w:rFonts w:ascii="Times New Roman" w:hAnsi="Times New Roman" w:cs="Times New Roman"/>
          <w:b/>
          <w:sz w:val="24"/>
          <w:szCs w:val="24"/>
          <w:lang w:val="en-GB"/>
        </w:rPr>
      </w:pPr>
      <w:bookmarkStart w:id="1" w:name="_Toc26866438"/>
      <w:r>
        <w:rPr>
          <w:rFonts w:ascii="Times New Roman" w:hAnsi="Times New Roman" w:cs="Times New Roman"/>
          <w:b/>
          <w:sz w:val="24"/>
          <w:szCs w:val="24"/>
          <w:lang w:val="en-GB"/>
        </w:rPr>
        <w:t xml:space="preserve">3 </w:t>
      </w:r>
      <w:r w:rsidRPr="00416626">
        <w:rPr>
          <w:rFonts w:ascii="Times New Roman" w:hAnsi="Times New Roman" w:cs="Times New Roman"/>
          <w:b/>
          <w:sz w:val="24"/>
          <w:szCs w:val="24"/>
          <w:lang w:val="en-GB"/>
        </w:rPr>
        <w:t>Additional results</w:t>
      </w:r>
      <w:bookmarkEnd w:id="1"/>
    </w:p>
    <w:p w14:paraId="21BEAA13" w14:textId="1657FFA2" w:rsidR="00416626" w:rsidRPr="00AE4DB4" w:rsidRDefault="00A04EBF" w:rsidP="00416626">
      <w:pPr>
        <w:rPr>
          <w:b/>
          <w:sz w:val="24"/>
          <w:szCs w:val="24"/>
          <w:lang w:val="en-GB"/>
        </w:rPr>
      </w:pPr>
      <w:r>
        <w:rPr>
          <w:b/>
          <w:noProof/>
          <w:sz w:val="24"/>
          <w:szCs w:val="24"/>
          <w:lang w:val="en-GB"/>
        </w:rPr>
        <w:drawing>
          <wp:inline distT="0" distB="0" distL="0" distR="0" wp14:anchorId="48F695FC" wp14:editId="0A4CDD7B">
            <wp:extent cx="4275429" cy="78763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279614" cy="7884072"/>
                    </a:xfrm>
                    <a:prstGeom prst="rect">
                      <a:avLst/>
                    </a:prstGeom>
                  </pic:spPr>
                </pic:pic>
              </a:graphicData>
            </a:graphic>
          </wp:inline>
        </w:drawing>
      </w:r>
    </w:p>
    <w:p w14:paraId="2A8F6010" w14:textId="325649D2" w:rsidR="00416626" w:rsidRPr="00AE4DB4" w:rsidRDefault="00416626" w:rsidP="00416626">
      <w:pPr>
        <w:rPr>
          <w:sz w:val="24"/>
          <w:szCs w:val="24"/>
          <w:lang w:val="en-GB"/>
        </w:rPr>
      </w:pPr>
    </w:p>
    <w:p w14:paraId="59651263" w14:textId="7D8D2650" w:rsidR="00416626" w:rsidRPr="00416626" w:rsidRDefault="00416626" w:rsidP="00416626">
      <w:pPr>
        <w:pStyle w:val="Caption"/>
        <w:rPr>
          <w:lang w:val="en-GB"/>
        </w:rPr>
        <w:sectPr w:rsidR="00416626" w:rsidRPr="00416626" w:rsidSect="00B02831">
          <w:pgSz w:w="11900" w:h="16840"/>
          <w:pgMar w:top="1134" w:right="1134" w:bottom="1134" w:left="2268" w:header="709" w:footer="709" w:gutter="0"/>
          <w:cols w:space="708"/>
          <w:docGrid w:linePitch="360"/>
        </w:sectPr>
      </w:pPr>
      <w:r w:rsidRPr="00416626">
        <w:rPr>
          <w:lang w:val="en-GB"/>
        </w:rPr>
        <w:t xml:space="preserve">Figure </w:t>
      </w:r>
      <w:r w:rsidR="00096707">
        <w:rPr>
          <w:lang w:val="en-GB"/>
        </w:rPr>
        <w:t>S</w:t>
      </w:r>
      <w:r w:rsidRPr="00416626">
        <w:rPr>
          <w:lang w:val="en-GB"/>
        </w:rPr>
        <w:t xml:space="preserve">6 Ethnic breakdown of cases. </w:t>
      </w:r>
      <w:proofErr w:type="spellStart"/>
      <w:r w:rsidRPr="00416626">
        <w:rPr>
          <w:lang w:val="en-GB"/>
        </w:rPr>
        <w:t>i</w:t>
      </w:r>
      <w:proofErr w:type="spellEnd"/>
      <w:r w:rsidRPr="00416626">
        <w:rPr>
          <w:lang w:val="en-GB"/>
        </w:rPr>
        <w:t xml:space="preserve">) Daily incidence in each ethnic group identified by </w:t>
      </w:r>
      <w:proofErr w:type="spellStart"/>
      <w:r w:rsidRPr="00416626">
        <w:rPr>
          <w:lang w:val="en-GB"/>
        </w:rPr>
        <w:t>Onomap</w:t>
      </w:r>
      <w:proofErr w:type="spellEnd"/>
      <w:r w:rsidRPr="00416626">
        <w:rPr>
          <w:lang w:val="en-GB"/>
        </w:rPr>
        <w:t xml:space="preserve">, ii) Relative risk in White (Blue) and South Asian (Orange) populations for A) </w:t>
      </w:r>
      <w:proofErr w:type="gramStart"/>
      <w:r w:rsidRPr="00416626">
        <w:rPr>
          <w:lang w:val="en-GB"/>
        </w:rPr>
        <w:t>Birmingham ,</w:t>
      </w:r>
      <w:proofErr w:type="gramEnd"/>
      <w:r w:rsidRPr="00416626">
        <w:rPr>
          <w:lang w:val="en-GB"/>
        </w:rPr>
        <w:t xml:space="preserve"> B) London, C) Adults in Birmingham (&gt;19), D) Adults in London (&gt;19), E) Children in Birmingham (&lt;=19) and F) Children in London (&lt;=19). </w:t>
      </w:r>
    </w:p>
    <w:p w14:paraId="157F523C" w14:textId="77777777" w:rsidR="00416626" w:rsidRPr="00F1443D" w:rsidRDefault="00416626" w:rsidP="00416626">
      <w:pPr>
        <w:rPr>
          <w:sz w:val="24"/>
          <w:szCs w:val="24"/>
        </w:rPr>
      </w:pPr>
    </w:p>
    <w:p w14:paraId="402236CD" w14:textId="77777777" w:rsidR="00416626" w:rsidRDefault="00416626" w:rsidP="00416626">
      <w:pPr>
        <w:rPr>
          <w:lang w:val="en-GB"/>
        </w:rPr>
      </w:pPr>
    </w:p>
    <w:p w14:paraId="6AF8CB5C" w14:textId="659E6674" w:rsidR="00416626" w:rsidRDefault="00416626" w:rsidP="00416626">
      <w:pPr>
        <w:rPr>
          <w:lang w:val="en-GB"/>
        </w:rPr>
      </w:pPr>
    </w:p>
    <w:p w14:paraId="08CD6ED9" w14:textId="21B42C9E" w:rsidR="00416626" w:rsidRPr="00416626" w:rsidRDefault="00416626" w:rsidP="00416626">
      <w:pPr>
        <w:spacing w:line="276" w:lineRule="auto"/>
        <w:rPr>
          <w:sz w:val="24"/>
          <w:lang w:val="en-GB"/>
        </w:rPr>
      </w:pPr>
      <w:r w:rsidRPr="00416626">
        <w:rPr>
          <w:sz w:val="24"/>
          <w:lang w:val="en-GB"/>
        </w:rPr>
        <w:t xml:space="preserve">References </w:t>
      </w:r>
    </w:p>
    <w:p w14:paraId="608F2803" w14:textId="01044045" w:rsidR="00416626" w:rsidRPr="00416626" w:rsidRDefault="00416626" w:rsidP="00416626">
      <w:pPr>
        <w:spacing w:line="276" w:lineRule="auto"/>
        <w:rPr>
          <w:sz w:val="24"/>
          <w:lang w:val="en-GB"/>
        </w:rPr>
      </w:pPr>
      <w:r w:rsidRPr="00416626">
        <w:rPr>
          <w:sz w:val="24"/>
          <w:lang w:val="en-GB"/>
        </w:rPr>
        <w:fldChar w:fldCharType="begin" w:fldLock="1"/>
      </w:r>
      <w:r w:rsidRPr="00416626">
        <w:rPr>
          <w:sz w:val="24"/>
          <w:lang w:val="en-GB"/>
        </w:rPr>
        <w:instrText xml:space="preserve">ADDIN Mendeley Bibliography CSL_BIBLIOGRAPHY </w:instrText>
      </w:r>
      <w:r w:rsidRPr="00416626">
        <w:rPr>
          <w:sz w:val="24"/>
          <w:lang w:val="en-GB"/>
        </w:rPr>
        <w:fldChar w:fldCharType="separate"/>
      </w:r>
      <w:r w:rsidRPr="00416626">
        <w:rPr>
          <w:sz w:val="24"/>
          <w:lang w:val="en-GB"/>
        </w:rPr>
        <w:t xml:space="preserve">1. </w:t>
      </w:r>
      <w:r w:rsidRPr="00416626">
        <w:rPr>
          <w:sz w:val="24"/>
          <w:lang w:val="en-GB"/>
        </w:rPr>
        <w:tab/>
        <w:t>Mateos P, Longley PA, O’Sullivan D. Ethnicity and Population Structure in Personal Naming Networks. O’Rourke D, editor. PLoS One. 2011;6: e22943. doi:10.1371/journal.pone.0022943</w:t>
      </w:r>
    </w:p>
    <w:p w14:paraId="6EFED381" w14:textId="77777777" w:rsidR="00416626" w:rsidRPr="00416626" w:rsidRDefault="00416626" w:rsidP="00416626">
      <w:pPr>
        <w:spacing w:line="276" w:lineRule="auto"/>
        <w:rPr>
          <w:sz w:val="24"/>
          <w:lang w:val="en-GB"/>
        </w:rPr>
      </w:pPr>
      <w:r w:rsidRPr="00416626">
        <w:rPr>
          <w:sz w:val="24"/>
          <w:lang w:val="en-GB"/>
        </w:rPr>
        <w:t xml:space="preserve">2. </w:t>
      </w:r>
      <w:r w:rsidRPr="00416626">
        <w:rPr>
          <w:sz w:val="24"/>
          <w:lang w:val="en-GB"/>
        </w:rPr>
        <w:tab/>
        <w:t>Lakha F, Gorman DR, Mateos P. Name analysis to classify populations by ethnicity in public health: Validation of Onomap in Scotland. Public Health. 2011;125: 688–696. doi:10.1016/J.PUHE.2011.05.003</w:t>
      </w:r>
    </w:p>
    <w:p w14:paraId="23CDE802" w14:textId="4104E297" w:rsidR="00AF3F14" w:rsidRDefault="00416626" w:rsidP="00416626">
      <w:pPr>
        <w:spacing w:line="276" w:lineRule="auto"/>
      </w:pPr>
      <w:r w:rsidRPr="00416626">
        <w:rPr>
          <w:sz w:val="24"/>
          <w:lang w:val="en-GB"/>
        </w:rPr>
        <w:fldChar w:fldCharType="end"/>
      </w:r>
    </w:p>
    <w:sectPr w:rsidR="00AF3F14" w:rsidSect="00A046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A569" w14:textId="77777777" w:rsidR="000D2838" w:rsidRDefault="000D2838" w:rsidP="00A04EBF">
      <w:r>
        <w:separator/>
      </w:r>
    </w:p>
  </w:endnote>
  <w:endnote w:type="continuationSeparator" w:id="0">
    <w:p w14:paraId="319E3E0C" w14:textId="77777777" w:rsidR="000D2838" w:rsidRDefault="000D2838" w:rsidP="00A0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A25C" w14:textId="77777777" w:rsidR="000D2838" w:rsidRDefault="000D2838" w:rsidP="00A04EBF">
      <w:r>
        <w:separator/>
      </w:r>
    </w:p>
  </w:footnote>
  <w:footnote w:type="continuationSeparator" w:id="0">
    <w:p w14:paraId="3417185B" w14:textId="77777777" w:rsidR="000D2838" w:rsidRDefault="000D2838" w:rsidP="00A0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D5"/>
    <w:multiLevelType w:val="multilevel"/>
    <w:tmpl w:val="9044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A3D6D"/>
    <w:multiLevelType w:val="multilevel"/>
    <w:tmpl w:val="7B2477DA"/>
    <w:lvl w:ilvl="0">
      <w:start w:val="3"/>
      <w:numFmt w:val="decimal"/>
      <w:pStyle w:val="Heading1"/>
      <w:lvlText w:val="%1"/>
      <w:lvlJc w:val="left"/>
      <w:pPr>
        <w:ind w:left="432" w:hanging="432"/>
      </w:pPr>
      <w:rPr>
        <w:rFonts w:ascii="Times New Roman" w:hAnsi="Times New Roman" w:hint="default"/>
        <w:b/>
        <w:i w:val="0"/>
        <w:sz w:val="36"/>
      </w:rPr>
    </w:lvl>
    <w:lvl w:ilvl="1">
      <w:start w:val="1"/>
      <w:numFmt w:val="decimal"/>
      <w:pStyle w:val="Heading2"/>
      <w:lvlText w:val="%1.%2"/>
      <w:lvlJc w:val="left"/>
      <w:pPr>
        <w:ind w:left="576" w:hanging="576"/>
      </w:pPr>
      <w:rPr>
        <w:rFonts w:hint="default"/>
        <w:b/>
        <w:i w:val="0"/>
        <w:sz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30A5DC7"/>
    <w:multiLevelType w:val="multilevel"/>
    <w:tmpl w:val="D25CC7A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4"/>
    <w:rsid w:val="00096707"/>
    <w:rsid w:val="000D2838"/>
    <w:rsid w:val="00216D33"/>
    <w:rsid w:val="003714BF"/>
    <w:rsid w:val="00415881"/>
    <w:rsid w:val="00416626"/>
    <w:rsid w:val="00453218"/>
    <w:rsid w:val="004E2BB9"/>
    <w:rsid w:val="00516176"/>
    <w:rsid w:val="005F18BA"/>
    <w:rsid w:val="00A046E8"/>
    <w:rsid w:val="00A04EBF"/>
    <w:rsid w:val="00A52022"/>
    <w:rsid w:val="00A6040A"/>
    <w:rsid w:val="00AC1917"/>
    <w:rsid w:val="00AF3F14"/>
    <w:rsid w:val="00B97176"/>
    <w:rsid w:val="00C970C8"/>
    <w:rsid w:val="00CB6161"/>
    <w:rsid w:val="00D74985"/>
    <w:rsid w:val="00E13B6B"/>
    <w:rsid w:val="00EE4A1A"/>
    <w:rsid w:val="00F326D0"/>
    <w:rsid w:val="00FD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7A8D"/>
  <w15:chartTrackingRefBased/>
  <w15:docId w15:val="{C94AA96B-A161-7344-BEF1-DEA3B11B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14"/>
    <w:rPr>
      <w:rFonts w:ascii="Times New Roman" w:eastAsiaTheme="minorEastAsia" w:hAnsi="Times New Roman" w:cs="Times New Roman"/>
      <w:sz w:val="18"/>
      <w:szCs w:val="18"/>
      <w:lang w:val="en-US"/>
    </w:rPr>
  </w:style>
  <w:style w:type="paragraph" w:styleId="Heading1">
    <w:name w:val="heading 1"/>
    <w:basedOn w:val="Normal"/>
    <w:next w:val="Normal"/>
    <w:link w:val="Heading1Char"/>
    <w:uiPriority w:val="9"/>
    <w:qFormat/>
    <w:rsid w:val="00AF3F14"/>
    <w:pPr>
      <w:keepNext/>
      <w:keepLines/>
      <w:numPr>
        <w:numId w:val="1"/>
      </w:numPr>
      <w:spacing w:before="240" w:line="48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F3F14"/>
    <w:pPr>
      <w:keepNext/>
      <w:keepLines/>
      <w:numPr>
        <w:ilvl w:val="1"/>
        <w:numId w:val="1"/>
      </w:numPr>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F3F1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3F1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F3F1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3F1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3F1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3F1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F1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14"/>
    <w:rPr>
      <w:rFonts w:ascii="Times New Roman" w:eastAsiaTheme="majorEastAsia" w:hAnsi="Times New Roman" w:cstheme="majorBidi"/>
      <w:b/>
      <w:color w:val="000000" w:themeColor="text1"/>
      <w:sz w:val="36"/>
      <w:szCs w:val="32"/>
      <w:lang w:val="en-US"/>
    </w:rPr>
  </w:style>
  <w:style w:type="character" w:customStyle="1" w:styleId="Heading2Char">
    <w:name w:val="Heading 2 Char"/>
    <w:basedOn w:val="DefaultParagraphFont"/>
    <w:link w:val="Heading2"/>
    <w:uiPriority w:val="9"/>
    <w:rsid w:val="00AF3F14"/>
    <w:rPr>
      <w:rFonts w:ascii="Times New Roman" w:eastAsiaTheme="majorEastAsia" w:hAnsi="Times New Roman" w:cstheme="majorBidi"/>
      <w:b/>
      <w:sz w:val="28"/>
      <w:szCs w:val="26"/>
      <w:lang w:val="en-US"/>
    </w:rPr>
  </w:style>
  <w:style w:type="character" w:customStyle="1" w:styleId="Heading3Char">
    <w:name w:val="Heading 3 Char"/>
    <w:basedOn w:val="DefaultParagraphFont"/>
    <w:link w:val="Heading3"/>
    <w:uiPriority w:val="9"/>
    <w:rsid w:val="00AF3F14"/>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AF3F14"/>
    <w:rPr>
      <w:rFonts w:asciiTheme="majorHAnsi" w:eastAsiaTheme="majorEastAsia" w:hAnsiTheme="majorHAnsi" w:cstheme="majorBidi"/>
      <w:i/>
      <w:iCs/>
      <w:color w:val="2F5496" w:themeColor="accent1" w:themeShade="BF"/>
      <w:sz w:val="18"/>
      <w:szCs w:val="18"/>
      <w:lang w:val="en-US"/>
    </w:rPr>
  </w:style>
  <w:style w:type="character" w:customStyle="1" w:styleId="Heading5Char">
    <w:name w:val="Heading 5 Char"/>
    <w:basedOn w:val="DefaultParagraphFont"/>
    <w:link w:val="Heading5"/>
    <w:uiPriority w:val="9"/>
    <w:rsid w:val="00AF3F14"/>
    <w:rPr>
      <w:rFonts w:asciiTheme="majorHAnsi" w:eastAsiaTheme="majorEastAsia" w:hAnsiTheme="majorHAnsi" w:cstheme="majorBidi"/>
      <w:color w:val="2F5496" w:themeColor="accent1" w:themeShade="BF"/>
      <w:sz w:val="18"/>
      <w:szCs w:val="18"/>
      <w:lang w:val="en-US"/>
    </w:rPr>
  </w:style>
  <w:style w:type="character" w:customStyle="1" w:styleId="Heading6Char">
    <w:name w:val="Heading 6 Char"/>
    <w:basedOn w:val="DefaultParagraphFont"/>
    <w:link w:val="Heading6"/>
    <w:uiPriority w:val="9"/>
    <w:semiHidden/>
    <w:rsid w:val="00AF3F14"/>
    <w:rPr>
      <w:rFonts w:asciiTheme="majorHAnsi" w:eastAsiaTheme="majorEastAsia" w:hAnsiTheme="majorHAnsi" w:cstheme="majorBidi"/>
      <w:color w:val="1F3763" w:themeColor="accent1" w:themeShade="7F"/>
      <w:sz w:val="18"/>
      <w:szCs w:val="18"/>
      <w:lang w:val="en-US"/>
    </w:rPr>
  </w:style>
  <w:style w:type="character" w:customStyle="1" w:styleId="Heading7Char">
    <w:name w:val="Heading 7 Char"/>
    <w:basedOn w:val="DefaultParagraphFont"/>
    <w:link w:val="Heading7"/>
    <w:uiPriority w:val="9"/>
    <w:semiHidden/>
    <w:rsid w:val="00AF3F14"/>
    <w:rPr>
      <w:rFonts w:asciiTheme="majorHAnsi" w:eastAsiaTheme="majorEastAsia" w:hAnsiTheme="majorHAnsi" w:cstheme="majorBidi"/>
      <w:i/>
      <w:iCs/>
      <w:color w:val="1F3763" w:themeColor="accent1" w:themeShade="7F"/>
      <w:sz w:val="18"/>
      <w:szCs w:val="18"/>
      <w:lang w:val="en-US"/>
    </w:rPr>
  </w:style>
  <w:style w:type="character" w:customStyle="1" w:styleId="Heading8Char">
    <w:name w:val="Heading 8 Char"/>
    <w:basedOn w:val="DefaultParagraphFont"/>
    <w:link w:val="Heading8"/>
    <w:uiPriority w:val="9"/>
    <w:semiHidden/>
    <w:rsid w:val="00AF3F1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F3F14"/>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unhideWhenUsed/>
    <w:qFormat/>
    <w:rsid w:val="00AF3F14"/>
    <w:pPr>
      <w:spacing w:after="200"/>
    </w:pPr>
    <w:rPr>
      <w:i/>
      <w:iCs/>
      <w:color w:val="44546A" w:themeColor="text2"/>
    </w:rPr>
  </w:style>
  <w:style w:type="paragraph" w:customStyle="1" w:styleId="Normal1">
    <w:name w:val="Normal1"/>
    <w:rsid w:val="00416626"/>
    <w:pPr>
      <w:spacing w:line="276" w:lineRule="auto"/>
    </w:pPr>
    <w:rPr>
      <w:rFonts w:ascii="Arial" w:eastAsia="Arial" w:hAnsi="Arial" w:cs="Arial"/>
      <w:sz w:val="22"/>
      <w:szCs w:val="22"/>
      <w:lang w:val="en"/>
    </w:rPr>
  </w:style>
  <w:style w:type="paragraph" w:customStyle="1" w:styleId="Appendixsection">
    <w:name w:val="Appendix section"/>
    <w:basedOn w:val="Heading2"/>
    <w:qFormat/>
    <w:rsid w:val="00416626"/>
    <w:pPr>
      <w:numPr>
        <w:ilvl w:val="0"/>
        <w:numId w:val="0"/>
      </w:numPr>
      <w:spacing w:line="240" w:lineRule="auto"/>
    </w:pPr>
    <w:rPr>
      <w:rFonts w:asciiTheme="majorHAnsi" w:hAnsiTheme="majorHAnsi"/>
      <w:b w:val="0"/>
      <w:color w:val="2F5496" w:themeColor="accent1" w:themeShade="BF"/>
      <w:sz w:val="26"/>
    </w:rPr>
  </w:style>
  <w:style w:type="paragraph" w:styleId="Header">
    <w:name w:val="header"/>
    <w:basedOn w:val="Normal"/>
    <w:link w:val="HeaderChar"/>
    <w:uiPriority w:val="99"/>
    <w:unhideWhenUsed/>
    <w:rsid w:val="00A04EBF"/>
    <w:pPr>
      <w:tabs>
        <w:tab w:val="center" w:pos="4680"/>
        <w:tab w:val="right" w:pos="9360"/>
      </w:tabs>
    </w:pPr>
  </w:style>
  <w:style w:type="character" w:customStyle="1" w:styleId="HeaderChar">
    <w:name w:val="Header Char"/>
    <w:basedOn w:val="DefaultParagraphFont"/>
    <w:link w:val="Header"/>
    <w:uiPriority w:val="99"/>
    <w:rsid w:val="00A04EBF"/>
    <w:rPr>
      <w:rFonts w:ascii="Times New Roman" w:eastAsiaTheme="minorEastAsia" w:hAnsi="Times New Roman" w:cs="Times New Roman"/>
      <w:sz w:val="18"/>
      <w:szCs w:val="18"/>
      <w:lang w:val="en-US"/>
    </w:rPr>
  </w:style>
  <w:style w:type="paragraph" w:styleId="Footer">
    <w:name w:val="footer"/>
    <w:basedOn w:val="Normal"/>
    <w:link w:val="FooterChar"/>
    <w:uiPriority w:val="99"/>
    <w:unhideWhenUsed/>
    <w:rsid w:val="00A04EBF"/>
    <w:pPr>
      <w:tabs>
        <w:tab w:val="center" w:pos="4680"/>
        <w:tab w:val="right" w:pos="9360"/>
      </w:tabs>
    </w:pPr>
  </w:style>
  <w:style w:type="character" w:customStyle="1" w:styleId="FooterChar">
    <w:name w:val="Footer Char"/>
    <w:basedOn w:val="DefaultParagraphFont"/>
    <w:link w:val="Footer"/>
    <w:uiPriority w:val="99"/>
    <w:rsid w:val="00A04EBF"/>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239D-04A5-FC45-96C0-6C29BE21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Munday</dc:creator>
  <cp:keywords/>
  <dc:description/>
  <cp:lastModifiedBy>James Munday</cp:lastModifiedBy>
  <cp:revision>8</cp:revision>
  <dcterms:created xsi:type="dcterms:W3CDTF">2021-03-18T16:13:00Z</dcterms:created>
  <dcterms:modified xsi:type="dcterms:W3CDTF">2021-11-15T15:50:00Z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https://csl.mendeley.com/styles/459866631/EpidemiologyAndInfection</vt:lpwstr>
  </property>
  <property fmtid="{D5CDD505-2E9C-101B-9397-08002B2CF9AE}" pid="13" name="Mendeley Recent Style Name 5_1">
    <vt:lpwstr>Epidemiology and Infection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6f0d5def-eebf-38dc-a39b-6394821280ef</vt:lpwstr>
  </property>
  <property fmtid="{D5CDD505-2E9C-101B-9397-08002B2CF9AE}" pid="24" name="Mendeley Citation Style_1">
    <vt:lpwstr>http://www.zotero.org/styles/plos-one</vt:lpwstr>
  </property>
</Properties>
</file>