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C1AC6" w14:textId="7B3849A9" w:rsidR="00F722CC" w:rsidRPr="002C29EF" w:rsidRDefault="00464D19" w:rsidP="005D3D9F">
      <w:pPr>
        <w:rPr>
          <w:b/>
          <w:bCs/>
        </w:rPr>
      </w:pPr>
      <w:r w:rsidRPr="002C29EF">
        <w:rPr>
          <w:b/>
          <w:bCs/>
        </w:rPr>
        <w:t xml:space="preserve">Appendix </w:t>
      </w:r>
      <w:r w:rsidR="003E7C64">
        <w:rPr>
          <w:b/>
          <w:bCs/>
        </w:rPr>
        <w:t>S</w:t>
      </w:r>
      <w:bookmarkStart w:id="0" w:name="_GoBack"/>
      <w:bookmarkEnd w:id="0"/>
      <w:r w:rsidRPr="002C29EF">
        <w:rPr>
          <w:b/>
          <w:bCs/>
        </w:rPr>
        <w:t xml:space="preserve">2: </w:t>
      </w:r>
    </w:p>
    <w:p w14:paraId="45D6FB7A" w14:textId="77777777" w:rsidR="00F722CC" w:rsidRDefault="00F722CC" w:rsidP="005D3D9F"/>
    <w:p w14:paraId="67011E22" w14:textId="77777777" w:rsidR="00F722CC" w:rsidRDefault="00F722CC" w:rsidP="005D3D9F"/>
    <w:p w14:paraId="62828008" w14:textId="0042ADF8" w:rsidR="00464D19" w:rsidRPr="00F722CC" w:rsidRDefault="00F722CC" w:rsidP="005D3D9F">
      <w:pPr>
        <w:rPr>
          <w:b/>
          <w:bCs/>
        </w:rPr>
      </w:pPr>
      <w:r w:rsidRPr="00F722CC">
        <w:rPr>
          <w:b/>
          <w:bCs/>
        </w:rPr>
        <w:t xml:space="preserve">Table </w:t>
      </w:r>
      <w:r w:rsidR="007C3135">
        <w:rPr>
          <w:b/>
          <w:bCs/>
        </w:rPr>
        <w:t>A1</w:t>
      </w:r>
      <w:r w:rsidRPr="00F722CC">
        <w:rPr>
          <w:b/>
          <w:bCs/>
        </w:rPr>
        <w:t xml:space="preserve">: </w:t>
      </w:r>
      <w:r w:rsidR="0067023D">
        <w:rPr>
          <w:b/>
          <w:bCs/>
        </w:rPr>
        <w:t>R</w:t>
      </w:r>
      <w:r w:rsidR="00464D19" w:rsidRPr="00F722CC">
        <w:rPr>
          <w:b/>
          <w:bCs/>
        </w:rPr>
        <w:t>egression model with the stagnant assumption: March 2020 to February 2021</w:t>
      </w:r>
    </w:p>
    <w:tbl>
      <w:tblPr>
        <w:tblStyle w:val="TableGrid"/>
        <w:tblpPr w:leftFromText="180" w:rightFromText="180" w:vertAnchor="text" w:horzAnchor="margin" w:tblpY="69"/>
        <w:tblW w:w="9625" w:type="dxa"/>
        <w:tblLook w:val="04A0" w:firstRow="1" w:lastRow="0" w:firstColumn="1" w:lastColumn="0" w:noHBand="0" w:noVBand="1"/>
      </w:tblPr>
      <w:tblGrid>
        <w:gridCol w:w="2761"/>
        <w:gridCol w:w="1092"/>
        <w:gridCol w:w="1704"/>
        <w:gridCol w:w="830"/>
        <w:gridCol w:w="1349"/>
        <w:gridCol w:w="955"/>
        <w:gridCol w:w="934"/>
      </w:tblGrid>
      <w:tr w:rsidR="00464D19" w:rsidRPr="00686167" w14:paraId="281994A8" w14:textId="77777777" w:rsidTr="00464D19">
        <w:tc>
          <w:tcPr>
            <w:tcW w:w="2761" w:type="dxa"/>
            <w:shd w:val="clear" w:color="auto" w:fill="auto"/>
          </w:tcPr>
          <w:p w14:paraId="4E2ACB4E" w14:textId="77777777" w:rsidR="00464D19" w:rsidRPr="000D78FB" w:rsidRDefault="00464D19" w:rsidP="00464D19">
            <w:pPr>
              <w:rPr>
                <w:rFonts w:cstheme="minorHAnsi"/>
                <w:b/>
                <w:bCs/>
                <w:sz w:val="22"/>
                <w:szCs w:val="22"/>
              </w:rPr>
            </w:pPr>
            <w:r>
              <w:rPr>
                <w:rFonts w:cstheme="minorHAnsi"/>
                <w:b/>
                <w:bCs/>
                <w:sz w:val="22"/>
                <w:szCs w:val="22"/>
              </w:rPr>
              <w:t>Covariate</w:t>
            </w:r>
          </w:p>
        </w:tc>
        <w:tc>
          <w:tcPr>
            <w:tcW w:w="1092" w:type="dxa"/>
            <w:shd w:val="clear" w:color="auto" w:fill="auto"/>
          </w:tcPr>
          <w:p w14:paraId="5AC65457" w14:textId="77777777" w:rsidR="00464D19" w:rsidRDefault="00464D19" w:rsidP="00464D19">
            <w:pPr>
              <w:jc w:val="right"/>
              <w:rPr>
                <w:rFonts w:cstheme="minorHAnsi"/>
                <w:b/>
                <w:bCs/>
                <w:sz w:val="22"/>
                <w:szCs w:val="22"/>
              </w:rPr>
            </w:pPr>
            <w:r>
              <w:rPr>
                <w:rFonts w:cstheme="minorHAnsi"/>
                <w:b/>
                <w:bCs/>
                <w:sz w:val="22"/>
                <w:szCs w:val="22"/>
              </w:rPr>
              <w:t>Mean</w:t>
            </w:r>
          </w:p>
        </w:tc>
        <w:tc>
          <w:tcPr>
            <w:tcW w:w="1704" w:type="dxa"/>
            <w:shd w:val="clear" w:color="auto" w:fill="auto"/>
          </w:tcPr>
          <w:p w14:paraId="059E61C1" w14:textId="77777777" w:rsidR="00464D19" w:rsidRDefault="00464D19" w:rsidP="00464D19">
            <w:pPr>
              <w:jc w:val="right"/>
              <w:rPr>
                <w:rFonts w:cstheme="minorHAnsi"/>
                <w:b/>
                <w:bCs/>
                <w:sz w:val="22"/>
                <w:szCs w:val="22"/>
              </w:rPr>
            </w:pPr>
            <w:r>
              <w:rPr>
                <w:rFonts w:cstheme="minorHAnsi"/>
                <w:b/>
                <w:bCs/>
                <w:sz w:val="22"/>
                <w:szCs w:val="22"/>
              </w:rPr>
              <w:t>Min, Max</w:t>
            </w:r>
          </w:p>
        </w:tc>
        <w:tc>
          <w:tcPr>
            <w:tcW w:w="830" w:type="dxa"/>
            <w:shd w:val="clear" w:color="auto" w:fill="auto"/>
          </w:tcPr>
          <w:p w14:paraId="2818DBEB" w14:textId="77777777" w:rsidR="00464D19" w:rsidRDefault="00464D19" w:rsidP="00464D19">
            <w:pPr>
              <w:jc w:val="right"/>
              <w:rPr>
                <w:rFonts w:cstheme="minorHAnsi"/>
                <w:b/>
                <w:bCs/>
                <w:sz w:val="22"/>
                <w:szCs w:val="22"/>
              </w:rPr>
            </w:pPr>
            <w:r>
              <w:rPr>
                <w:rFonts w:cstheme="minorHAnsi"/>
                <w:b/>
                <w:bCs/>
                <w:sz w:val="22"/>
                <w:szCs w:val="22"/>
              </w:rPr>
              <w:t>SD</w:t>
            </w:r>
          </w:p>
        </w:tc>
        <w:tc>
          <w:tcPr>
            <w:tcW w:w="1349" w:type="dxa"/>
            <w:shd w:val="clear" w:color="auto" w:fill="auto"/>
          </w:tcPr>
          <w:p w14:paraId="5CB97FB1" w14:textId="77777777" w:rsidR="00464D19" w:rsidRPr="000D78FB" w:rsidRDefault="00464D19" w:rsidP="00464D19">
            <w:pPr>
              <w:jc w:val="right"/>
              <w:rPr>
                <w:rFonts w:cstheme="minorHAnsi"/>
                <w:b/>
                <w:bCs/>
                <w:sz w:val="22"/>
                <w:szCs w:val="22"/>
              </w:rPr>
            </w:pPr>
            <w:r>
              <w:rPr>
                <w:rFonts w:cstheme="minorHAnsi"/>
                <w:b/>
                <w:bCs/>
                <w:sz w:val="22"/>
                <w:szCs w:val="22"/>
              </w:rPr>
              <w:t>Coefficient</w:t>
            </w:r>
          </w:p>
        </w:tc>
        <w:tc>
          <w:tcPr>
            <w:tcW w:w="955" w:type="dxa"/>
            <w:shd w:val="clear" w:color="auto" w:fill="auto"/>
          </w:tcPr>
          <w:p w14:paraId="5364816A" w14:textId="77777777" w:rsidR="00464D19" w:rsidRPr="000D78FB" w:rsidRDefault="00464D19" w:rsidP="00464D19">
            <w:pPr>
              <w:jc w:val="right"/>
              <w:rPr>
                <w:rFonts w:cstheme="minorHAnsi"/>
                <w:b/>
                <w:bCs/>
                <w:sz w:val="22"/>
                <w:szCs w:val="22"/>
              </w:rPr>
            </w:pPr>
            <w:r>
              <w:rPr>
                <w:rFonts w:cstheme="minorHAnsi"/>
                <w:b/>
                <w:bCs/>
                <w:sz w:val="22"/>
                <w:szCs w:val="22"/>
              </w:rPr>
              <w:t>P value</w:t>
            </w:r>
          </w:p>
        </w:tc>
        <w:tc>
          <w:tcPr>
            <w:tcW w:w="934" w:type="dxa"/>
            <w:shd w:val="clear" w:color="auto" w:fill="auto"/>
          </w:tcPr>
          <w:p w14:paraId="51C5B0B9" w14:textId="77777777" w:rsidR="00464D19" w:rsidRPr="000D78FB" w:rsidRDefault="00464D19" w:rsidP="00464D19">
            <w:pPr>
              <w:jc w:val="right"/>
              <w:rPr>
                <w:rFonts w:cstheme="minorHAnsi"/>
                <w:b/>
                <w:bCs/>
                <w:sz w:val="22"/>
                <w:szCs w:val="22"/>
              </w:rPr>
            </w:pPr>
            <w:r>
              <w:rPr>
                <w:rFonts w:cstheme="minorHAnsi"/>
                <w:b/>
                <w:bCs/>
                <w:sz w:val="22"/>
                <w:szCs w:val="22"/>
              </w:rPr>
              <w:t>Shapley % R2</w:t>
            </w:r>
          </w:p>
        </w:tc>
      </w:tr>
      <w:tr w:rsidR="00464D19" w:rsidRPr="00686167" w14:paraId="0D1B418A" w14:textId="77777777" w:rsidTr="00464D19">
        <w:tc>
          <w:tcPr>
            <w:tcW w:w="2761" w:type="dxa"/>
            <w:vAlign w:val="bottom"/>
          </w:tcPr>
          <w:p w14:paraId="7868B6A3" w14:textId="77777777" w:rsidR="00464D19" w:rsidRPr="000D78FB" w:rsidRDefault="00464D19" w:rsidP="00464D19">
            <w:pPr>
              <w:rPr>
                <w:rFonts w:cstheme="minorHAnsi"/>
                <w:sz w:val="22"/>
                <w:szCs w:val="22"/>
              </w:rPr>
            </w:pPr>
            <w:r>
              <w:rPr>
                <w:rFonts w:cstheme="minorHAnsi"/>
                <w:color w:val="000000"/>
                <w:sz w:val="22"/>
                <w:szCs w:val="22"/>
              </w:rPr>
              <w:t>Mask use</w:t>
            </w:r>
          </w:p>
        </w:tc>
        <w:tc>
          <w:tcPr>
            <w:tcW w:w="1092" w:type="dxa"/>
            <w:vAlign w:val="bottom"/>
          </w:tcPr>
          <w:p w14:paraId="6433819A" w14:textId="1BB22C25" w:rsidR="00464D19" w:rsidRDefault="00464D19" w:rsidP="00464D19">
            <w:pPr>
              <w:jc w:val="center"/>
              <w:rPr>
                <w:rFonts w:cstheme="minorHAnsi"/>
                <w:sz w:val="22"/>
                <w:szCs w:val="22"/>
              </w:rPr>
            </w:pPr>
            <w:r>
              <w:rPr>
                <w:rFonts w:cstheme="minorHAnsi"/>
                <w:sz w:val="22"/>
                <w:szCs w:val="22"/>
              </w:rPr>
              <w:t>0.586</w:t>
            </w:r>
          </w:p>
        </w:tc>
        <w:tc>
          <w:tcPr>
            <w:tcW w:w="1704" w:type="dxa"/>
            <w:vAlign w:val="bottom"/>
          </w:tcPr>
          <w:p w14:paraId="26FFCA7D" w14:textId="1DE4690C" w:rsidR="00464D19" w:rsidRDefault="00464D19" w:rsidP="00464D19">
            <w:pPr>
              <w:jc w:val="center"/>
              <w:rPr>
                <w:rFonts w:cstheme="minorHAnsi"/>
                <w:sz w:val="22"/>
                <w:szCs w:val="22"/>
              </w:rPr>
            </w:pPr>
            <w:r>
              <w:rPr>
                <w:rFonts w:cstheme="minorHAnsi"/>
                <w:sz w:val="22"/>
                <w:szCs w:val="22"/>
              </w:rPr>
              <w:t>0.000, 0.831</w:t>
            </w:r>
          </w:p>
        </w:tc>
        <w:tc>
          <w:tcPr>
            <w:tcW w:w="830" w:type="dxa"/>
            <w:vAlign w:val="bottom"/>
          </w:tcPr>
          <w:p w14:paraId="3E07D336" w14:textId="06B93C55" w:rsidR="00464D19" w:rsidRDefault="00464D19" w:rsidP="00464D19">
            <w:pPr>
              <w:jc w:val="center"/>
              <w:rPr>
                <w:rFonts w:cstheme="minorHAnsi"/>
                <w:sz w:val="22"/>
                <w:szCs w:val="22"/>
              </w:rPr>
            </w:pPr>
            <w:r>
              <w:rPr>
                <w:rFonts w:cstheme="minorHAnsi"/>
                <w:sz w:val="22"/>
                <w:szCs w:val="22"/>
              </w:rPr>
              <w:t>0.210</w:t>
            </w:r>
          </w:p>
        </w:tc>
        <w:tc>
          <w:tcPr>
            <w:tcW w:w="1349" w:type="dxa"/>
            <w:vAlign w:val="bottom"/>
          </w:tcPr>
          <w:p w14:paraId="4D3E8221" w14:textId="5719C376" w:rsidR="00464D19" w:rsidRPr="000D78FB" w:rsidRDefault="00464D19" w:rsidP="00464D19">
            <w:pPr>
              <w:jc w:val="center"/>
              <w:rPr>
                <w:rFonts w:cstheme="minorHAnsi"/>
                <w:sz w:val="22"/>
                <w:szCs w:val="22"/>
              </w:rPr>
            </w:pPr>
            <w:r>
              <w:rPr>
                <w:rFonts w:cstheme="minorHAnsi"/>
                <w:sz w:val="22"/>
                <w:szCs w:val="22"/>
              </w:rPr>
              <w:t>0.</w:t>
            </w:r>
            <w:r w:rsidR="009D548C">
              <w:rPr>
                <w:rFonts w:cstheme="minorHAnsi"/>
                <w:sz w:val="22"/>
                <w:szCs w:val="22"/>
              </w:rPr>
              <w:t>384</w:t>
            </w:r>
          </w:p>
        </w:tc>
        <w:tc>
          <w:tcPr>
            <w:tcW w:w="955" w:type="dxa"/>
            <w:vAlign w:val="bottom"/>
          </w:tcPr>
          <w:p w14:paraId="7212F8B6" w14:textId="6F3CE02B" w:rsidR="00464D19" w:rsidRPr="000D78FB" w:rsidRDefault="00464D19" w:rsidP="00464D19">
            <w:pPr>
              <w:jc w:val="center"/>
              <w:rPr>
                <w:rFonts w:cstheme="minorHAnsi"/>
                <w:sz w:val="22"/>
                <w:szCs w:val="22"/>
              </w:rPr>
            </w:pPr>
            <w:r>
              <w:rPr>
                <w:rFonts w:cstheme="minorHAnsi"/>
                <w:color w:val="000000"/>
                <w:sz w:val="22"/>
                <w:szCs w:val="22"/>
              </w:rPr>
              <w:t>0.</w:t>
            </w:r>
            <w:r w:rsidR="002C29EF">
              <w:rPr>
                <w:rFonts w:cstheme="minorHAnsi"/>
                <w:color w:val="000000"/>
                <w:sz w:val="22"/>
                <w:szCs w:val="22"/>
              </w:rPr>
              <w:t>272</w:t>
            </w:r>
          </w:p>
        </w:tc>
        <w:tc>
          <w:tcPr>
            <w:tcW w:w="934" w:type="dxa"/>
            <w:vAlign w:val="bottom"/>
          </w:tcPr>
          <w:p w14:paraId="5CDC5E51" w14:textId="49797319" w:rsidR="00464D19" w:rsidRPr="000D78FB" w:rsidRDefault="009D548C" w:rsidP="00464D19">
            <w:pPr>
              <w:jc w:val="center"/>
              <w:rPr>
                <w:rFonts w:cstheme="minorHAnsi"/>
                <w:sz w:val="22"/>
                <w:szCs w:val="22"/>
              </w:rPr>
            </w:pPr>
            <w:r>
              <w:rPr>
                <w:rFonts w:cstheme="minorHAnsi"/>
                <w:color w:val="000000"/>
                <w:sz w:val="22"/>
                <w:szCs w:val="22"/>
              </w:rPr>
              <w:t>0.78</w:t>
            </w:r>
            <w:r w:rsidR="00464D19">
              <w:rPr>
                <w:rFonts w:cstheme="minorHAnsi"/>
                <w:color w:val="000000"/>
                <w:sz w:val="22"/>
                <w:szCs w:val="22"/>
              </w:rPr>
              <w:t>%</w:t>
            </w:r>
          </w:p>
        </w:tc>
      </w:tr>
      <w:tr w:rsidR="00464D19" w:rsidRPr="00686167" w14:paraId="031ED863" w14:textId="77777777" w:rsidTr="00464D19">
        <w:tc>
          <w:tcPr>
            <w:tcW w:w="2761" w:type="dxa"/>
            <w:vAlign w:val="bottom"/>
          </w:tcPr>
          <w:p w14:paraId="69AE0520" w14:textId="77777777" w:rsidR="00464D19" w:rsidRPr="000D78FB" w:rsidRDefault="00464D19" w:rsidP="00464D19">
            <w:pPr>
              <w:rPr>
                <w:rFonts w:cstheme="minorHAnsi"/>
                <w:sz w:val="22"/>
                <w:szCs w:val="22"/>
              </w:rPr>
            </w:pPr>
            <w:r>
              <w:rPr>
                <w:rFonts w:cstheme="minorHAnsi"/>
                <w:color w:val="000000"/>
                <w:sz w:val="22"/>
                <w:szCs w:val="22"/>
              </w:rPr>
              <w:t>Mobility</w:t>
            </w:r>
          </w:p>
        </w:tc>
        <w:tc>
          <w:tcPr>
            <w:tcW w:w="1092" w:type="dxa"/>
            <w:vAlign w:val="bottom"/>
          </w:tcPr>
          <w:p w14:paraId="54078D17" w14:textId="6580E2B1" w:rsidR="00464D19" w:rsidRDefault="00464D19" w:rsidP="00464D19">
            <w:pPr>
              <w:jc w:val="center"/>
              <w:rPr>
                <w:rFonts w:cstheme="minorHAnsi"/>
                <w:color w:val="000000"/>
                <w:sz w:val="22"/>
                <w:szCs w:val="22"/>
              </w:rPr>
            </w:pPr>
            <w:r>
              <w:rPr>
                <w:rFonts w:cstheme="minorHAnsi"/>
                <w:color w:val="000000"/>
                <w:sz w:val="22"/>
                <w:szCs w:val="22"/>
              </w:rPr>
              <w:t>-34.997</w:t>
            </w:r>
          </w:p>
        </w:tc>
        <w:tc>
          <w:tcPr>
            <w:tcW w:w="1704" w:type="dxa"/>
            <w:vAlign w:val="bottom"/>
          </w:tcPr>
          <w:p w14:paraId="40BC9DD9" w14:textId="4EA30CED" w:rsidR="00464D19" w:rsidRDefault="00464D19" w:rsidP="00464D19">
            <w:pPr>
              <w:jc w:val="center"/>
              <w:rPr>
                <w:rFonts w:cstheme="minorHAnsi"/>
                <w:color w:val="000000"/>
                <w:sz w:val="22"/>
                <w:szCs w:val="22"/>
              </w:rPr>
            </w:pPr>
            <w:r>
              <w:rPr>
                <w:rFonts w:cstheme="minorHAnsi"/>
                <w:color w:val="000000"/>
                <w:sz w:val="22"/>
                <w:szCs w:val="22"/>
              </w:rPr>
              <w:t>-87.136, -5.21</w:t>
            </w:r>
          </w:p>
        </w:tc>
        <w:tc>
          <w:tcPr>
            <w:tcW w:w="830" w:type="dxa"/>
            <w:vAlign w:val="bottom"/>
          </w:tcPr>
          <w:p w14:paraId="1F00564A" w14:textId="46564017" w:rsidR="00464D19" w:rsidRDefault="00464D19" w:rsidP="00464D19">
            <w:pPr>
              <w:jc w:val="center"/>
              <w:rPr>
                <w:rFonts w:cstheme="minorHAnsi"/>
                <w:color w:val="000000"/>
                <w:sz w:val="22"/>
                <w:szCs w:val="22"/>
              </w:rPr>
            </w:pPr>
            <w:r>
              <w:rPr>
                <w:rFonts w:cstheme="minorHAnsi"/>
                <w:color w:val="000000"/>
                <w:sz w:val="22"/>
                <w:szCs w:val="22"/>
              </w:rPr>
              <w:t>16.279</w:t>
            </w:r>
          </w:p>
        </w:tc>
        <w:tc>
          <w:tcPr>
            <w:tcW w:w="1349" w:type="dxa"/>
            <w:vAlign w:val="bottom"/>
          </w:tcPr>
          <w:p w14:paraId="6AFB2128" w14:textId="499827A4" w:rsidR="00464D19" w:rsidRPr="000D78FB" w:rsidRDefault="00464D19" w:rsidP="00464D19">
            <w:pPr>
              <w:jc w:val="center"/>
              <w:rPr>
                <w:rFonts w:cstheme="minorHAnsi"/>
                <w:sz w:val="22"/>
                <w:szCs w:val="22"/>
              </w:rPr>
            </w:pPr>
            <w:r>
              <w:rPr>
                <w:rFonts w:cstheme="minorHAnsi"/>
                <w:color w:val="000000"/>
                <w:sz w:val="22"/>
                <w:szCs w:val="22"/>
              </w:rPr>
              <w:t>0.0</w:t>
            </w:r>
            <w:r w:rsidR="009D548C">
              <w:rPr>
                <w:rFonts w:cstheme="minorHAnsi"/>
                <w:color w:val="000000"/>
                <w:sz w:val="22"/>
                <w:szCs w:val="22"/>
              </w:rPr>
              <w:t>34</w:t>
            </w:r>
          </w:p>
        </w:tc>
        <w:tc>
          <w:tcPr>
            <w:tcW w:w="955" w:type="dxa"/>
            <w:vAlign w:val="bottom"/>
          </w:tcPr>
          <w:p w14:paraId="3F33F84A" w14:textId="77777777" w:rsidR="00464D19" w:rsidRPr="000D78FB" w:rsidRDefault="00464D19" w:rsidP="00464D19">
            <w:pPr>
              <w:jc w:val="center"/>
              <w:rPr>
                <w:rFonts w:cstheme="minorHAnsi"/>
                <w:sz w:val="22"/>
                <w:szCs w:val="22"/>
              </w:rPr>
            </w:pPr>
            <w:r>
              <w:rPr>
                <w:rFonts w:cstheme="minorHAnsi"/>
                <w:color w:val="000000"/>
                <w:sz w:val="22"/>
                <w:szCs w:val="22"/>
              </w:rPr>
              <w:t>&lt;0.001</w:t>
            </w:r>
          </w:p>
        </w:tc>
        <w:tc>
          <w:tcPr>
            <w:tcW w:w="934" w:type="dxa"/>
            <w:vAlign w:val="bottom"/>
          </w:tcPr>
          <w:p w14:paraId="47C8F2FE" w14:textId="02DA721E" w:rsidR="00464D19" w:rsidRPr="000D78FB" w:rsidRDefault="009D548C" w:rsidP="00464D19">
            <w:pPr>
              <w:jc w:val="center"/>
              <w:rPr>
                <w:rFonts w:cstheme="minorHAnsi"/>
                <w:sz w:val="22"/>
                <w:szCs w:val="22"/>
              </w:rPr>
            </w:pPr>
            <w:r>
              <w:rPr>
                <w:rFonts w:cstheme="minorHAnsi"/>
                <w:color w:val="000000"/>
                <w:sz w:val="22"/>
                <w:szCs w:val="22"/>
              </w:rPr>
              <w:t>87.92</w:t>
            </w:r>
            <w:r w:rsidR="00464D19">
              <w:rPr>
                <w:rFonts w:cstheme="minorHAnsi"/>
                <w:color w:val="000000"/>
                <w:sz w:val="22"/>
                <w:szCs w:val="22"/>
              </w:rPr>
              <w:t>%</w:t>
            </w:r>
          </w:p>
        </w:tc>
      </w:tr>
      <w:tr w:rsidR="00464D19" w:rsidRPr="00686167" w14:paraId="67CD096A" w14:textId="77777777" w:rsidTr="00464D19">
        <w:tc>
          <w:tcPr>
            <w:tcW w:w="2761" w:type="dxa"/>
            <w:vAlign w:val="bottom"/>
          </w:tcPr>
          <w:p w14:paraId="516006D6" w14:textId="77777777" w:rsidR="00464D19" w:rsidRPr="000D78FB" w:rsidRDefault="00464D19" w:rsidP="00464D19">
            <w:pPr>
              <w:rPr>
                <w:rFonts w:cstheme="minorHAnsi"/>
                <w:sz w:val="22"/>
                <w:szCs w:val="22"/>
              </w:rPr>
            </w:pPr>
            <w:r>
              <w:rPr>
                <w:rFonts w:cstheme="minorHAnsi"/>
                <w:sz w:val="22"/>
                <w:szCs w:val="22"/>
              </w:rPr>
              <w:t>Hospital admissions, per 100K population</w:t>
            </w:r>
          </w:p>
        </w:tc>
        <w:tc>
          <w:tcPr>
            <w:tcW w:w="1092" w:type="dxa"/>
            <w:vAlign w:val="bottom"/>
          </w:tcPr>
          <w:p w14:paraId="6BF31469" w14:textId="1BC40707" w:rsidR="00464D19" w:rsidRDefault="00464D19" w:rsidP="00464D19">
            <w:pPr>
              <w:jc w:val="center"/>
              <w:rPr>
                <w:rFonts w:cstheme="minorHAnsi"/>
                <w:color w:val="000000"/>
                <w:sz w:val="22"/>
                <w:szCs w:val="22"/>
              </w:rPr>
            </w:pPr>
            <w:r>
              <w:rPr>
                <w:rFonts w:cstheme="minorHAnsi"/>
                <w:color w:val="000000"/>
                <w:sz w:val="22"/>
                <w:szCs w:val="22"/>
              </w:rPr>
              <w:t>1.636</w:t>
            </w:r>
          </w:p>
        </w:tc>
        <w:tc>
          <w:tcPr>
            <w:tcW w:w="1704" w:type="dxa"/>
            <w:vAlign w:val="bottom"/>
          </w:tcPr>
          <w:p w14:paraId="6762FABA" w14:textId="7BC5BD8E" w:rsidR="00464D19" w:rsidRDefault="00464D19" w:rsidP="00464D19">
            <w:pPr>
              <w:jc w:val="center"/>
              <w:rPr>
                <w:rFonts w:cstheme="minorHAnsi"/>
                <w:color w:val="000000"/>
                <w:sz w:val="22"/>
                <w:szCs w:val="22"/>
              </w:rPr>
            </w:pPr>
            <w:r>
              <w:rPr>
                <w:rFonts w:cstheme="minorHAnsi"/>
                <w:color w:val="000000"/>
                <w:sz w:val="22"/>
                <w:szCs w:val="22"/>
              </w:rPr>
              <w:t>0.004, 12.77</w:t>
            </w:r>
          </w:p>
        </w:tc>
        <w:tc>
          <w:tcPr>
            <w:tcW w:w="830" w:type="dxa"/>
            <w:vAlign w:val="bottom"/>
          </w:tcPr>
          <w:p w14:paraId="5B3991B4" w14:textId="0107E02C" w:rsidR="00464D19" w:rsidRDefault="00464D19" w:rsidP="00464D19">
            <w:pPr>
              <w:jc w:val="center"/>
              <w:rPr>
                <w:rFonts w:cstheme="minorHAnsi"/>
                <w:color w:val="000000"/>
                <w:sz w:val="22"/>
                <w:szCs w:val="22"/>
              </w:rPr>
            </w:pPr>
            <w:r>
              <w:rPr>
                <w:rFonts w:cstheme="minorHAnsi"/>
                <w:color w:val="000000"/>
                <w:sz w:val="22"/>
                <w:szCs w:val="22"/>
              </w:rPr>
              <w:t>2.201</w:t>
            </w:r>
          </w:p>
        </w:tc>
        <w:tc>
          <w:tcPr>
            <w:tcW w:w="1349" w:type="dxa"/>
            <w:vAlign w:val="bottom"/>
          </w:tcPr>
          <w:p w14:paraId="4A9781F4" w14:textId="41BB46D3" w:rsidR="00464D19" w:rsidRPr="000D78FB" w:rsidRDefault="00464D19" w:rsidP="00464D19">
            <w:pPr>
              <w:jc w:val="center"/>
              <w:rPr>
                <w:rFonts w:cstheme="minorHAnsi"/>
                <w:sz w:val="22"/>
                <w:szCs w:val="22"/>
              </w:rPr>
            </w:pPr>
            <w:r>
              <w:rPr>
                <w:rFonts w:cstheme="minorHAnsi"/>
                <w:color w:val="000000"/>
                <w:sz w:val="22"/>
                <w:szCs w:val="22"/>
              </w:rPr>
              <w:t>-0.0</w:t>
            </w:r>
            <w:r w:rsidR="009D548C">
              <w:rPr>
                <w:rFonts w:cstheme="minorHAnsi"/>
                <w:color w:val="000000"/>
                <w:sz w:val="22"/>
                <w:szCs w:val="22"/>
              </w:rPr>
              <w:t>92</w:t>
            </w:r>
          </w:p>
        </w:tc>
        <w:tc>
          <w:tcPr>
            <w:tcW w:w="955" w:type="dxa"/>
            <w:vAlign w:val="bottom"/>
          </w:tcPr>
          <w:p w14:paraId="31614622" w14:textId="08FEAE36" w:rsidR="00464D19" w:rsidRPr="000D78FB" w:rsidRDefault="00464D19" w:rsidP="00464D19">
            <w:pPr>
              <w:jc w:val="center"/>
              <w:rPr>
                <w:rFonts w:cstheme="minorHAnsi"/>
                <w:sz w:val="22"/>
                <w:szCs w:val="22"/>
              </w:rPr>
            </w:pPr>
            <w:r>
              <w:rPr>
                <w:rFonts w:cstheme="minorHAnsi"/>
                <w:color w:val="000000"/>
                <w:sz w:val="22"/>
                <w:szCs w:val="22"/>
              </w:rPr>
              <w:t>0.00</w:t>
            </w:r>
            <w:r w:rsidR="002C29EF">
              <w:rPr>
                <w:rFonts w:cstheme="minorHAnsi"/>
                <w:color w:val="000000"/>
                <w:sz w:val="22"/>
                <w:szCs w:val="22"/>
              </w:rPr>
              <w:t>5</w:t>
            </w:r>
          </w:p>
        </w:tc>
        <w:tc>
          <w:tcPr>
            <w:tcW w:w="934" w:type="dxa"/>
            <w:vAlign w:val="bottom"/>
          </w:tcPr>
          <w:p w14:paraId="7BCC4DAE" w14:textId="43BEED38" w:rsidR="00464D19" w:rsidRPr="000D78FB" w:rsidRDefault="009D548C" w:rsidP="00464D19">
            <w:pPr>
              <w:jc w:val="center"/>
              <w:rPr>
                <w:rFonts w:cstheme="minorHAnsi"/>
                <w:sz w:val="22"/>
                <w:szCs w:val="22"/>
              </w:rPr>
            </w:pPr>
            <w:r>
              <w:rPr>
                <w:rFonts w:cstheme="minorHAnsi"/>
                <w:color w:val="000000"/>
                <w:sz w:val="22"/>
                <w:szCs w:val="22"/>
              </w:rPr>
              <w:t>11.05</w:t>
            </w:r>
            <w:r w:rsidR="00464D19">
              <w:rPr>
                <w:rFonts w:cstheme="minorHAnsi"/>
                <w:color w:val="000000"/>
                <w:sz w:val="22"/>
                <w:szCs w:val="22"/>
              </w:rPr>
              <w:t>%</w:t>
            </w:r>
          </w:p>
        </w:tc>
      </w:tr>
      <w:tr w:rsidR="00464D19" w:rsidRPr="00686167" w14:paraId="5BDEC819" w14:textId="77777777" w:rsidTr="00464D19">
        <w:tc>
          <w:tcPr>
            <w:tcW w:w="2761" w:type="dxa"/>
            <w:vAlign w:val="bottom"/>
          </w:tcPr>
          <w:p w14:paraId="3FEF156E" w14:textId="77777777" w:rsidR="00464D19" w:rsidRPr="000D78FB" w:rsidRDefault="00464D19" w:rsidP="00464D19">
            <w:pPr>
              <w:rPr>
                <w:rFonts w:cstheme="minorHAnsi"/>
                <w:sz w:val="22"/>
                <w:szCs w:val="22"/>
              </w:rPr>
            </w:pPr>
            <w:r>
              <w:rPr>
                <w:rFonts w:cstheme="minorHAnsi"/>
                <w:sz w:val="22"/>
                <w:szCs w:val="22"/>
              </w:rPr>
              <w:t>Public/total case notification ratio</w:t>
            </w:r>
          </w:p>
        </w:tc>
        <w:tc>
          <w:tcPr>
            <w:tcW w:w="1092" w:type="dxa"/>
            <w:vAlign w:val="bottom"/>
          </w:tcPr>
          <w:p w14:paraId="5215E258" w14:textId="0CBDABF5" w:rsidR="00464D19" w:rsidRDefault="00464D19" w:rsidP="00464D19">
            <w:pPr>
              <w:jc w:val="center"/>
              <w:rPr>
                <w:rFonts w:cstheme="minorHAnsi"/>
                <w:color w:val="000000"/>
                <w:sz w:val="22"/>
                <w:szCs w:val="22"/>
              </w:rPr>
            </w:pPr>
            <w:r>
              <w:rPr>
                <w:rFonts w:cstheme="minorHAnsi"/>
                <w:color w:val="000000"/>
                <w:sz w:val="22"/>
                <w:szCs w:val="22"/>
              </w:rPr>
              <w:t>0.763</w:t>
            </w:r>
          </w:p>
        </w:tc>
        <w:tc>
          <w:tcPr>
            <w:tcW w:w="1704" w:type="dxa"/>
            <w:vAlign w:val="bottom"/>
          </w:tcPr>
          <w:p w14:paraId="2C992B74" w14:textId="77777777" w:rsidR="00464D19" w:rsidRDefault="00464D19" w:rsidP="00464D19">
            <w:pPr>
              <w:jc w:val="center"/>
              <w:rPr>
                <w:rFonts w:cstheme="minorHAnsi"/>
                <w:color w:val="000000"/>
                <w:sz w:val="22"/>
                <w:szCs w:val="22"/>
              </w:rPr>
            </w:pPr>
            <w:r>
              <w:rPr>
                <w:rFonts w:cstheme="minorHAnsi"/>
                <w:color w:val="000000"/>
                <w:sz w:val="22"/>
                <w:szCs w:val="22"/>
              </w:rPr>
              <w:t>0.420, 1.000</w:t>
            </w:r>
          </w:p>
        </w:tc>
        <w:tc>
          <w:tcPr>
            <w:tcW w:w="830" w:type="dxa"/>
            <w:vAlign w:val="bottom"/>
          </w:tcPr>
          <w:p w14:paraId="0B24C0AF" w14:textId="726CED96" w:rsidR="00464D19" w:rsidRDefault="00464D19" w:rsidP="00464D19">
            <w:pPr>
              <w:jc w:val="center"/>
              <w:rPr>
                <w:rFonts w:cstheme="minorHAnsi"/>
                <w:color w:val="000000"/>
                <w:sz w:val="22"/>
                <w:szCs w:val="22"/>
              </w:rPr>
            </w:pPr>
            <w:r>
              <w:rPr>
                <w:rFonts w:cstheme="minorHAnsi"/>
                <w:color w:val="000000"/>
                <w:sz w:val="22"/>
                <w:szCs w:val="22"/>
              </w:rPr>
              <w:t>0.121</w:t>
            </w:r>
          </w:p>
        </w:tc>
        <w:tc>
          <w:tcPr>
            <w:tcW w:w="1349" w:type="dxa"/>
            <w:vAlign w:val="bottom"/>
          </w:tcPr>
          <w:p w14:paraId="1C00AE40" w14:textId="4898D2B6" w:rsidR="00464D19" w:rsidRPr="000D78FB" w:rsidRDefault="009D548C" w:rsidP="00464D19">
            <w:pPr>
              <w:jc w:val="center"/>
              <w:rPr>
                <w:rFonts w:cstheme="minorHAnsi"/>
                <w:sz w:val="22"/>
                <w:szCs w:val="22"/>
              </w:rPr>
            </w:pPr>
            <w:r>
              <w:rPr>
                <w:rFonts w:cstheme="minorHAnsi"/>
                <w:color w:val="000000"/>
                <w:sz w:val="22"/>
                <w:szCs w:val="22"/>
              </w:rPr>
              <w:t>-0.086</w:t>
            </w:r>
          </w:p>
        </w:tc>
        <w:tc>
          <w:tcPr>
            <w:tcW w:w="955" w:type="dxa"/>
            <w:vAlign w:val="bottom"/>
          </w:tcPr>
          <w:p w14:paraId="61299B53" w14:textId="0048BEAE" w:rsidR="00464D19" w:rsidRPr="000D78FB" w:rsidRDefault="00464D19" w:rsidP="00464D19">
            <w:pPr>
              <w:jc w:val="center"/>
              <w:rPr>
                <w:rFonts w:cstheme="minorHAnsi"/>
                <w:sz w:val="22"/>
                <w:szCs w:val="22"/>
              </w:rPr>
            </w:pPr>
            <w:r>
              <w:rPr>
                <w:rFonts w:cstheme="minorHAnsi"/>
                <w:color w:val="000000"/>
                <w:sz w:val="22"/>
                <w:szCs w:val="22"/>
              </w:rPr>
              <w:t>0.</w:t>
            </w:r>
            <w:r w:rsidR="002C29EF">
              <w:rPr>
                <w:rFonts w:cstheme="minorHAnsi"/>
                <w:color w:val="000000"/>
                <w:sz w:val="22"/>
                <w:szCs w:val="22"/>
              </w:rPr>
              <w:t>916</w:t>
            </w:r>
          </w:p>
        </w:tc>
        <w:tc>
          <w:tcPr>
            <w:tcW w:w="934" w:type="dxa"/>
            <w:vAlign w:val="bottom"/>
          </w:tcPr>
          <w:p w14:paraId="1438A356" w14:textId="62261F5B" w:rsidR="00464D19" w:rsidRPr="000D78FB" w:rsidRDefault="009D548C" w:rsidP="00464D19">
            <w:pPr>
              <w:jc w:val="center"/>
              <w:rPr>
                <w:rFonts w:cstheme="minorHAnsi"/>
                <w:sz w:val="22"/>
                <w:szCs w:val="22"/>
              </w:rPr>
            </w:pPr>
            <w:r>
              <w:rPr>
                <w:rFonts w:cstheme="minorHAnsi"/>
                <w:color w:val="000000"/>
                <w:sz w:val="22"/>
                <w:szCs w:val="22"/>
              </w:rPr>
              <w:t>0.25</w:t>
            </w:r>
            <w:r w:rsidR="00464D19">
              <w:rPr>
                <w:rFonts w:cstheme="minorHAnsi"/>
                <w:color w:val="000000"/>
                <w:sz w:val="22"/>
                <w:szCs w:val="22"/>
              </w:rPr>
              <w:t>%</w:t>
            </w:r>
          </w:p>
        </w:tc>
      </w:tr>
    </w:tbl>
    <w:p w14:paraId="3A12DE3E" w14:textId="77777777" w:rsidR="00464D19" w:rsidRDefault="00464D19" w:rsidP="005D3D9F">
      <w:pPr>
        <w:rPr>
          <w:sz w:val="20"/>
          <w:szCs w:val="20"/>
        </w:rPr>
      </w:pPr>
    </w:p>
    <w:p w14:paraId="1237CB2D" w14:textId="66902CC8" w:rsidR="005D3D9F" w:rsidRPr="005D3D9F" w:rsidRDefault="005D3D9F" w:rsidP="005D3D9F">
      <w:pPr>
        <w:rPr>
          <w:sz w:val="20"/>
          <w:szCs w:val="20"/>
        </w:rPr>
      </w:pPr>
      <w:r w:rsidRPr="005D3D9F">
        <w:rPr>
          <w:sz w:val="20"/>
          <w:szCs w:val="20"/>
        </w:rPr>
        <w:t xml:space="preserve">Table </w:t>
      </w:r>
      <w:r w:rsidR="007C3135">
        <w:rPr>
          <w:sz w:val="20"/>
          <w:szCs w:val="20"/>
        </w:rPr>
        <w:t>A1</w:t>
      </w:r>
      <w:r w:rsidRPr="005D3D9F">
        <w:rPr>
          <w:sz w:val="20"/>
          <w:szCs w:val="20"/>
        </w:rPr>
        <w:t>: Evaluation of covariates in the regression model using the stagnant assumptions (i.e. no change in expected TB cases from March 2019 to February 2020 and from March 2020 to February 2021).  SD = standard deviation. Overall R</w:t>
      </w:r>
      <w:r w:rsidRPr="005D3D9F">
        <w:rPr>
          <w:sz w:val="20"/>
          <w:szCs w:val="20"/>
          <w:vertAlign w:val="superscript"/>
        </w:rPr>
        <w:t>2</w:t>
      </w:r>
      <w:r w:rsidRPr="005D3D9F">
        <w:rPr>
          <w:sz w:val="20"/>
          <w:szCs w:val="20"/>
        </w:rPr>
        <w:t xml:space="preserve"> was </w:t>
      </w:r>
      <w:r w:rsidR="00C52C6A">
        <w:rPr>
          <w:sz w:val="20"/>
          <w:szCs w:val="20"/>
        </w:rPr>
        <w:t>32.3</w:t>
      </w:r>
      <w:r w:rsidRPr="005D3D9F">
        <w:rPr>
          <w:sz w:val="20"/>
          <w:szCs w:val="20"/>
        </w:rPr>
        <w:t>%. Coefficient for the regression, P value, and percentage contribution to the R</w:t>
      </w:r>
      <w:r w:rsidRPr="005D3D9F">
        <w:rPr>
          <w:sz w:val="20"/>
          <w:szCs w:val="20"/>
          <w:vertAlign w:val="superscript"/>
        </w:rPr>
        <w:t>2</w:t>
      </w:r>
      <w:r w:rsidRPr="005D3D9F">
        <w:rPr>
          <w:sz w:val="20"/>
          <w:szCs w:val="20"/>
        </w:rPr>
        <w:t xml:space="preserve"> for mask use, mobility, hospital admissions, and the ratio of public case notification/total case notification are demonstrated in the table.  Regression was not performed on the Union Territories due to lack of available data on mobility, mask use, and COVID-19 related hospitalizations from that area.</w:t>
      </w:r>
    </w:p>
    <w:p w14:paraId="22A44233" w14:textId="73704F6E" w:rsidR="00AD3B91" w:rsidRDefault="00AD3B91"/>
    <w:p w14:paraId="36A426D9" w14:textId="6CFE54A7" w:rsidR="00F722CC" w:rsidRPr="002C29EF" w:rsidRDefault="00F722CC">
      <w:pPr>
        <w:rPr>
          <w:b/>
          <w:bCs/>
        </w:rPr>
      </w:pPr>
      <w:r w:rsidRPr="002C29EF">
        <w:rPr>
          <w:b/>
          <w:bCs/>
        </w:rPr>
        <w:t xml:space="preserve">Table </w:t>
      </w:r>
      <w:r w:rsidR="007C3135">
        <w:rPr>
          <w:b/>
          <w:bCs/>
        </w:rPr>
        <w:t>A2</w:t>
      </w:r>
      <w:r w:rsidRPr="002C29EF">
        <w:rPr>
          <w:b/>
          <w:bCs/>
        </w:rPr>
        <w:t xml:space="preserve">: </w:t>
      </w:r>
      <w:r w:rsidR="002C29EF" w:rsidRPr="002C29EF">
        <w:rPr>
          <w:b/>
          <w:bCs/>
        </w:rPr>
        <w:t>Historical analysis</w:t>
      </w:r>
      <w:r w:rsidR="0067023D">
        <w:rPr>
          <w:b/>
          <w:bCs/>
        </w:rPr>
        <w:t>: March 2020 to</w:t>
      </w:r>
      <w:r w:rsidR="002C29EF" w:rsidRPr="002C29EF">
        <w:rPr>
          <w:b/>
          <w:bCs/>
        </w:rPr>
        <w:t xml:space="preserve"> December 2020 to validate robustness of results</w:t>
      </w:r>
    </w:p>
    <w:tbl>
      <w:tblPr>
        <w:tblStyle w:val="TableGrid"/>
        <w:tblpPr w:leftFromText="180" w:rightFromText="180" w:vertAnchor="text" w:horzAnchor="margin" w:tblpY="69"/>
        <w:tblW w:w="9625" w:type="dxa"/>
        <w:tblLook w:val="04A0" w:firstRow="1" w:lastRow="0" w:firstColumn="1" w:lastColumn="0" w:noHBand="0" w:noVBand="1"/>
      </w:tblPr>
      <w:tblGrid>
        <w:gridCol w:w="2761"/>
        <w:gridCol w:w="1092"/>
        <w:gridCol w:w="1704"/>
        <w:gridCol w:w="830"/>
        <w:gridCol w:w="1349"/>
        <w:gridCol w:w="955"/>
        <w:gridCol w:w="934"/>
      </w:tblGrid>
      <w:tr w:rsidR="002C29EF" w:rsidRPr="00686167" w14:paraId="4C1D80DA" w14:textId="77777777" w:rsidTr="002343C3">
        <w:tc>
          <w:tcPr>
            <w:tcW w:w="2761" w:type="dxa"/>
            <w:shd w:val="clear" w:color="auto" w:fill="auto"/>
          </w:tcPr>
          <w:p w14:paraId="5AF26880" w14:textId="77777777" w:rsidR="002C29EF" w:rsidRPr="000D78FB" w:rsidRDefault="002C29EF" w:rsidP="002343C3">
            <w:pPr>
              <w:rPr>
                <w:rFonts w:cstheme="minorHAnsi"/>
                <w:b/>
                <w:bCs/>
                <w:sz w:val="22"/>
                <w:szCs w:val="22"/>
              </w:rPr>
            </w:pPr>
            <w:r>
              <w:rPr>
                <w:rFonts w:cstheme="minorHAnsi"/>
                <w:b/>
                <w:bCs/>
                <w:sz w:val="22"/>
                <w:szCs w:val="22"/>
              </w:rPr>
              <w:t>Covariate</w:t>
            </w:r>
          </w:p>
        </w:tc>
        <w:tc>
          <w:tcPr>
            <w:tcW w:w="1092" w:type="dxa"/>
            <w:shd w:val="clear" w:color="auto" w:fill="auto"/>
          </w:tcPr>
          <w:p w14:paraId="209FE7A5" w14:textId="77777777" w:rsidR="002C29EF" w:rsidRDefault="002C29EF" w:rsidP="002343C3">
            <w:pPr>
              <w:jc w:val="right"/>
              <w:rPr>
                <w:rFonts w:cstheme="minorHAnsi"/>
                <w:b/>
                <w:bCs/>
                <w:sz w:val="22"/>
                <w:szCs w:val="22"/>
              </w:rPr>
            </w:pPr>
            <w:r>
              <w:rPr>
                <w:rFonts w:cstheme="minorHAnsi"/>
                <w:b/>
                <w:bCs/>
                <w:sz w:val="22"/>
                <w:szCs w:val="22"/>
              </w:rPr>
              <w:t>Mean</w:t>
            </w:r>
          </w:p>
        </w:tc>
        <w:tc>
          <w:tcPr>
            <w:tcW w:w="1704" w:type="dxa"/>
            <w:shd w:val="clear" w:color="auto" w:fill="auto"/>
          </w:tcPr>
          <w:p w14:paraId="3186630F" w14:textId="77777777" w:rsidR="002C29EF" w:rsidRDefault="002C29EF" w:rsidP="002343C3">
            <w:pPr>
              <w:jc w:val="right"/>
              <w:rPr>
                <w:rFonts w:cstheme="minorHAnsi"/>
                <w:b/>
                <w:bCs/>
                <w:sz w:val="22"/>
                <w:szCs w:val="22"/>
              </w:rPr>
            </w:pPr>
            <w:r>
              <w:rPr>
                <w:rFonts w:cstheme="minorHAnsi"/>
                <w:b/>
                <w:bCs/>
                <w:sz w:val="22"/>
                <w:szCs w:val="22"/>
              </w:rPr>
              <w:t>Min, Max</w:t>
            </w:r>
          </w:p>
        </w:tc>
        <w:tc>
          <w:tcPr>
            <w:tcW w:w="830" w:type="dxa"/>
            <w:shd w:val="clear" w:color="auto" w:fill="auto"/>
          </w:tcPr>
          <w:p w14:paraId="0B93002F" w14:textId="77777777" w:rsidR="002C29EF" w:rsidRDefault="002C29EF" w:rsidP="002343C3">
            <w:pPr>
              <w:jc w:val="right"/>
              <w:rPr>
                <w:rFonts w:cstheme="minorHAnsi"/>
                <w:b/>
                <w:bCs/>
                <w:sz w:val="22"/>
                <w:szCs w:val="22"/>
              </w:rPr>
            </w:pPr>
            <w:r>
              <w:rPr>
                <w:rFonts w:cstheme="minorHAnsi"/>
                <w:b/>
                <w:bCs/>
                <w:sz w:val="22"/>
                <w:szCs w:val="22"/>
              </w:rPr>
              <w:t>SD</w:t>
            </w:r>
          </w:p>
        </w:tc>
        <w:tc>
          <w:tcPr>
            <w:tcW w:w="1349" w:type="dxa"/>
            <w:shd w:val="clear" w:color="auto" w:fill="auto"/>
          </w:tcPr>
          <w:p w14:paraId="217AB45D" w14:textId="77777777" w:rsidR="002C29EF" w:rsidRPr="000D78FB" w:rsidRDefault="002C29EF" w:rsidP="002343C3">
            <w:pPr>
              <w:jc w:val="right"/>
              <w:rPr>
                <w:rFonts w:cstheme="minorHAnsi"/>
                <w:b/>
                <w:bCs/>
                <w:sz w:val="22"/>
                <w:szCs w:val="22"/>
              </w:rPr>
            </w:pPr>
            <w:r>
              <w:rPr>
                <w:rFonts w:cstheme="minorHAnsi"/>
                <w:b/>
                <w:bCs/>
                <w:sz w:val="22"/>
                <w:szCs w:val="22"/>
              </w:rPr>
              <w:t>Coefficient</w:t>
            </w:r>
          </w:p>
        </w:tc>
        <w:tc>
          <w:tcPr>
            <w:tcW w:w="955" w:type="dxa"/>
            <w:shd w:val="clear" w:color="auto" w:fill="auto"/>
          </w:tcPr>
          <w:p w14:paraId="7B660A7B" w14:textId="77777777" w:rsidR="002C29EF" w:rsidRPr="000D78FB" w:rsidRDefault="002C29EF" w:rsidP="002343C3">
            <w:pPr>
              <w:jc w:val="right"/>
              <w:rPr>
                <w:rFonts w:cstheme="minorHAnsi"/>
                <w:b/>
                <w:bCs/>
                <w:sz w:val="22"/>
                <w:szCs w:val="22"/>
              </w:rPr>
            </w:pPr>
            <w:r>
              <w:rPr>
                <w:rFonts w:cstheme="minorHAnsi"/>
                <w:b/>
                <w:bCs/>
                <w:sz w:val="22"/>
                <w:szCs w:val="22"/>
              </w:rPr>
              <w:t>P value</w:t>
            </w:r>
          </w:p>
        </w:tc>
        <w:tc>
          <w:tcPr>
            <w:tcW w:w="934" w:type="dxa"/>
            <w:shd w:val="clear" w:color="auto" w:fill="auto"/>
          </w:tcPr>
          <w:p w14:paraId="14AD0174" w14:textId="77777777" w:rsidR="002C29EF" w:rsidRPr="000D78FB" w:rsidRDefault="002C29EF" w:rsidP="002343C3">
            <w:pPr>
              <w:jc w:val="right"/>
              <w:rPr>
                <w:rFonts w:cstheme="minorHAnsi"/>
                <w:b/>
                <w:bCs/>
                <w:sz w:val="22"/>
                <w:szCs w:val="22"/>
              </w:rPr>
            </w:pPr>
            <w:r>
              <w:rPr>
                <w:rFonts w:cstheme="minorHAnsi"/>
                <w:b/>
                <w:bCs/>
                <w:sz w:val="22"/>
                <w:szCs w:val="22"/>
              </w:rPr>
              <w:t>Shapley % R2</w:t>
            </w:r>
          </w:p>
        </w:tc>
      </w:tr>
      <w:tr w:rsidR="002C29EF" w:rsidRPr="00686167" w14:paraId="3525B761" w14:textId="77777777" w:rsidTr="002343C3">
        <w:tc>
          <w:tcPr>
            <w:tcW w:w="2761" w:type="dxa"/>
            <w:vAlign w:val="bottom"/>
          </w:tcPr>
          <w:p w14:paraId="22E51080" w14:textId="77777777" w:rsidR="002C29EF" w:rsidRPr="000D78FB" w:rsidRDefault="002C29EF" w:rsidP="002343C3">
            <w:pPr>
              <w:rPr>
                <w:rFonts w:cstheme="minorHAnsi"/>
                <w:sz w:val="22"/>
                <w:szCs w:val="22"/>
              </w:rPr>
            </w:pPr>
            <w:r>
              <w:rPr>
                <w:rFonts w:cstheme="minorHAnsi"/>
                <w:color w:val="000000"/>
                <w:sz w:val="22"/>
                <w:szCs w:val="22"/>
              </w:rPr>
              <w:t>Mask use</w:t>
            </w:r>
          </w:p>
        </w:tc>
        <w:tc>
          <w:tcPr>
            <w:tcW w:w="1092" w:type="dxa"/>
            <w:vAlign w:val="bottom"/>
          </w:tcPr>
          <w:p w14:paraId="48B6C828" w14:textId="3F67A895" w:rsidR="002C29EF" w:rsidRDefault="002C29EF" w:rsidP="002343C3">
            <w:pPr>
              <w:jc w:val="center"/>
              <w:rPr>
                <w:rFonts w:cstheme="minorHAnsi"/>
                <w:sz w:val="22"/>
                <w:szCs w:val="22"/>
              </w:rPr>
            </w:pPr>
            <w:r>
              <w:rPr>
                <w:rFonts w:cstheme="minorHAnsi"/>
                <w:sz w:val="22"/>
                <w:szCs w:val="22"/>
              </w:rPr>
              <w:t>0.579</w:t>
            </w:r>
          </w:p>
        </w:tc>
        <w:tc>
          <w:tcPr>
            <w:tcW w:w="1704" w:type="dxa"/>
            <w:vAlign w:val="bottom"/>
          </w:tcPr>
          <w:p w14:paraId="27296F37" w14:textId="77777777" w:rsidR="002C29EF" w:rsidRDefault="002C29EF" w:rsidP="002343C3">
            <w:pPr>
              <w:jc w:val="center"/>
              <w:rPr>
                <w:rFonts w:cstheme="minorHAnsi"/>
                <w:sz w:val="22"/>
                <w:szCs w:val="22"/>
              </w:rPr>
            </w:pPr>
            <w:r>
              <w:rPr>
                <w:rFonts w:cstheme="minorHAnsi"/>
                <w:sz w:val="22"/>
                <w:szCs w:val="22"/>
              </w:rPr>
              <w:t>0.000, 0.831</w:t>
            </w:r>
          </w:p>
        </w:tc>
        <w:tc>
          <w:tcPr>
            <w:tcW w:w="830" w:type="dxa"/>
            <w:vAlign w:val="bottom"/>
          </w:tcPr>
          <w:p w14:paraId="7B9C4BCC" w14:textId="60BFCF81" w:rsidR="002C29EF" w:rsidRDefault="002C29EF" w:rsidP="002343C3">
            <w:pPr>
              <w:jc w:val="center"/>
              <w:rPr>
                <w:rFonts w:cstheme="minorHAnsi"/>
                <w:sz w:val="22"/>
                <w:szCs w:val="22"/>
              </w:rPr>
            </w:pPr>
            <w:r>
              <w:rPr>
                <w:rFonts w:cstheme="minorHAnsi"/>
                <w:sz w:val="22"/>
                <w:szCs w:val="22"/>
              </w:rPr>
              <w:t>0.226</w:t>
            </w:r>
          </w:p>
        </w:tc>
        <w:tc>
          <w:tcPr>
            <w:tcW w:w="1349" w:type="dxa"/>
            <w:vAlign w:val="bottom"/>
          </w:tcPr>
          <w:p w14:paraId="3614C181" w14:textId="448C96BD" w:rsidR="002C29EF" w:rsidRPr="000D78FB" w:rsidRDefault="002C29EF" w:rsidP="002343C3">
            <w:pPr>
              <w:jc w:val="center"/>
              <w:rPr>
                <w:rFonts w:cstheme="minorHAnsi"/>
                <w:sz w:val="22"/>
                <w:szCs w:val="22"/>
              </w:rPr>
            </w:pPr>
            <w:r>
              <w:rPr>
                <w:rFonts w:cstheme="minorHAnsi"/>
                <w:sz w:val="22"/>
                <w:szCs w:val="22"/>
              </w:rPr>
              <w:t>0.189</w:t>
            </w:r>
          </w:p>
        </w:tc>
        <w:tc>
          <w:tcPr>
            <w:tcW w:w="955" w:type="dxa"/>
            <w:vAlign w:val="bottom"/>
          </w:tcPr>
          <w:p w14:paraId="55503705" w14:textId="65A926C5" w:rsidR="002C29EF" w:rsidRPr="000D78FB" w:rsidRDefault="002C29EF" w:rsidP="002343C3">
            <w:pPr>
              <w:jc w:val="center"/>
              <w:rPr>
                <w:rFonts w:cstheme="minorHAnsi"/>
                <w:sz w:val="22"/>
                <w:szCs w:val="22"/>
              </w:rPr>
            </w:pPr>
            <w:r>
              <w:rPr>
                <w:rFonts w:cstheme="minorHAnsi"/>
                <w:color w:val="000000"/>
                <w:sz w:val="22"/>
                <w:szCs w:val="22"/>
              </w:rPr>
              <w:t>0.401</w:t>
            </w:r>
          </w:p>
        </w:tc>
        <w:tc>
          <w:tcPr>
            <w:tcW w:w="934" w:type="dxa"/>
            <w:vAlign w:val="bottom"/>
          </w:tcPr>
          <w:p w14:paraId="015BADC3" w14:textId="59447823" w:rsidR="002C29EF" w:rsidRPr="000D78FB" w:rsidRDefault="002C29EF" w:rsidP="002343C3">
            <w:pPr>
              <w:jc w:val="center"/>
              <w:rPr>
                <w:rFonts w:cstheme="minorHAnsi"/>
                <w:sz w:val="22"/>
                <w:szCs w:val="22"/>
              </w:rPr>
            </w:pPr>
            <w:r>
              <w:rPr>
                <w:rFonts w:cstheme="minorHAnsi"/>
                <w:color w:val="000000"/>
                <w:sz w:val="22"/>
                <w:szCs w:val="22"/>
              </w:rPr>
              <w:t>2.03%</w:t>
            </w:r>
          </w:p>
        </w:tc>
      </w:tr>
      <w:tr w:rsidR="002C29EF" w:rsidRPr="00686167" w14:paraId="5DB24DF3" w14:textId="77777777" w:rsidTr="002343C3">
        <w:tc>
          <w:tcPr>
            <w:tcW w:w="2761" w:type="dxa"/>
            <w:vAlign w:val="bottom"/>
          </w:tcPr>
          <w:p w14:paraId="02F8DE28" w14:textId="77777777" w:rsidR="002C29EF" w:rsidRPr="000D78FB" w:rsidRDefault="002C29EF" w:rsidP="002343C3">
            <w:pPr>
              <w:rPr>
                <w:rFonts w:cstheme="minorHAnsi"/>
                <w:sz w:val="22"/>
                <w:szCs w:val="22"/>
              </w:rPr>
            </w:pPr>
            <w:r>
              <w:rPr>
                <w:rFonts w:cstheme="minorHAnsi"/>
                <w:color w:val="000000"/>
                <w:sz w:val="22"/>
                <w:szCs w:val="22"/>
              </w:rPr>
              <w:t>Mobility</w:t>
            </w:r>
          </w:p>
        </w:tc>
        <w:tc>
          <w:tcPr>
            <w:tcW w:w="1092" w:type="dxa"/>
            <w:vAlign w:val="bottom"/>
          </w:tcPr>
          <w:p w14:paraId="206F6250" w14:textId="020123D4" w:rsidR="002C29EF" w:rsidRDefault="002C29EF" w:rsidP="002343C3">
            <w:pPr>
              <w:jc w:val="center"/>
              <w:rPr>
                <w:rFonts w:cstheme="minorHAnsi"/>
                <w:color w:val="000000"/>
                <w:sz w:val="22"/>
                <w:szCs w:val="22"/>
              </w:rPr>
            </w:pPr>
            <w:r>
              <w:rPr>
                <w:rFonts w:cstheme="minorHAnsi"/>
                <w:color w:val="000000"/>
                <w:sz w:val="22"/>
                <w:szCs w:val="22"/>
              </w:rPr>
              <w:t>-38.044</w:t>
            </w:r>
          </w:p>
        </w:tc>
        <w:tc>
          <w:tcPr>
            <w:tcW w:w="1704" w:type="dxa"/>
            <w:vAlign w:val="bottom"/>
          </w:tcPr>
          <w:p w14:paraId="6C1B549E" w14:textId="77777777" w:rsidR="002C29EF" w:rsidRDefault="002C29EF" w:rsidP="002343C3">
            <w:pPr>
              <w:jc w:val="center"/>
              <w:rPr>
                <w:rFonts w:cstheme="minorHAnsi"/>
                <w:color w:val="000000"/>
                <w:sz w:val="22"/>
                <w:szCs w:val="22"/>
              </w:rPr>
            </w:pPr>
            <w:r>
              <w:rPr>
                <w:rFonts w:cstheme="minorHAnsi"/>
                <w:color w:val="000000"/>
                <w:sz w:val="22"/>
                <w:szCs w:val="22"/>
              </w:rPr>
              <w:t>-87.136, -5.21</w:t>
            </w:r>
          </w:p>
        </w:tc>
        <w:tc>
          <w:tcPr>
            <w:tcW w:w="830" w:type="dxa"/>
            <w:vAlign w:val="bottom"/>
          </w:tcPr>
          <w:p w14:paraId="6F8A1769" w14:textId="324B803C" w:rsidR="002C29EF" w:rsidRDefault="002C29EF" w:rsidP="002343C3">
            <w:pPr>
              <w:jc w:val="center"/>
              <w:rPr>
                <w:rFonts w:cstheme="minorHAnsi"/>
                <w:color w:val="000000"/>
                <w:sz w:val="22"/>
                <w:szCs w:val="22"/>
              </w:rPr>
            </w:pPr>
            <w:r>
              <w:rPr>
                <w:rFonts w:cstheme="minorHAnsi"/>
                <w:color w:val="000000"/>
                <w:sz w:val="22"/>
                <w:szCs w:val="22"/>
              </w:rPr>
              <w:t>15.967</w:t>
            </w:r>
          </w:p>
        </w:tc>
        <w:tc>
          <w:tcPr>
            <w:tcW w:w="1349" w:type="dxa"/>
            <w:vAlign w:val="bottom"/>
          </w:tcPr>
          <w:p w14:paraId="1FB10FDB" w14:textId="5BB1D761" w:rsidR="002C29EF" w:rsidRPr="000D78FB" w:rsidRDefault="002C29EF" w:rsidP="002343C3">
            <w:pPr>
              <w:jc w:val="center"/>
              <w:rPr>
                <w:rFonts w:cstheme="minorHAnsi"/>
                <w:sz w:val="22"/>
                <w:szCs w:val="22"/>
              </w:rPr>
            </w:pPr>
            <w:r>
              <w:rPr>
                <w:rFonts w:cstheme="minorHAnsi"/>
                <w:color w:val="000000"/>
                <w:sz w:val="22"/>
                <w:szCs w:val="22"/>
              </w:rPr>
              <w:t>0.026</w:t>
            </w:r>
          </w:p>
        </w:tc>
        <w:tc>
          <w:tcPr>
            <w:tcW w:w="955" w:type="dxa"/>
            <w:vAlign w:val="bottom"/>
          </w:tcPr>
          <w:p w14:paraId="66BA1002" w14:textId="77777777" w:rsidR="002C29EF" w:rsidRPr="000D78FB" w:rsidRDefault="002C29EF" w:rsidP="002343C3">
            <w:pPr>
              <w:jc w:val="center"/>
              <w:rPr>
                <w:rFonts w:cstheme="minorHAnsi"/>
                <w:sz w:val="22"/>
                <w:szCs w:val="22"/>
              </w:rPr>
            </w:pPr>
            <w:r>
              <w:rPr>
                <w:rFonts w:cstheme="minorHAnsi"/>
                <w:color w:val="000000"/>
                <w:sz w:val="22"/>
                <w:szCs w:val="22"/>
              </w:rPr>
              <w:t>&lt;0.001</w:t>
            </w:r>
          </w:p>
        </w:tc>
        <w:tc>
          <w:tcPr>
            <w:tcW w:w="934" w:type="dxa"/>
            <w:vAlign w:val="bottom"/>
          </w:tcPr>
          <w:p w14:paraId="0B051990" w14:textId="14DC27CF" w:rsidR="002C29EF" w:rsidRPr="000D78FB" w:rsidRDefault="002C29EF" w:rsidP="002343C3">
            <w:pPr>
              <w:jc w:val="center"/>
              <w:rPr>
                <w:rFonts w:cstheme="minorHAnsi"/>
                <w:sz w:val="22"/>
                <w:szCs w:val="22"/>
              </w:rPr>
            </w:pPr>
            <w:r>
              <w:rPr>
                <w:rFonts w:cstheme="minorHAnsi"/>
                <w:color w:val="000000"/>
                <w:sz w:val="22"/>
                <w:szCs w:val="22"/>
              </w:rPr>
              <w:t>84.09%</w:t>
            </w:r>
          </w:p>
        </w:tc>
      </w:tr>
      <w:tr w:rsidR="002C29EF" w:rsidRPr="00686167" w14:paraId="4726621A" w14:textId="77777777" w:rsidTr="002343C3">
        <w:tc>
          <w:tcPr>
            <w:tcW w:w="2761" w:type="dxa"/>
            <w:vAlign w:val="bottom"/>
          </w:tcPr>
          <w:p w14:paraId="1C655CAA" w14:textId="77777777" w:rsidR="002C29EF" w:rsidRPr="000D78FB" w:rsidRDefault="002C29EF" w:rsidP="002343C3">
            <w:pPr>
              <w:rPr>
                <w:rFonts w:cstheme="minorHAnsi"/>
                <w:sz w:val="22"/>
                <w:szCs w:val="22"/>
              </w:rPr>
            </w:pPr>
            <w:r>
              <w:rPr>
                <w:rFonts w:cstheme="minorHAnsi"/>
                <w:sz w:val="22"/>
                <w:szCs w:val="22"/>
              </w:rPr>
              <w:t>Hospital admissions, per 100K population</w:t>
            </w:r>
          </w:p>
        </w:tc>
        <w:tc>
          <w:tcPr>
            <w:tcW w:w="1092" w:type="dxa"/>
            <w:vAlign w:val="bottom"/>
          </w:tcPr>
          <w:p w14:paraId="77A0A31F" w14:textId="60C4F8AA" w:rsidR="002C29EF" w:rsidRDefault="002C29EF" w:rsidP="002343C3">
            <w:pPr>
              <w:jc w:val="center"/>
              <w:rPr>
                <w:rFonts w:cstheme="minorHAnsi"/>
                <w:color w:val="000000"/>
                <w:sz w:val="22"/>
                <w:szCs w:val="22"/>
              </w:rPr>
            </w:pPr>
            <w:r>
              <w:rPr>
                <w:rFonts w:cstheme="minorHAnsi"/>
                <w:color w:val="000000"/>
                <w:sz w:val="22"/>
                <w:szCs w:val="22"/>
              </w:rPr>
              <w:t>1.88</w:t>
            </w:r>
          </w:p>
        </w:tc>
        <w:tc>
          <w:tcPr>
            <w:tcW w:w="1704" w:type="dxa"/>
            <w:vAlign w:val="bottom"/>
          </w:tcPr>
          <w:p w14:paraId="689ED365" w14:textId="77777777" w:rsidR="002C29EF" w:rsidRDefault="002C29EF" w:rsidP="002343C3">
            <w:pPr>
              <w:jc w:val="center"/>
              <w:rPr>
                <w:rFonts w:cstheme="minorHAnsi"/>
                <w:color w:val="000000"/>
                <w:sz w:val="22"/>
                <w:szCs w:val="22"/>
              </w:rPr>
            </w:pPr>
            <w:r>
              <w:rPr>
                <w:rFonts w:cstheme="minorHAnsi"/>
                <w:color w:val="000000"/>
                <w:sz w:val="22"/>
                <w:szCs w:val="22"/>
              </w:rPr>
              <w:t>0.004, 12.77</w:t>
            </w:r>
          </w:p>
        </w:tc>
        <w:tc>
          <w:tcPr>
            <w:tcW w:w="830" w:type="dxa"/>
            <w:vAlign w:val="bottom"/>
          </w:tcPr>
          <w:p w14:paraId="3020C2B4" w14:textId="09755A76" w:rsidR="002C29EF" w:rsidRDefault="002C29EF" w:rsidP="002343C3">
            <w:pPr>
              <w:jc w:val="center"/>
              <w:rPr>
                <w:rFonts w:cstheme="minorHAnsi"/>
                <w:color w:val="000000"/>
                <w:sz w:val="22"/>
                <w:szCs w:val="22"/>
              </w:rPr>
            </w:pPr>
            <w:r>
              <w:rPr>
                <w:rFonts w:cstheme="minorHAnsi"/>
                <w:color w:val="000000"/>
                <w:sz w:val="22"/>
                <w:szCs w:val="22"/>
              </w:rPr>
              <w:t>2.323</w:t>
            </w:r>
          </w:p>
        </w:tc>
        <w:tc>
          <w:tcPr>
            <w:tcW w:w="1349" w:type="dxa"/>
            <w:vAlign w:val="bottom"/>
          </w:tcPr>
          <w:p w14:paraId="73DA3447" w14:textId="1C0FF00F" w:rsidR="002C29EF" w:rsidRPr="000D78FB" w:rsidRDefault="002C29EF" w:rsidP="002343C3">
            <w:pPr>
              <w:jc w:val="center"/>
              <w:rPr>
                <w:rFonts w:cstheme="minorHAnsi"/>
                <w:sz w:val="22"/>
                <w:szCs w:val="22"/>
              </w:rPr>
            </w:pPr>
            <w:r>
              <w:rPr>
                <w:rFonts w:cstheme="minorHAnsi"/>
                <w:color w:val="000000"/>
                <w:sz w:val="22"/>
                <w:szCs w:val="22"/>
              </w:rPr>
              <w:t>-0.067</w:t>
            </w:r>
          </w:p>
        </w:tc>
        <w:tc>
          <w:tcPr>
            <w:tcW w:w="955" w:type="dxa"/>
            <w:vAlign w:val="bottom"/>
          </w:tcPr>
          <w:p w14:paraId="15146D2D" w14:textId="6156BB8A" w:rsidR="002C29EF" w:rsidRPr="000D78FB" w:rsidRDefault="002C29EF" w:rsidP="002343C3">
            <w:pPr>
              <w:jc w:val="center"/>
              <w:rPr>
                <w:rFonts w:cstheme="minorHAnsi"/>
                <w:sz w:val="22"/>
                <w:szCs w:val="22"/>
              </w:rPr>
            </w:pPr>
            <w:r>
              <w:rPr>
                <w:rFonts w:cstheme="minorHAnsi"/>
                <w:color w:val="000000"/>
                <w:sz w:val="22"/>
                <w:szCs w:val="22"/>
              </w:rPr>
              <w:t>0.002</w:t>
            </w:r>
          </w:p>
        </w:tc>
        <w:tc>
          <w:tcPr>
            <w:tcW w:w="934" w:type="dxa"/>
            <w:vAlign w:val="bottom"/>
          </w:tcPr>
          <w:p w14:paraId="4BAD01AF" w14:textId="6E9FE890" w:rsidR="002C29EF" w:rsidRPr="000D78FB" w:rsidRDefault="007858C0" w:rsidP="002343C3">
            <w:pPr>
              <w:jc w:val="center"/>
              <w:rPr>
                <w:rFonts w:cstheme="minorHAnsi"/>
                <w:sz w:val="22"/>
                <w:szCs w:val="22"/>
              </w:rPr>
            </w:pPr>
            <w:r>
              <w:rPr>
                <w:rFonts w:cstheme="minorHAnsi"/>
                <w:color w:val="000000"/>
                <w:sz w:val="22"/>
                <w:szCs w:val="22"/>
              </w:rPr>
              <w:t>9.81</w:t>
            </w:r>
            <w:r w:rsidR="002C29EF">
              <w:rPr>
                <w:rFonts w:cstheme="minorHAnsi"/>
                <w:color w:val="000000"/>
                <w:sz w:val="22"/>
                <w:szCs w:val="22"/>
              </w:rPr>
              <w:t>%</w:t>
            </w:r>
          </w:p>
        </w:tc>
      </w:tr>
      <w:tr w:rsidR="002C29EF" w:rsidRPr="00686167" w14:paraId="47E1DD98" w14:textId="77777777" w:rsidTr="002343C3">
        <w:tc>
          <w:tcPr>
            <w:tcW w:w="2761" w:type="dxa"/>
            <w:vAlign w:val="bottom"/>
          </w:tcPr>
          <w:p w14:paraId="268E5CE2" w14:textId="77777777" w:rsidR="002C29EF" w:rsidRPr="000D78FB" w:rsidRDefault="002C29EF" w:rsidP="002343C3">
            <w:pPr>
              <w:rPr>
                <w:rFonts w:cstheme="minorHAnsi"/>
                <w:sz w:val="22"/>
                <w:szCs w:val="22"/>
              </w:rPr>
            </w:pPr>
            <w:r>
              <w:rPr>
                <w:rFonts w:cstheme="minorHAnsi"/>
                <w:sz w:val="22"/>
                <w:szCs w:val="22"/>
              </w:rPr>
              <w:t>Public/total case notification ratio</w:t>
            </w:r>
          </w:p>
        </w:tc>
        <w:tc>
          <w:tcPr>
            <w:tcW w:w="1092" w:type="dxa"/>
            <w:vAlign w:val="bottom"/>
          </w:tcPr>
          <w:p w14:paraId="3E8E10FC" w14:textId="77777777" w:rsidR="002C29EF" w:rsidRDefault="002C29EF" w:rsidP="002343C3">
            <w:pPr>
              <w:jc w:val="center"/>
              <w:rPr>
                <w:rFonts w:cstheme="minorHAnsi"/>
                <w:color w:val="000000"/>
                <w:sz w:val="22"/>
                <w:szCs w:val="22"/>
              </w:rPr>
            </w:pPr>
            <w:r>
              <w:rPr>
                <w:rFonts w:cstheme="minorHAnsi"/>
                <w:color w:val="000000"/>
                <w:sz w:val="22"/>
                <w:szCs w:val="22"/>
              </w:rPr>
              <w:t>0.763</w:t>
            </w:r>
          </w:p>
        </w:tc>
        <w:tc>
          <w:tcPr>
            <w:tcW w:w="1704" w:type="dxa"/>
            <w:vAlign w:val="bottom"/>
          </w:tcPr>
          <w:p w14:paraId="6B2E66F1" w14:textId="77777777" w:rsidR="002C29EF" w:rsidRDefault="002C29EF" w:rsidP="002343C3">
            <w:pPr>
              <w:jc w:val="center"/>
              <w:rPr>
                <w:rFonts w:cstheme="minorHAnsi"/>
                <w:color w:val="000000"/>
                <w:sz w:val="22"/>
                <w:szCs w:val="22"/>
              </w:rPr>
            </w:pPr>
            <w:r>
              <w:rPr>
                <w:rFonts w:cstheme="minorHAnsi"/>
                <w:color w:val="000000"/>
                <w:sz w:val="22"/>
                <w:szCs w:val="22"/>
              </w:rPr>
              <w:t>0.420, 1.000</w:t>
            </w:r>
          </w:p>
        </w:tc>
        <w:tc>
          <w:tcPr>
            <w:tcW w:w="830" w:type="dxa"/>
            <w:vAlign w:val="bottom"/>
          </w:tcPr>
          <w:p w14:paraId="6E300BC2" w14:textId="77777777" w:rsidR="002C29EF" w:rsidRDefault="002C29EF" w:rsidP="002343C3">
            <w:pPr>
              <w:jc w:val="center"/>
              <w:rPr>
                <w:rFonts w:cstheme="minorHAnsi"/>
                <w:color w:val="000000"/>
                <w:sz w:val="22"/>
                <w:szCs w:val="22"/>
              </w:rPr>
            </w:pPr>
            <w:r>
              <w:rPr>
                <w:rFonts w:cstheme="minorHAnsi"/>
                <w:color w:val="000000"/>
                <w:sz w:val="22"/>
                <w:szCs w:val="22"/>
              </w:rPr>
              <w:t>0.121</w:t>
            </w:r>
          </w:p>
        </w:tc>
        <w:tc>
          <w:tcPr>
            <w:tcW w:w="1349" w:type="dxa"/>
            <w:vAlign w:val="bottom"/>
          </w:tcPr>
          <w:p w14:paraId="443FF402" w14:textId="7B2E4A1E" w:rsidR="002C29EF" w:rsidRPr="000D78FB" w:rsidRDefault="002C29EF" w:rsidP="002343C3">
            <w:pPr>
              <w:jc w:val="center"/>
              <w:rPr>
                <w:rFonts w:cstheme="minorHAnsi"/>
                <w:sz w:val="22"/>
                <w:szCs w:val="22"/>
              </w:rPr>
            </w:pPr>
            <w:r>
              <w:rPr>
                <w:rFonts w:cstheme="minorHAnsi"/>
                <w:color w:val="000000"/>
                <w:sz w:val="22"/>
                <w:szCs w:val="22"/>
              </w:rPr>
              <w:t>0.705</w:t>
            </w:r>
          </w:p>
        </w:tc>
        <w:tc>
          <w:tcPr>
            <w:tcW w:w="955" w:type="dxa"/>
            <w:vAlign w:val="bottom"/>
          </w:tcPr>
          <w:p w14:paraId="6480C52B" w14:textId="08A9FE3F" w:rsidR="002C29EF" w:rsidRPr="000D78FB" w:rsidRDefault="002C29EF" w:rsidP="002343C3">
            <w:pPr>
              <w:jc w:val="center"/>
              <w:rPr>
                <w:rFonts w:cstheme="minorHAnsi"/>
                <w:sz w:val="22"/>
                <w:szCs w:val="22"/>
              </w:rPr>
            </w:pPr>
            <w:r>
              <w:rPr>
                <w:rFonts w:cstheme="minorHAnsi"/>
                <w:color w:val="000000"/>
                <w:sz w:val="22"/>
                <w:szCs w:val="22"/>
              </w:rPr>
              <w:t>0.314</w:t>
            </w:r>
          </w:p>
        </w:tc>
        <w:tc>
          <w:tcPr>
            <w:tcW w:w="934" w:type="dxa"/>
            <w:vAlign w:val="bottom"/>
          </w:tcPr>
          <w:p w14:paraId="3B18F7A9" w14:textId="2597F5C9" w:rsidR="002C29EF" w:rsidRPr="000D78FB" w:rsidRDefault="007858C0" w:rsidP="002343C3">
            <w:pPr>
              <w:jc w:val="center"/>
              <w:rPr>
                <w:rFonts w:cstheme="minorHAnsi"/>
                <w:sz w:val="22"/>
                <w:szCs w:val="22"/>
              </w:rPr>
            </w:pPr>
            <w:r>
              <w:rPr>
                <w:rFonts w:cstheme="minorHAnsi"/>
                <w:color w:val="000000"/>
                <w:sz w:val="22"/>
                <w:szCs w:val="22"/>
              </w:rPr>
              <w:t>4.06</w:t>
            </w:r>
            <w:r w:rsidR="002C29EF">
              <w:rPr>
                <w:rFonts w:cstheme="minorHAnsi"/>
                <w:color w:val="000000"/>
                <w:sz w:val="22"/>
                <w:szCs w:val="22"/>
              </w:rPr>
              <w:t>%</w:t>
            </w:r>
          </w:p>
        </w:tc>
      </w:tr>
    </w:tbl>
    <w:p w14:paraId="3EFEE9D5" w14:textId="77777777" w:rsidR="002C29EF" w:rsidRDefault="002C29EF" w:rsidP="002C29EF">
      <w:pPr>
        <w:rPr>
          <w:sz w:val="20"/>
          <w:szCs w:val="20"/>
        </w:rPr>
      </w:pPr>
    </w:p>
    <w:p w14:paraId="545D7382" w14:textId="3AF59032" w:rsidR="002C29EF" w:rsidRPr="005D3D9F" w:rsidRDefault="002C29EF" w:rsidP="002C29EF">
      <w:pPr>
        <w:rPr>
          <w:sz w:val="20"/>
          <w:szCs w:val="20"/>
        </w:rPr>
      </w:pPr>
      <w:r w:rsidRPr="005D3D9F">
        <w:rPr>
          <w:sz w:val="20"/>
          <w:szCs w:val="20"/>
        </w:rPr>
        <w:t xml:space="preserve">Table </w:t>
      </w:r>
      <w:r w:rsidR="007C3135">
        <w:rPr>
          <w:sz w:val="20"/>
          <w:szCs w:val="20"/>
        </w:rPr>
        <w:t>A2</w:t>
      </w:r>
      <w:r w:rsidRPr="005D3D9F">
        <w:rPr>
          <w:sz w:val="20"/>
          <w:szCs w:val="20"/>
        </w:rPr>
        <w:t xml:space="preserve">: </w:t>
      </w:r>
      <w:r>
        <w:rPr>
          <w:sz w:val="20"/>
          <w:szCs w:val="20"/>
        </w:rPr>
        <w:t>Historical e</w:t>
      </w:r>
      <w:r w:rsidRPr="005D3D9F">
        <w:rPr>
          <w:sz w:val="20"/>
          <w:szCs w:val="20"/>
        </w:rPr>
        <w:t xml:space="preserve">valuation of covariates in the regression model </w:t>
      </w:r>
      <w:r>
        <w:rPr>
          <w:sz w:val="20"/>
          <w:szCs w:val="20"/>
        </w:rPr>
        <w:t>to validate robustness of results</w:t>
      </w:r>
      <w:r w:rsidRPr="005D3D9F">
        <w:rPr>
          <w:sz w:val="20"/>
          <w:szCs w:val="20"/>
        </w:rPr>
        <w:t xml:space="preserve"> (i.e. </w:t>
      </w:r>
      <w:r>
        <w:rPr>
          <w:sz w:val="20"/>
          <w:szCs w:val="20"/>
        </w:rPr>
        <w:t xml:space="preserve">only through </w:t>
      </w:r>
      <w:r w:rsidR="007858C0">
        <w:rPr>
          <w:sz w:val="20"/>
          <w:szCs w:val="20"/>
        </w:rPr>
        <w:t>December</w:t>
      </w:r>
      <w:r>
        <w:rPr>
          <w:sz w:val="20"/>
          <w:szCs w:val="20"/>
        </w:rPr>
        <w:t xml:space="preserve"> 2020</w:t>
      </w:r>
      <w:r w:rsidRPr="005D3D9F">
        <w:rPr>
          <w:sz w:val="20"/>
          <w:szCs w:val="20"/>
        </w:rPr>
        <w:t>).  SD = standard deviation. Overall R</w:t>
      </w:r>
      <w:r w:rsidRPr="005D3D9F">
        <w:rPr>
          <w:sz w:val="20"/>
          <w:szCs w:val="20"/>
          <w:vertAlign w:val="superscript"/>
        </w:rPr>
        <w:t>2</w:t>
      </w:r>
      <w:r w:rsidRPr="005D3D9F">
        <w:rPr>
          <w:sz w:val="20"/>
          <w:szCs w:val="20"/>
        </w:rPr>
        <w:t xml:space="preserve"> was </w:t>
      </w:r>
      <w:r w:rsidR="00C52C6A">
        <w:rPr>
          <w:sz w:val="20"/>
          <w:szCs w:val="20"/>
        </w:rPr>
        <w:t>38.1</w:t>
      </w:r>
      <w:r w:rsidRPr="005D3D9F">
        <w:rPr>
          <w:sz w:val="20"/>
          <w:szCs w:val="20"/>
        </w:rPr>
        <w:t>%. Coefficient for the regression, P value, and percentage contribution to the R</w:t>
      </w:r>
      <w:r w:rsidRPr="005D3D9F">
        <w:rPr>
          <w:sz w:val="20"/>
          <w:szCs w:val="20"/>
          <w:vertAlign w:val="superscript"/>
        </w:rPr>
        <w:t>2</w:t>
      </w:r>
      <w:r w:rsidRPr="005D3D9F">
        <w:rPr>
          <w:sz w:val="20"/>
          <w:szCs w:val="20"/>
        </w:rPr>
        <w:t xml:space="preserve"> for mask use, mobility, hospital admissions, and the ratio of public case notification/total case notification are demonstrated in the table.  Regression was not performed on the Union Territories due to lack of available data on mobility, mask use, and COVID-19 related hospitalizations from that area.</w:t>
      </w:r>
    </w:p>
    <w:p w14:paraId="4699866C" w14:textId="0AC6B0A2" w:rsidR="002C29EF" w:rsidRDefault="002C29EF"/>
    <w:p w14:paraId="29F38F31" w14:textId="7FC9047E" w:rsidR="00F722CC" w:rsidRDefault="00F722CC"/>
    <w:p w14:paraId="7A289555" w14:textId="77777777" w:rsidR="00C52C6A" w:rsidRDefault="00C52C6A" w:rsidP="00C52C6A">
      <w:pPr>
        <w:rPr>
          <w:b/>
          <w:bCs/>
          <w:u w:val="single"/>
        </w:rPr>
      </w:pPr>
      <w:r w:rsidRPr="002C29EF">
        <w:rPr>
          <w:b/>
          <w:bCs/>
          <w:u w:val="single"/>
        </w:rPr>
        <w:t xml:space="preserve">Description of </w:t>
      </w:r>
      <w:r>
        <w:rPr>
          <w:b/>
          <w:bCs/>
          <w:u w:val="single"/>
        </w:rPr>
        <w:t xml:space="preserve">data processing for </w:t>
      </w:r>
      <w:r w:rsidRPr="002C29EF">
        <w:rPr>
          <w:b/>
          <w:bCs/>
          <w:u w:val="single"/>
        </w:rPr>
        <w:t xml:space="preserve">Mask Use </w:t>
      </w:r>
      <w:r>
        <w:rPr>
          <w:b/>
          <w:bCs/>
          <w:u w:val="single"/>
        </w:rPr>
        <w:t>and Mobility covariates</w:t>
      </w:r>
      <w:r w:rsidRPr="009950CE">
        <w:rPr>
          <w:b/>
          <w:bCs/>
          <w:u w:val="single"/>
          <w:vertAlign w:val="superscript"/>
        </w:rPr>
        <w:t>1</w:t>
      </w:r>
    </w:p>
    <w:p w14:paraId="19C3546F" w14:textId="758AD347" w:rsidR="00C52C6A" w:rsidRDefault="00C52C6A">
      <w:pPr>
        <w:rPr>
          <w:b/>
          <w:bCs/>
          <w:u w:val="single"/>
        </w:rPr>
      </w:pPr>
    </w:p>
    <w:p w14:paraId="29AAEB6B" w14:textId="77777777" w:rsidR="00C52C6A" w:rsidRDefault="00C52C6A" w:rsidP="00C52C6A">
      <w:r>
        <w:t xml:space="preserve">The mask use covariate represents the proportion of adults that self-report always wearing a mask when outside their homes. To evaluate mask usage in countries including India, COVID-19 symptom survey data collected via the Facebook app by the University of Maryland were used. </w:t>
      </w:r>
      <w:r w:rsidRPr="002E2E92">
        <w:t xml:space="preserve">Although the main purpose of the survey </w:t>
      </w:r>
      <w:r>
        <w:t>was</w:t>
      </w:r>
      <w:r w:rsidRPr="002E2E92">
        <w:t xml:space="preserve"> to collect data on COVID-19-related symptoms, the responses to the following question w</w:t>
      </w:r>
      <w:r>
        <w:t>ere</w:t>
      </w:r>
      <w:r w:rsidRPr="002E2E92">
        <w:t xml:space="preserve"> used for </w:t>
      </w:r>
      <w:r>
        <w:t xml:space="preserve">creating the mask use covariate: “In the last 7 days, how often did you wear a mask when in public?” Response options include: “All of </w:t>
      </w:r>
      <w:r>
        <w:lastRenderedPageBreak/>
        <w:t xml:space="preserve">the time; Most of the time; About half of the time; Sometimes; Never; I have not been in public during the last 7 days”. </w:t>
      </w:r>
    </w:p>
    <w:p w14:paraId="1D1642D6" w14:textId="77777777" w:rsidR="00C52C6A" w:rsidRDefault="00C52C6A" w:rsidP="00C52C6A">
      <w:pPr>
        <w:rPr>
          <w:b/>
          <w:bCs/>
          <w:u w:val="single"/>
        </w:rPr>
      </w:pPr>
    </w:p>
    <w:p w14:paraId="7A0ED2D9" w14:textId="77777777" w:rsidR="00C52C6A" w:rsidRPr="002E2E92" w:rsidRDefault="00C52C6A" w:rsidP="00C52C6A">
      <w:r>
        <w:t>M</w:t>
      </w:r>
      <w:r w:rsidRPr="002E2E92">
        <w:t xml:space="preserve">obility is measured as a relative change from </w:t>
      </w:r>
      <w:r>
        <w:t>the</w:t>
      </w:r>
      <w:r w:rsidRPr="002E2E92">
        <w:t xml:space="preserve"> pre-pandemic baseline level.</w:t>
      </w:r>
      <w:r>
        <w:t xml:space="preserve"> </w:t>
      </w:r>
      <w:r w:rsidRPr="002E2E92">
        <w:t xml:space="preserve">Google data </w:t>
      </w:r>
      <w:r>
        <w:t>represent</w:t>
      </w:r>
      <w:r w:rsidRPr="002E2E92">
        <w:t xml:space="preserve"> a percentage difference in </w:t>
      </w:r>
      <w:r>
        <w:t>visiting certain places/destinations</w:t>
      </w:r>
      <w:r w:rsidRPr="002E2E92">
        <w:t xml:space="preserve"> relative to the </w:t>
      </w:r>
      <w:r>
        <w:t>baseline, which is the median value, for the corresponding day of the week during</w:t>
      </w:r>
      <w:r w:rsidRPr="002E2E92">
        <w:t xml:space="preserve"> the period from January 3 to February 6, 2020.</w:t>
      </w:r>
      <w:r>
        <w:t xml:space="preserve"> Data reports are stratified </w:t>
      </w:r>
      <w:r w:rsidRPr="006A66CB">
        <w:t>according to</w:t>
      </w:r>
      <w:r>
        <w:t xml:space="preserve"> six destinations: “Retail &amp; recreation”, “Grocery and pharmacy”, “Parks”, “Transit stations”, “Workplaces”, and “Residential”. The average of the percentage change in the “Retail &amp; recreation”, “Transit stations”, and “Workplaces” was computed </w:t>
      </w:r>
      <w:r w:rsidRPr="006A66CB">
        <w:t>given that these three destinations represent activities most strongly impacted by the social distancing measures.</w:t>
      </w:r>
      <w:r>
        <w:t xml:space="preserve"> </w:t>
      </w:r>
      <w:r w:rsidRPr="002E2E92">
        <w:t xml:space="preserve">Facebook </w:t>
      </w:r>
      <w:r>
        <w:t>measure</w:t>
      </w:r>
      <w:r w:rsidRPr="002E2E92">
        <w:t xml:space="preserve">s baseline mobility as the average over the 45 days </w:t>
      </w:r>
      <w:r>
        <w:t xml:space="preserve">before </w:t>
      </w:r>
      <w:r w:rsidRPr="002E2E92">
        <w:t xml:space="preserve">the </w:t>
      </w:r>
      <w:r>
        <w:t>beginning of data collection</w:t>
      </w:r>
      <w:r w:rsidRPr="002E2E92">
        <w:t>.</w:t>
      </w:r>
      <w:r>
        <w:t xml:space="preserve"> To enhance comparability of different baseline periods, Facebook data were adjusted to be </w:t>
      </w:r>
      <w:r w:rsidRPr="002E2E92">
        <w:t>consistent with the baseline from Google</w:t>
      </w:r>
      <w:r>
        <w:t xml:space="preserve">. </w:t>
      </w:r>
    </w:p>
    <w:p w14:paraId="25BBB722" w14:textId="77777777" w:rsidR="00C52C6A" w:rsidRDefault="00C52C6A" w:rsidP="00C52C6A">
      <w:pPr>
        <w:rPr>
          <w:b/>
          <w:bCs/>
          <w:u w:val="single"/>
        </w:rPr>
      </w:pPr>
    </w:p>
    <w:p w14:paraId="2D6D6733" w14:textId="77777777" w:rsidR="00C52C6A" w:rsidRPr="009950CE" w:rsidRDefault="00C52C6A" w:rsidP="00C52C6A">
      <w:pPr>
        <w:rPr>
          <w:b/>
          <w:bCs/>
        </w:rPr>
      </w:pPr>
      <w:r w:rsidRPr="009950CE">
        <w:rPr>
          <w:b/>
          <w:bCs/>
        </w:rPr>
        <w:t>Reference</w:t>
      </w:r>
    </w:p>
    <w:p w14:paraId="591CCCD1" w14:textId="77777777" w:rsidR="00C52C6A" w:rsidRPr="009950CE" w:rsidRDefault="00C52C6A" w:rsidP="00C52C6A">
      <w:pPr>
        <w:rPr>
          <w:bCs/>
        </w:rPr>
      </w:pPr>
      <w:r w:rsidRPr="009950CE">
        <w:rPr>
          <w:bCs/>
        </w:rPr>
        <w:t xml:space="preserve">1. </w:t>
      </w:r>
      <w:r>
        <w:rPr>
          <w:bCs/>
        </w:rPr>
        <w:t>IHME</w:t>
      </w:r>
      <w:r w:rsidRPr="009950CE">
        <w:rPr>
          <w:bCs/>
        </w:rPr>
        <w:t xml:space="preserve"> C</w:t>
      </w:r>
      <w:r>
        <w:rPr>
          <w:bCs/>
        </w:rPr>
        <w:t>OVID</w:t>
      </w:r>
      <w:r w:rsidRPr="009950CE">
        <w:rPr>
          <w:bCs/>
        </w:rPr>
        <w:t>-</w:t>
      </w:r>
      <w:r>
        <w:rPr>
          <w:bCs/>
        </w:rPr>
        <w:t>19</w:t>
      </w:r>
      <w:r w:rsidRPr="009950CE">
        <w:rPr>
          <w:bCs/>
        </w:rPr>
        <w:t xml:space="preserve"> Forecasting Team, Modeling COVID-19 scenarios for the United States. Nat Med, 2021. 27(1): p. 94-105.</w:t>
      </w:r>
    </w:p>
    <w:p w14:paraId="69D84A65" w14:textId="77777777" w:rsidR="00C52C6A" w:rsidRPr="002C29EF" w:rsidRDefault="00C52C6A">
      <w:pPr>
        <w:rPr>
          <w:b/>
          <w:bCs/>
          <w:u w:val="single"/>
        </w:rPr>
      </w:pPr>
    </w:p>
    <w:sectPr w:rsidR="00C52C6A" w:rsidRPr="002C29EF" w:rsidSect="0046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C1"/>
    <w:rsid w:val="00023968"/>
    <w:rsid w:val="000302DB"/>
    <w:rsid w:val="00045D02"/>
    <w:rsid w:val="000602A2"/>
    <w:rsid w:val="00061B0E"/>
    <w:rsid w:val="00062260"/>
    <w:rsid w:val="00071988"/>
    <w:rsid w:val="00073C6A"/>
    <w:rsid w:val="00086C89"/>
    <w:rsid w:val="00095790"/>
    <w:rsid w:val="000A1171"/>
    <w:rsid w:val="000B2088"/>
    <w:rsid w:val="000B4179"/>
    <w:rsid w:val="000D137A"/>
    <w:rsid w:val="000E0D03"/>
    <w:rsid w:val="000F493B"/>
    <w:rsid w:val="001000F7"/>
    <w:rsid w:val="00102853"/>
    <w:rsid w:val="001119C6"/>
    <w:rsid w:val="001230E1"/>
    <w:rsid w:val="00134C7F"/>
    <w:rsid w:val="00154273"/>
    <w:rsid w:val="00167626"/>
    <w:rsid w:val="0018213B"/>
    <w:rsid w:val="00191A68"/>
    <w:rsid w:val="00195D29"/>
    <w:rsid w:val="001B1EBD"/>
    <w:rsid w:val="001E5F2F"/>
    <w:rsid w:val="00212FD6"/>
    <w:rsid w:val="00215FBD"/>
    <w:rsid w:val="00217D42"/>
    <w:rsid w:val="00222E19"/>
    <w:rsid w:val="002257DE"/>
    <w:rsid w:val="00234EB7"/>
    <w:rsid w:val="00235C35"/>
    <w:rsid w:val="00251741"/>
    <w:rsid w:val="00263A55"/>
    <w:rsid w:val="0027049F"/>
    <w:rsid w:val="0028040B"/>
    <w:rsid w:val="002A11F7"/>
    <w:rsid w:val="002A5A63"/>
    <w:rsid w:val="002C29EF"/>
    <w:rsid w:val="002C337E"/>
    <w:rsid w:val="002F67FF"/>
    <w:rsid w:val="00321380"/>
    <w:rsid w:val="003242AE"/>
    <w:rsid w:val="0033014B"/>
    <w:rsid w:val="003845A5"/>
    <w:rsid w:val="00394346"/>
    <w:rsid w:val="003A25F2"/>
    <w:rsid w:val="003A503C"/>
    <w:rsid w:val="003B2C5B"/>
    <w:rsid w:val="003C1768"/>
    <w:rsid w:val="003D28FF"/>
    <w:rsid w:val="003E2B90"/>
    <w:rsid w:val="003E309F"/>
    <w:rsid w:val="003E7C64"/>
    <w:rsid w:val="00412619"/>
    <w:rsid w:val="00420AF3"/>
    <w:rsid w:val="004457A6"/>
    <w:rsid w:val="004532E5"/>
    <w:rsid w:val="00461505"/>
    <w:rsid w:val="00464D19"/>
    <w:rsid w:val="004740BA"/>
    <w:rsid w:val="00482586"/>
    <w:rsid w:val="004B09C5"/>
    <w:rsid w:val="004B670C"/>
    <w:rsid w:val="004D0A1C"/>
    <w:rsid w:val="004D2EC4"/>
    <w:rsid w:val="004E15CA"/>
    <w:rsid w:val="004F79A1"/>
    <w:rsid w:val="00504BEA"/>
    <w:rsid w:val="005172DD"/>
    <w:rsid w:val="00522132"/>
    <w:rsid w:val="005229E4"/>
    <w:rsid w:val="0053226A"/>
    <w:rsid w:val="005414D2"/>
    <w:rsid w:val="00542084"/>
    <w:rsid w:val="005500C4"/>
    <w:rsid w:val="00555006"/>
    <w:rsid w:val="0057198A"/>
    <w:rsid w:val="00573DC3"/>
    <w:rsid w:val="00587522"/>
    <w:rsid w:val="00593344"/>
    <w:rsid w:val="005941BA"/>
    <w:rsid w:val="005A4A9A"/>
    <w:rsid w:val="005D3D9F"/>
    <w:rsid w:val="005E00A1"/>
    <w:rsid w:val="006001D9"/>
    <w:rsid w:val="00611E7A"/>
    <w:rsid w:val="00624EF2"/>
    <w:rsid w:val="0062673A"/>
    <w:rsid w:val="00652615"/>
    <w:rsid w:val="006626C5"/>
    <w:rsid w:val="0067023D"/>
    <w:rsid w:val="00677CA2"/>
    <w:rsid w:val="00690949"/>
    <w:rsid w:val="006913E7"/>
    <w:rsid w:val="0069502A"/>
    <w:rsid w:val="006B623F"/>
    <w:rsid w:val="006B72EC"/>
    <w:rsid w:val="006D190F"/>
    <w:rsid w:val="006F2C35"/>
    <w:rsid w:val="006F7491"/>
    <w:rsid w:val="00715AFC"/>
    <w:rsid w:val="00741A14"/>
    <w:rsid w:val="007430A2"/>
    <w:rsid w:val="00744257"/>
    <w:rsid w:val="00755130"/>
    <w:rsid w:val="0076301D"/>
    <w:rsid w:val="00772F8D"/>
    <w:rsid w:val="007858C0"/>
    <w:rsid w:val="0078698D"/>
    <w:rsid w:val="007A2916"/>
    <w:rsid w:val="007C3135"/>
    <w:rsid w:val="007D1AC7"/>
    <w:rsid w:val="007E03AE"/>
    <w:rsid w:val="007E37F7"/>
    <w:rsid w:val="007F223C"/>
    <w:rsid w:val="00804409"/>
    <w:rsid w:val="008142CE"/>
    <w:rsid w:val="00823313"/>
    <w:rsid w:val="00831A9F"/>
    <w:rsid w:val="00857BBB"/>
    <w:rsid w:val="00860673"/>
    <w:rsid w:val="00860FFE"/>
    <w:rsid w:val="00871C13"/>
    <w:rsid w:val="00873E38"/>
    <w:rsid w:val="008854AA"/>
    <w:rsid w:val="008874C4"/>
    <w:rsid w:val="00891635"/>
    <w:rsid w:val="00891789"/>
    <w:rsid w:val="008A6FA0"/>
    <w:rsid w:val="008B4F90"/>
    <w:rsid w:val="008B7A0F"/>
    <w:rsid w:val="008C2D76"/>
    <w:rsid w:val="008C682D"/>
    <w:rsid w:val="008D5ED1"/>
    <w:rsid w:val="008E06CB"/>
    <w:rsid w:val="008E1330"/>
    <w:rsid w:val="008E4D9C"/>
    <w:rsid w:val="008F6DE2"/>
    <w:rsid w:val="00924865"/>
    <w:rsid w:val="00926D7C"/>
    <w:rsid w:val="0093109F"/>
    <w:rsid w:val="009328B7"/>
    <w:rsid w:val="00942CE8"/>
    <w:rsid w:val="0095239E"/>
    <w:rsid w:val="009650D4"/>
    <w:rsid w:val="00972540"/>
    <w:rsid w:val="00972C40"/>
    <w:rsid w:val="009805E3"/>
    <w:rsid w:val="009B504D"/>
    <w:rsid w:val="009C0773"/>
    <w:rsid w:val="009C6FDF"/>
    <w:rsid w:val="009D1C2C"/>
    <w:rsid w:val="009D548C"/>
    <w:rsid w:val="009E2716"/>
    <w:rsid w:val="009E4EA4"/>
    <w:rsid w:val="009F1DE5"/>
    <w:rsid w:val="009F3228"/>
    <w:rsid w:val="00A022C9"/>
    <w:rsid w:val="00A15E1D"/>
    <w:rsid w:val="00A251F2"/>
    <w:rsid w:val="00A75A6E"/>
    <w:rsid w:val="00A93E3B"/>
    <w:rsid w:val="00A93E59"/>
    <w:rsid w:val="00AA58BA"/>
    <w:rsid w:val="00AB1074"/>
    <w:rsid w:val="00AB380E"/>
    <w:rsid w:val="00AB46D4"/>
    <w:rsid w:val="00AC2919"/>
    <w:rsid w:val="00AC5004"/>
    <w:rsid w:val="00AD294D"/>
    <w:rsid w:val="00AD3B91"/>
    <w:rsid w:val="00AD7350"/>
    <w:rsid w:val="00B000E5"/>
    <w:rsid w:val="00B04AF0"/>
    <w:rsid w:val="00B07F16"/>
    <w:rsid w:val="00B10220"/>
    <w:rsid w:val="00B24B4A"/>
    <w:rsid w:val="00B2529F"/>
    <w:rsid w:val="00B3139E"/>
    <w:rsid w:val="00B41420"/>
    <w:rsid w:val="00B44B23"/>
    <w:rsid w:val="00B547E1"/>
    <w:rsid w:val="00B67350"/>
    <w:rsid w:val="00B73425"/>
    <w:rsid w:val="00B80E7C"/>
    <w:rsid w:val="00B84AAE"/>
    <w:rsid w:val="00B84F59"/>
    <w:rsid w:val="00B90C65"/>
    <w:rsid w:val="00BA39B5"/>
    <w:rsid w:val="00BB2274"/>
    <w:rsid w:val="00BB382C"/>
    <w:rsid w:val="00BB6FE0"/>
    <w:rsid w:val="00BE28F7"/>
    <w:rsid w:val="00BE603C"/>
    <w:rsid w:val="00BE768B"/>
    <w:rsid w:val="00BF034C"/>
    <w:rsid w:val="00C0534F"/>
    <w:rsid w:val="00C24C33"/>
    <w:rsid w:val="00C4696D"/>
    <w:rsid w:val="00C52C6A"/>
    <w:rsid w:val="00C60A0D"/>
    <w:rsid w:val="00C95798"/>
    <w:rsid w:val="00CA325C"/>
    <w:rsid w:val="00CA443C"/>
    <w:rsid w:val="00CC5F7D"/>
    <w:rsid w:val="00CD4B60"/>
    <w:rsid w:val="00CE1500"/>
    <w:rsid w:val="00CF4298"/>
    <w:rsid w:val="00CF78B6"/>
    <w:rsid w:val="00D12CA3"/>
    <w:rsid w:val="00D16B53"/>
    <w:rsid w:val="00D229D4"/>
    <w:rsid w:val="00D26820"/>
    <w:rsid w:val="00D2719C"/>
    <w:rsid w:val="00D379E1"/>
    <w:rsid w:val="00D521DE"/>
    <w:rsid w:val="00D85A8F"/>
    <w:rsid w:val="00DA4F95"/>
    <w:rsid w:val="00DB1E56"/>
    <w:rsid w:val="00DC15B0"/>
    <w:rsid w:val="00DC2FA5"/>
    <w:rsid w:val="00DD0141"/>
    <w:rsid w:val="00DF095F"/>
    <w:rsid w:val="00DF12E1"/>
    <w:rsid w:val="00DF7390"/>
    <w:rsid w:val="00E11DFA"/>
    <w:rsid w:val="00E2222D"/>
    <w:rsid w:val="00E4028C"/>
    <w:rsid w:val="00E417CD"/>
    <w:rsid w:val="00E41F52"/>
    <w:rsid w:val="00E45E83"/>
    <w:rsid w:val="00E515CC"/>
    <w:rsid w:val="00E63351"/>
    <w:rsid w:val="00E90534"/>
    <w:rsid w:val="00E97F07"/>
    <w:rsid w:val="00EB145F"/>
    <w:rsid w:val="00EB7872"/>
    <w:rsid w:val="00EC20BC"/>
    <w:rsid w:val="00EC283F"/>
    <w:rsid w:val="00EC3E15"/>
    <w:rsid w:val="00EC5134"/>
    <w:rsid w:val="00ED16C1"/>
    <w:rsid w:val="00ED6607"/>
    <w:rsid w:val="00EE02A0"/>
    <w:rsid w:val="00EE6ADC"/>
    <w:rsid w:val="00EF6CE9"/>
    <w:rsid w:val="00F100C5"/>
    <w:rsid w:val="00F2362D"/>
    <w:rsid w:val="00F261E3"/>
    <w:rsid w:val="00F34034"/>
    <w:rsid w:val="00F722CC"/>
    <w:rsid w:val="00F72356"/>
    <w:rsid w:val="00F73A74"/>
    <w:rsid w:val="00F9090F"/>
    <w:rsid w:val="00FA64EA"/>
    <w:rsid w:val="00FB2771"/>
    <w:rsid w:val="00FB734D"/>
    <w:rsid w:val="00FB7A4A"/>
    <w:rsid w:val="00FB7C64"/>
    <w:rsid w:val="00FC2E4B"/>
    <w:rsid w:val="00FC6918"/>
    <w:rsid w:val="00FD7127"/>
    <w:rsid w:val="00FD7D01"/>
    <w:rsid w:val="00FE19B3"/>
    <w:rsid w:val="00FE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5127"/>
  <w15:chartTrackingRefBased/>
  <w15:docId w15:val="{73503F17-1F7E-0644-A06C-1E8CED95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Arentz</dc:creator>
  <cp:keywords/>
  <dc:description/>
  <cp:lastModifiedBy>Rajeshwari A.</cp:lastModifiedBy>
  <cp:revision>10</cp:revision>
  <dcterms:created xsi:type="dcterms:W3CDTF">2021-11-03T18:50:00Z</dcterms:created>
  <dcterms:modified xsi:type="dcterms:W3CDTF">2022-01-21T15:43:00Z</dcterms:modified>
</cp:coreProperties>
</file>