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5B33" w14:textId="40B1AFBC" w:rsidR="00D64018" w:rsidRPr="002A704E" w:rsidRDefault="00D64018" w:rsidP="00D64018">
      <w:pPr>
        <w:spacing w:line="480" w:lineRule="auto"/>
        <w:jc w:val="center"/>
        <w:rPr>
          <w:i/>
          <w:iCs/>
        </w:rPr>
      </w:pPr>
      <w:r w:rsidRPr="002A704E">
        <w:rPr>
          <w:i/>
          <w:iCs/>
        </w:rPr>
        <w:t>Annexure</w:t>
      </w:r>
    </w:p>
    <w:p w14:paraId="6D67E8EE" w14:textId="37F97D03" w:rsidR="00FC418C" w:rsidRPr="002A704E" w:rsidRDefault="00FC418C" w:rsidP="00ED7A77">
      <w:pPr>
        <w:spacing w:line="360" w:lineRule="auto"/>
        <w:rPr>
          <w:b/>
          <w:bCs/>
        </w:rPr>
      </w:pPr>
      <w:r w:rsidRPr="002A704E">
        <w:rPr>
          <w:b/>
          <w:bCs/>
        </w:rPr>
        <w:t xml:space="preserve">Impact of COVID-19 restrictive measures on income and </w:t>
      </w:r>
      <w:r w:rsidR="00335749" w:rsidRPr="002A704E">
        <w:rPr>
          <w:b/>
          <w:bCs/>
        </w:rPr>
        <w:t xml:space="preserve">health </w:t>
      </w:r>
      <w:r w:rsidRPr="002A704E">
        <w:rPr>
          <w:b/>
          <w:bCs/>
        </w:rPr>
        <w:t>service utilization of tuberculosis patients in India</w:t>
      </w:r>
    </w:p>
    <w:p w14:paraId="0309E1D1" w14:textId="24639CB4" w:rsidR="003C23F9" w:rsidRPr="002A704E" w:rsidRDefault="003C23F9" w:rsidP="003C23F9">
      <w:pPr>
        <w:spacing w:line="480" w:lineRule="auto"/>
        <w:rPr>
          <w:i/>
          <w:iCs/>
        </w:rPr>
      </w:pPr>
      <w:r w:rsidRPr="002A704E">
        <w:rPr>
          <w:i/>
          <w:iCs/>
        </w:rPr>
        <w:t>Objective of the ongoing study</w:t>
      </w:r>
    </w:p>
    <w:p w14:paraId="18F6743F" w14:textId="406759C3" w:rsidR="009F5A65" w:rsidRPr="002A704E" w:rsidRDefault="00FC418C" w:rsidP="003C23F9">
      <w:pPr>
        <w:spacing w:line="480" w:lineRule="auto"/>
      </w:pPr>
      <w:r w:rsidRPr="002A704E">
        <w:t>The present study is part of an ongoing study t</w:t>
      </w:r>
      <w:r w:rsidR="003C23F9" w:rsidRPr="002A704E">
        <w:t xml:space="preserve">he objective </w:t>
      </w:r>
      <w:r w:rsidRPr="002A704E">
        <w:t>of which</w:t>
      </w:r>
      <w:r w:rsidR="003C23F9" w:rsidRPr="002A704E">
        <w:t xml:space="preserve"> </w:t>
      </w:r>
      <w:r w:rsidR="009F5A65" w:rsidRPr="002A704E">
        <w:t xml:space="preserve">is to present the </w:t>
      </w:r>
      <w:r w:rsidR="00D632F3" w:rsidRPr="002A704E">
        <w:t xml:space="preserve">economic burden of </w:t>
      </w:r>
      <w:r w:rsidR="009F5A65" w:rsidRPr="002A704E">
        <w:t>TB in India</w:t>
      </w:r>
      <w:r w:rsidR="00D632F3" w:rsidRPr="002A704E">
        <w:t>. We collect data to report the journey of the TB patients in India</w:t>
      </w:r>
      <w:r w:rsidR="009F5A65" w:rsidRPr="002A704E">
        <w:t xml:space="preserve"> since the onset of TB symptoms till </w:t>
      </w:r>
      <w:r w:rsidR="00914775" w:rsidRPr="002A704E">
        <w:t>approximately</w:t>
      </w:r>
      <w:r w:rsidR="009F5A65" w:rsidRPr="002A704E">
        <w:t xml:space="preserve"> one year posttreatment </w:t>
      </w:r>
      <w:r w:rsidR="003C23F9" w:rsidRPr="002A704E">
        <w:t xml:space="preserve">focusing on out-of-pocket expenses related to TB treatment, proportion of patients experience catastrophic health expenditure (defined as proportion of patients having total cost of TB treatment </w:t>
      </w:r>
      <w:r w:rsidR="003C23F9" w:rsidRPr="002A704E">
        <w:rPr>
          <w:rFonts w:cstheme="minorHAnsi"/>
        </w:rPr>
        <w:t>≥</w:t>
      </w:r>
      <w:r w:rsidR="003C23F9" w:rsidRPr="002A704E">
        <w:t>20% of pre-TB annual household income) and changes in economic status in terms of income and employment</w:t>
      </w:r>
      <w:r w:rsidR="009F5A65" w:rsidRPr="002A704E">
        <w:t xml:space="preserve"> and coping strategies. The broad study design is a cohort study with the aim to be representative of different population groups in India.</w:t>
      </w:r>
    </w:p>
    <w:p w14:paraId="1B7DAFAC" w14:textId="22A38145" w:rsidR="009F5A65" w:rsidRPr="002A704E" w:rsidRDefault="009F5A65" w:rsidP="003C23F9">
      <w:pPr>
        <w:spacing w:line="480" w:lineRule="auto"/>
        <w:rPr>
          <w:i/>
          <w:iCs/>
        </w:rPr>
      </w:pPr>
      <w:r w:rsidRPr="002A704E">
        <w:rPr>
          <w:i/>
          <w:iCs/>
        </w:rPr>
        <w:t>Study population</w:t>
      </w:r>
    </w:p>
    <w:p w14:paraId="2A0E9444" w14:textId="6A34F618" w:rsidR="00707678" w:rsidRPr="002A704E" w:rsidRDefault="009F5A65" w:rsidP="00707678">
      <w:pPr>
        <w:spacing w:line="480" w:lineRule="auto"/>
        <w:rPr>
          <w:rFonts w:cstheme="minorHAnsi"/>
        </w:rPr>
      </w:pPr>
      <w:r w:rsidRPr="002A704E">
        <w:rPr>
          <w:rFonts w:cstheme="minorHAnsi"/>
        </w:rPr>
        <w:t>In India, apart from general population, there are several groups such as people living in urban slum areas, tea garden areas</w:t>
      </w:r>
      <w:r w:rsidR="00707678" w:rsidRPr="002A704E">
        <w:rPr>
          <w:rFonts w:cstheme="minorHAnsi"/>
        </w:rPr>
        <w:t>, homeless people, people having improper nutrition, coal mine workers, workers in stone crusher areas</w:t>
      </w:r>
      <w:r w:rsidRPr="002A704E">
        <w:rPr>
          <w:rFonts w:cstheme="minorHAnsi"/>
        </w:rPr>
        <w:t xml:space="preserve"> who are at higher risk of having TB because they are</w:t>
      </w:r>
      <w:r w:rsidR="00FC418C" w:rsidRPr="002A704E">
        <w:rPr>
          <w:rFonts w:cstheme="minorHAnsi"/>
        </w:rPr>
        <w:t xml:space="preserve"> </w:t>
      </w:r>
      <w:r w:rsidRPr="002A704E">
        <w:rPr>
          <w:rFonts w:cstheme="minorHAnsi"/>
        </w:rPr>
        <w:t>socially vulnerable and</w:t>
      </w:r>
      <w:r w:rsidR="00FC418C" w:rsidRPr="002A704E">
        <w:rPr>
          <w:rFonts w:cstheme="minorHAnsi"/>
        </w:rPr>
        <w:t>/or</w:t>
      </w:r>
      <w:r w:rsidRPr="002A704E">
        <w:rPr>
          <w:rFonts w:cstheme="minorHAnsi"/>
        </w:rPr>
        <w:t xml:space="preserve"> clinically high-risk. Th</w:t>
      </w:r>
      <w:r w:rsidR="00707678" w:rsidRPr="002A704E">
        <w:rPr>
          <w:rFonts w:cstheme="minorHAnsi"/>
        </w:rPr>
        <w:t>ese</w:t>
      </w:r>
      <w:r w:rsidRPr="002A704E">
        <w:rPr>
          <w:rFonts w:cstheme="minorHAnsi"/>
        </w:rPr>
        <w:t xml:space="preserve"> high-risk groups were identified </w:t>
      </w:r>
      <w:r w:rsidR="00707678" w:rsidRPr="002A704E">
        <w:rPr>
          <w:rFonts w:cstheme="minorHAnsi"/>
        </w:rPr>
        <w:t xml:space="preserve">for active case finding </w:t>
      </w:r>
      <w:r w:rsidRPr="002A704E">
        <w:rPr>
          <w:rFonts w:cstheme="minorHAnsi"/>
        </w:rPr>
        <w:t>in the national strategic plan for eliminating TB in India</w:t>
      </w:r>
      <w:r w:rsidR="00707678" w:rsidRPr="002A704E">
        <w:rPr>
          <w:rFonts w:cstheme="minorHAnsi"/>
        </w:rPr>
        <w:t>, 2017-2025</w:t>
      </w:r>
      <w:r w:rsidRPr="002A704E">
        <w:rPr>
          <w:rFonts w:cstheme="minorHAnsi"/>
        </w:rPr>
        <w:t xml:space="preserve"> [1]. </w:t>
      </w:r>
      <w:r w:rsidRPr="002A704E">
        <w:rPr>
          <w:rFonts w:cstheme="minorHAnsi"/>
          <w:color w:val="000000"/>
          <w:shd w:val="clear" w:color="auto" w:fill="FFFFFF"/>
        </w:rPr>
        <w:t xml:space="preserve">The ongoing study covers representative samples of TB patients </w:t>
      </w:r>
      <w:r w:rsidR="00C22664" w:rsidRPr="002A704E">
        <w:rPr>
          <w:rFonts w:cstheme="minorHAnsi"/>
          <w:color w:val="000000"/>
          <w:shd w:val="clear" w:color="auto" w:fill="FFFFFF"/>
        </w:rPr>
        <w:t>from</w:t>
      </w:r>
      <w:r w:rsidRPr="002A704E">
        <w:rPr>
          <w:rFonts w:cstheme="minorHAnsi"/>
          <w:color w:val="000000"/>
          <w:shd w:val="clear" w:color="auto" w:fill="FFFFFF"/>
        </w:rPr>
        <w:t xml:space="preserve"> general </w:t>
      </w:r>
      <w:r w:rsidR="00C22664" w:rsidRPr="002A704E">
        <w:rPr>
          <w:rFonts w:cstheme="minorHAnsi"/>
          <w:color w:val="000000"/>
          <w:shd w:val="clear" w:color="auto" w:fill="FFFFFF"/>
        </w:rPr>
        <w:t xml:space="preserve">population </w:t>
      </w:r>
      <w:r w:rsidRPr="002A704E">
        <w:rPr>
          <w:rFonts w:cstheme="minorHAnsi"/>
          <w:color w:val="000000"/>
          <w:shd w:val="clear" w:color="auto" w:fill="FFFFFF"/>
        </w:rPr>
        <w:t xml:space="preserve">as well as </w:t>
      </w:r>
      <w:r w:rsidR="00C22664" w:rsidRPr="002A704E">
        <w:rPr>
          <w:rFonts w:cstheme="minorHAnsi"/>
          <w:color w:val="000000"/>
          <w:shd w:val="clear" w:color="auto" w:fill="FFFFFF"/>
        </w:rPr>
        <w:t xml:space="preserve">from </w:t>
      </w:r>
      <w:r w:rsidR="00707678" w:rsidRPr="002A704E">
        <w:rPr>
          <w:rFonts w:cstheme="minorHAnsi"/>
          <w:color w:val="000000"/>
          <w:shd w:val="clear" w:color="auto" w:fill="FFFFFF"/>
        </w:rPr>
        <w:t xml:space="preserve">two such </w:t>
      </w:r>
      <w:r w:rsidRPr="002A704E">
        <w:rPr>
          <w:rFonts w:cstheme="minorHAnsi"/>
          <w:color w:val="000000"/>
          <w:shd w:val="clear" w:color="auto" w:fill="FFFFFF"/>
        </w:rPr>
        <w:t>high-risk groups</w:t>
      </w:r>
      <w:r w:rsidR="00707678" w:rsidRPr="002A704E">
        <w:rPr>
          <w:rFonts w:cstheme="minorHAnsi"/>
          <w:color w:val="000000"/>
          <w:shd w:val="clear" w:color="auto" w:fill="FFFFFF"/>
        </w:rPr>
        <w:t>, urban slum dwellers and people living in tea garden areas. The high-risk groups were chosen as the treatment seeking behaviour, costs of TB treatment and coping strategies in high-risk groups could be different from general population and different protective measures may be required for them in the process of TB elimination</w:t>
      </w:r>
      <w:r w:rsidR="00FC418C" w:rsidRPr="002A704E">
        <w:rPr>
          <w:rFonts w:cstheme="minorHAnsi"/>
          <w:color w:val="000000"/>
          <w:shd w:val="clear" w:color="auto" w:fill="FFFFFF"/>
        </w:rPr>
        <w:t xml:space="preserve"> in the country</w:t>
      </w:r>
      <w:r w:rsidR="00707678" w:rsidRPr="002A704E">
        <w:rPr>
          <w:rFonts w:cstheme="minorHAnsi"/>
          <w:color w:val="000000"/>
          <w:shd w:val="clear" w:color="auto" w:fill="FFFFFF"/>
        </w:rPr>
        <w:t xml:space="preserve">. </w:t>
      </w:r>
    </w:p>
    <w:p w14:paraId="16F5CE23" w14:textId="5CB2E256" w:rsidR="005C6C8C" w:rsidRPr="002A704E" w:rsidRDefault="00707678" w:rsidP="005C6C8C">
      <w:pPr>
        <w:pStyle w:val="Default"/>
        <w:spacing w:line="480" w:lineRule="auto"/>
        <w:rPr>
          <w:rFonts w:asciiTheme="minorHAnsi" w:hAnsiTheme="minorHAnsi" w:cstheme="minorHAnsi"/>
          <w:sz w:val="22"/>
          <w:szCs w:val="22"/>
        </w:rPr>
      </w:pPr>
      <w:r w:rsidRPr="002A704E">
        <w:rPr>
          <w:rFonts w:asciiTheme="minorHAnsi" w:hAnsiTheme="minorHAnsi" w:cstheme="minorHAnsi"/>
          <w:sz w:val="22"/>
          <w:szCs w:val="22"/>
        </w:rPr>
        <w:t xml:space="preserve">As per World Bank 2018 </w:t>
      </w:r>
      <w:r w:rsidR="00FC418C" w:rsidRPr="002A704E">
        <w:rPr>
          <w:rFonts w:asciiTheme="minorHAnsi" w:hAnsiTheme="minorHAnsi" w:cstheme="minorHAnsi"/>
          <w:sz w:val="22"/>
          <w:szCs w:val="22"/>
        </w:rPr>
        <w:t>estimates</w:t>
      </w:r>
      <w:r w:rsidRPr="002A704E">
        <w:rPr>
          <w:rFonts w:asciiTheme="minorHAnsi" w:hAnsiTheme="minorHAnsi" w:cstheme="minorHAnsi"/>
          <w:sz w:val="22"/>
          <w:szCs w:val="22"/>
        </w:rPr>
        <w:t xml:space="preserve">, 35.2% of India’s urban population live in slum areas [2]. </w:t>
      </w:r>
      <w:r w:rsidR="005C6C8C" w:rsidRPr="002A704E">
        <w:rPr>
          <w:rFonts w:asciiTheme="minorHAnsi" w:hAnsiTheme="minorHAnsi" w:cstheme="minorHAnsi"/>
          <w:sz w:val="22"/>
          <w:szCs w:val="22"/>
        </w:rPr>
        <w:t xml:space="preserve">Apart from having poor housing condition, sanitation, access to safe drinking water, the urban slum </w:t>
      </w:r>
      <w:r w:rsidR="005C6C8C" w:rsidRPr="002A704E">
        <w:rPr>
          <w:rFonts w:asciiTheme="minorHAnsi" w:hAnsiTheme="minorHAnsi" w:cstheme="minorHAnsi"/>
          <w:sz w:val="22"/>
          <w:szCs w:val="22"/>
        </w:rPr>
        <w:lastRenderedPageBreak/>
        <w:t xml:space="preserve">dwellers experience illegality and social exclusion, poorly regulated and ineffective health services, and overall, there is lack of clarity regarding which level of the Indian Government is responsible for protecting and promoting their health [3]. </w:t>
      </w:r>
    </w:p>
    <w:p w14:paraId="32919911" w14:textId="4E6DCF45" w:rsidR="00707678" w:rsidRPr="002A704E" w:rsidRDefault="00707678" w:rsidP="00707678">
      <w:pPr>
        <w:spacing w:line="480" w:lineRule="auto"/>
      </w:pPr>
      <w:r w:rsidRPr="002A704E">
        <w:t>India’s tea industry is one of the largest private employers, and the people living in tea estates entirely rely on estates for employment and other services such as housing, water, health, education [</w:t>
      </w:r>
      <w:r w:rsidR="005C6C8C" w:rsidRPr="002A704E">
        <w:t>4</w:t>
      </w:r>
      <w:r w:rsidRPr="002A704E">
        <w:t xml:space="preserve">]. Because of very poor living condition and extremely low wage rate, the families living in tea garden areas are at high-risk of any disease including TB. Their health service utilization pattern, treatment expenses, employment status in pre-, during and post TB period are unknown. Similar for urban slum dwellers. Hence, the main study aims to report the complete journey of the TB patients from general population as well as from tea garden and urban slum </w:t>
      </w:r>
      <w:r w:rsidR="00565E9F" w:rsidRPr="002A704E">
        <w:t>areas</w:t>
      </w:r>
      <w:r w:rsidRPr="002A704E">
        <w:t xml:space="preserve">. </w:t>
      </w:r>
    </w:p>
    <w:p w14:paraId="72703B0E" w14:textId="0D811A5B" w:rsidR="003C23F9" w:rsidRPr="002A704E" w:rsidRDefault="005A610F" w:rsidP="003C23F9">
      <w:pPr>
        <w:spacing w:line="480" w:lineRule="auto"/>
        <w:rPr>
          <w:rFonts w:cstheme="minorHAnsi"/>
          <w:i/>
          <w:iCs/>
        </w:rPr>
      </w:pPr>
      <w:r w:rsidRPr="002A704E">
        <w:rPr>
          <w:rFonts w:cstheme="minorHAnsi"/>
          <w:i/>
          <w:iCs/>
        </w:rPr>
        <w:t>Sampling strategy</w:t>
      </w:r>
    </w:p>
    <w:p w14:paraId="697B75F8" w14:textId="726A8C56" w:rsidR="00223204" w:rsidRPr="002A704E" w:rsidRDefault="0010766F" w:rsidP="0010766F">
      <w:pPr>
        <w:spacing w:line="480" w:lineRule="auto"/>
        <w:rPr>
          <w:rFonts w:cstheme="minorHAnsi"/>
        </w:rPr>
      </w:pPr>
      <w:r w:rsidRPr="002A704E">
        <w:rPr>
          <w:rFonts w:cstheme="minorHAnsi"/>
        </w:rPr>
        <w:t xml:space="preserve">For the costing study, national representativeness can be achieved by considering a limited number of states selected using an appropriately stratified sampling design. </w:t>
      </w:r>
      <w:r w:rsidR="00FC418C" w:rsidRPr="002A704E">
        <w:rPr>
          <w:rFonts w:cstheme="minorHAnsi"/>
        </w:rPr>
        <w:t>The</w:t>
      </w:r>
      <w:r w:rsidRPr="002A704E">
        <w:rPr>
          <w:rFonts w:cstheme="minorHAnsi"/>
        </w:rPr>
        <w:t xml:space="preserve"> World Health Organization Study on global </w:t>
      </w:r>
      <w:proofErr w:type="spellStart"/>
      <w:r w:rsidRPr="002A704E">
        <w:rPr>
          <w:rFonts w:cstheme="minorHAnsi"/>
        </w:rPr>
        <w:t>AGEing</w:t>
      </w:r>
      <w:proofErr w:type="spellEnd"/>
      <w:r w:rsidRPr="002A704E">
        <w:rPr>
          <w:rFonts w:cstheme="minorHAnsi"/>
        </w:rPr>
        <w:t xml:space="preserve"> and adult health (SAGE) sampling design </w:t>
      </w:r>
      <w:r w:rsidR="00FC418C" w:rsidRPr="002A704E">
        <w:rPr>
          <w:rFonts w:cstheme="minorHAnsi"/>
        </w:rPr>
        <w:t xml:space="preserve">was followed </w:t>
      </w:r>
      <w:r w:rsidRPr="002A704E">
        <w:rPr>
          <w:rFonts w:cstheme="minorHAnsi"/>
        </w:rPr>
        <w:t>in this context [</w:t>
      </w:r>
      <w:r w:rsidR="00FC418C" w:rsidRPr="002A704E">
        <w:rPr>
          <w:rFonts w:cstheme="minorHAnsi"/>
        </w:rPr>
        <w:t>5</w:t>
      </w:r>
      <w:r w:rsidRPr="002A704E">
        <w:rPr>
          <w:rFonts w:cstheme="minorHAnsi"/>
        </w:rPr>
        <w:t xml:space="preserve">]. As a first step, </w:t>
      </w:r>
      <w:r w:rsidRPr="002A704E">
        <w:rPr>
          <w:rFonts w:cstheme="minorHAnsi"/>
          <w:bCs/>
        </w:rPr>
        <w:t xml:space="preserve">29 states of India were stratified </w:t>
      </w:r>
      <w:r w:rsidRPr="002A704E">
        <w:rPr>
          <w:rFonts w:cstheme="minorHAnsi"/>
        </w:rPr>
        <w:t xml:space="preserve">into six levels of development and six geographic locations. </w:t>
      </w:r>
      <w:r w:rsidR="00FC418C" w:rsidRPr="002A704E">
        <w:rPr>
          <w:rFonts w:cstheme="minorHAnsi"/>
        </w:rPr>
        <w:t>A</w:t>
      </w:r>
      <w:r w:rsidRPr="002A704E">
        <w:rPr>
          <w:rFonts w:cstheme="minorHAnsi"/>
        </w:rPr>
        <w:t xml:space="preserve"> composite development index </w:t>
      </w:r>
      <w:r w:rsidR="00FC418C" w:rsidRPr="002A704E">
        <w:rPr>
          <w:rFonts w:cstheme="minorHAnsi"/>
        </w:rPr>
        <w:t xml:space="preserve">was constructed </w:t>
      </w:r>
      <w:r w:rsidRPr="002A704E">
        <w:rPr>
          <w:rFonts w:cstheme="minorHAnsi"/>
        </w:rPr>
        <w:t>using the following indicators at the state level: Infant mortality rate; female literacy rate; full immunization coverage rate; and per capita income. Principal component analysis technique was used to construct the composite index. Quantiles were then used to categorize the states into six levels of development</w:t>
      </w:r>
      <w:r w:rsidR="00565E9F" w:rsidRPr="002A704E">
        <w:rPr>
          <w:rFonts w:cstheme="minorHAnsi"/>
        </w:rPr>
        <w:t xml:space="preserve"> (Table 1)</w:t>
      </w:r>
      <w:r w:rsidRPr="002A704E">
        <w:rPr>
          <w:rFonts w:cstheme="minorHAnsi"/>
        </w:rPr>
        <w:t xml:space="preserve">. </w:t>
      </w:r>
      <w:r w:rsidR="00321C35" w:rsidRPr="002A704E">
        <w:rPr>
          <w:rFonts w:cstheme="minorHAnsi"/>
        </w:rPr>
        <w:t xml:space="preserve">Based on the availability of study budget, </w:t>
      </w:r>
      <w:r w:rsidRPr="002A704E">
        <w:rPr>
          <w:rFonts w:cstheme="minorHAnsi"/>
        </w:rPr>
        <w:t xml:space="preserve">Assam, </w:t>
      </w:r>
      <w:r w:rsidR="00223204" w:rsidRPr="002A704E">
        <w:rPr>
          <w:rFonts w:cstheme="minorHAnsi"/>
        </w:rPr>
        <w:t xml:space="preserve">Maharashtra, Tamil Nadu, </w:t>
      </w:r>
      <w:r w:rsidRPr="002A704E">
        <w:rPr>
          <w:rFonts w:cstheme="minorHAnsi"/>
        </w:rPr>
        <w:t xml:space="preserve">and </w:t>
      </w:r>
      <w:r w:rsidR="00223204" w:rsidRPr="002A704E">
        <w:rPr>
          <w:rFonts w:cstheme="minorHAnsi"/>
        </w:rPr>
        <w:t>West Bengal</w:t>
      </w:r>
      <w:r w:rsidRPr="002A704E">
        <w:rPr>
          <w:rFonts w:cstheme="minorHAnsi"/>
        </w:rPr>
        <w:t xml:space="preserve"> were selected for this study as t</w:t>
      </w:r>
      <w:r w:rsidR="00223204" w:rsidRPr="002A704E">
        <w:rPr>
          <w:rFonts w:cstheme="minorHAnsi"/>
        </w:rPr>
        <w:t xml:space="preserve">hese states not only represent different levels of development but also cover different regions of the country. Apart from that, Assam, </w:t>
      </w:r>
      <w:r w:rsidR="00FC418C" w:rsidRPr="002A704E">
        <w:rPr>
          <w:rFonts w:cstheme="minorHAnsi"/>
        </w:rPr>
        <w:t>Tamil Nadu</w:t>
      </w:r>
      <w:r w:rsidR="005A610F" w:rsidRPr="002A704E">
        <w:rPr>
          <w:rFonts w:cstheme="minorHAnsi"/>
        </w:rPr>
        <w:t>,</w:t>
      </w:r>
      <w:r w:rsidR="00FC418C" w:rsidRPr="002A704E">
        <w:rPr>
          <w:rFonts w:cstheme="minorHAnsi"/>
        </w:rPr>
        <w:t xml:space="preserve"> and </w:t>
      </w:r>
      <w:r w:rsidR="00223204" w:rsidRPr="002A704E">
        <w:rPr>
          <w:rFonts w:cstheme="minorHAnsi"/>
        </w:rPr>
        <w:t xml:space="preserve">West Bengal have substantial land area for tea gardens, and Maharashtra, Tamil Nadu and West Bengal are </w:t>
      </w:r>
      <w:r w:rsidR="00565E9F" w:rsidRPr="002A704E">
        <w:rPr>
          <w:rFonts w:cstheme="minorHAnsi"/>
        </w:rPr>
        <w:t xml:space="preserve">among </w:t>
      </w:r>
      <w:r w:rsidR="00223204" w:rsidRPr="002A704E">
        <w:rPr>
          <w:rFonts w:cstheme="minorHAnsi"/>
        </w:rPr>
        <w:t>the top five states in terms of slum population in the country. T</w:t>
      </w:r>
      <w:r w:rsidR="005A610F" w:rsidRPr="002A704E">
        <w:rPr>
          <w:rFonts w:cstheme="minorHAnsi"/>
        </w:rPr>
        <w:t>B</w:t>
      </w:r>
      <w:r w:rsidR="00223204" w:rsidRPr="002A704E">
        <w:rPr>
          <w:rFonts w:cstheme="minorHAnsi"/>
        </w:rPr>
        <w:t xml:space="preserve"> patients from general population </w:t>
      </w:r>
      <w:r w:rsidR="005A610F" w:rsidRPr="002A704E">
        <w:rPr>
          <w:rFonts w:cstheme="minorHAnsi"/>
        </w:rPr>
        <w:t>were</w:t>
      </w:r>
      <w:r w:rsidR="00223204" w:rsidRPr="002A704E">
        <w:rPr>
          <w:rFonts w:cstheme="minorHAnsi"/>
        </w:rPr>
        <w:t xml:space="preserve"> drawn from all four states.</w:t>
      </w:r>
    </w:p>
    <w:p w14:paraId="5DE92E4B" w14:textId="77777777" w:rsidR="00D64018" w:rsidRPr="002A704E" w:rsidRDefault="005A610F" w:rsidP="003C23F9">
      <w:pPr>
        <w:spacing w:line="480" w:lineRule="auto"/>
      </w:pPr>
      <w:r w:rsidRPr="002A704E">
        <w:lastRenderedPageBreak/>
        <w:t xml:space="preserve">In the next stage of sampling, </w:t>
      </w:r>
      <w:r w:rsidR="00D64018" w:rsidRPr="002A704E">
        <w:t>3-5</w:t>
      </w:r>
      <w:r w:rsidRPr="002A704E">
        <w:t xml:space="preserve"> districts from each state were selected purposively </w:t>
      </w:r>
      <w:r w:rsidR="00D64018" w:rsidRPr="002A704E">
        <w:t xml:space="preserve">based on the dominance of the </w:t>
      </w:r>
      <w:r w:rsidRPr="002A704E">
        <w:t>high-risk groups.</w:t>
      </w:r>
      <w:r w:rsidR="00D64018" w:rsidRPr="002A704E">
        <w:t xml:space="preserve"> F</w:t>
      </w:r>
      <w:r w:rsidR="003C23F9" w:rsidRPr="002A704E">
        <w:t>rom the sampled study districts, TB units (TUs)</w:t>
      </w:r>
      <w:r w:rsidR="003C23F9" w:rsidRPr="002A704E">
        <w:rPr>
          <w:rStyle w:val="FootnoteReference"/>
        </w:rPr>
        <w:footnoteReference w:id="1"/>
      </w:r>
      <w:r w:rsidR="003C23F9" w:rsidRPr="002A704E">
        <w:t xml:space="preserve"> were </w:t>
      </w:r>
      <w:r w:rsidR="00D64018" w:rsidRPr="002A704E">
        <w:t xml:space="preserve">then </w:t>
      </w:r>
      <w:r w:rsidR="003C23F9" w:rsidRPr="002A704E">
        <w:t xml:space="preserve">identified which cater to the study high-risk groups. As all TUs cater general population, there was no specific identification of TUs for covering patients from general population. </w:t>
      </w:r>
    </w:p>
    <w:p w14:paraId="3F9844E0" w14:textId="164534E0" w:rsidR="00D64018" w:rsidRPr="002A704E" w:rsidRDefault="00D64018" w:rsidP="003C23F9">
      <w:pPr>
        <w:spacing w:line="480" w:lineRule="auto"/>
        <w:rPr>
          <w:i/>
          <w:iCs/>
        </w:rPr>
      </w:pPr>
      <w:r w:rsidRPr="002A704E">
        <w:rPr>
          <w:i/>
          <w:iCs/>
        </w:rPr>
        <w:t>Patient recruitment</w:t>
      </w:r>
    </w:p>
    <w:p w14:paraId="368E2B83" w14:textId="0B352F64" w:rsidR="003C23F9" w:rsidRPr="002A704E" w:rsidRDefault="003C23F9" w:rsidP="003C23F9">
      <w:pPr>
        <w:spacing w:line="480" w:lineRule="auto"/>
      </w:pPr>
      <w:r w:rsidRPr="002A704E">
        <w:t>In the next step, from all identified TUs, adult</w:t>
      </w:r>
      <w:r w:rsidR="00914775" w:rsidRPr="002A704E">
        <w:t xml:space="preserve"> (</w:t>
      </w:r>
      <w:r w:rsidR="00914775" w:rsidRPr="002A704E">
        <w:rPr>
          <w:rFonts w:cstheme="minorHAnsi"/>
        </w:rPr>
        <w:t>≥</w:t>
      </w:r>
      <w:r w:rsidR="00914775" w:rsidRPr="002A704E">
        <w:t xml:space="preserve"> 18 years)</w:t>
      </w:r>
      <w:r w:rsidRPr="002A704E">
        <w:t xml:space="preserve"> TB patients who were at their intensive phase of treatment</w:t>
      </w:r>
      <w:r w:rsidRPr="002A704E">
        <w:rPr>
          <w:rStyle w:val="FootnoteReference"/>
        </w:rPr>
        <w:footnoteReference w:id="2"/>
      </w:r>
      <w:r w:rsidRPr="002A704E">
        <w:t xml:space="preserve"> during the visit of the study team and gave written informed consent to participate in the study were </w:t>
      </w:r>
      <w:r w:rsidR="00914775" w:rsidRPr="002A704E">
        <w:t>interviewed</w:t>
      </w:r>
      <w:r w:rsidR="00D64018" w:rsidRPr="002A704E">
        <w:t>. The interview</w:t>
      </w:r>
      <w:r w:rsidR="00914775" w:rsidRPr="002A704E">
        <w:t xml:space="preserve">s conducted </w:t>
      </w:r>
      <w:r w:rsidR="000241AA" w:rsidRPr="002A704E">
        <w:t>at 0-2 months of treatment</w:t>
      </w:r>
      <w:r w:rsidR="00D64018" w:rsidRPr="002A704E">
        <w:t xml:space="preserve"> covered their </w:t>
      </w:r>
      <w:r w:rsidR="00914775" w:rsidRPr="002A704E">
        <w:t xml:space="preserve">out-of-pocket expenses, income, and employment status, coping strategies </w:t>
      </w:r>
      <w:r w:rsidR="00D64018" w:rsidRPr="002A704E">
        <w:t xml:space="preserve">from the onset of TB symptoms till the date of interview. They were </w:t>
      </w:r>
      <w:r w:rsidRPr="002A704E">
        <w:t>then followed up during their continuation phase of treatment</w:t>
      </w:r>
      <w:r w:rsidR="00565E9F" w:rsidRPr="002A704E">
        <w:t xml:space="preserve"> (5-6 months)</w:t>
      </w:r>
      <w:r w:rsidRPr="002A704E">
        <w:t xml:space="preserve"> and </w:t>
      </w:r>
      <w:r w:rsidR="00914775" w:rsidRPr="002A704E">
        <w:t xml:space="preserve">approximately one year </w:t>
      </w:r>
      <w:r w:rsidRPr="002A704E">
        <w:t xml:space="preserve">posttreatment. </w:t>
      </w:r>
    </w:p>
    <w:p w14:paraId="030516C9" w14:textId="77777777" w:rsidR="005C6C8C" w:rsidRPr="002A704E" w:rsidRDefault="003C23F9" w:rsidP="003C23F9">
      <w:pPr>
        <w:spacing w:line="480" w:lineRule="auto"/>
        <w:rPr>
          <w:rFonts w:cstheme="minorHAnsi"/>
          <w:bCs/>
          <w:i/>
        </w:rPr>
      </w:pPr>
      <w:r w:rsidRPr="002A704E">
        <w:rPr>
          <w:rFonts w:cstheme="minorHAnsi"/>
          <w:bCs/>
          <w:i/>
        </w:rPr>
        <w:t>Sample Size for each group</w:t>
      </w:r>
    </w:p>
    <w:p w14:paraId="6A79E99E" w14:textId="4B045E86" w:rsidR="003C23F9" w:rsidRPr="002A704E" w:rsidRDefault="00D64018" w:rsidP="003C23F9">
      <w:pPr>
        <w:spacing w:line="480" w:lineRule="auto"/>
        <w:rPr>
          <w:rFonts w:cstheme="minorHAnsi"/>
        </w:rPr>
      </w:pPr>
      <w:r w:rsidRPr="002A704E">
        <w:rPr>
          <w:rFonts w:cstheme="minorHAnsi"/>
        </w:rPr>
        <w:t>N</w:t>
      </w:r>
      <w:r w:rsidR="003C23F9" w:rsidRPr="002A704E">
        <w:rPr>
          <w:rFonts w:cstheme="minorHAnsi"/>
        </w:rPr>
        <w:t xml:space="preserve">umber of </w:t>
      </w:r>
      <w:r w:rsidR="00ED7A77" w:rsidRPr="002A704E">
        <w:rPr>
          <w:rFonts w:cstheme="minorHAnsi"/>
        </w:rPr>
        <w:t xml:space="preserve">drug-susceptible (DS) </w:t>
      </w:r>
      <w:r w:rsidR="003C23F9" w:rsidRPr="002A704E">
        <w:rPr>
          <w:rFonts w:cstheme="minorHAnsi"/>
        </w:rPr>
        <w:t>TB patients required in each group i.e.</w:t>
      </w:r>
      <w:r w:rsidRPr="002A704E">
        <w:rPr>
          <w:rFonts w:cstheme="minorHAnsi"/>
        </w:rPr>
        <w:t>,</w:t>
      </w:r>
      <w:r w:rsidR="003C23F9" w:rsidRPr="002A704E">
        <w:rPr>
          <w:rFonts w:cstheme="minorHAnsi"/>
        </w:rPr>
        <w:t xml:space="preserve"> from general population, tea garden </w:t>
      </w:r>
      <w:r w:rsidR="00565E9F" w:rsidRPr="002A704E">
        <w:rPr>
          <w:rFonts w:cstheme="minorHAnsi"/>
        </w:rPr>
        <w:t>areas</w:t>
      </w:r>
      <w:r w:rsidR="003C23F9" w:rsidRPr="002A704E">
        <w:rPr>
          <w:rFonts w:cstheme="minorHAnsi"/>
        </w:rPr>
        <w:t xml:space="preserve"> and </w:t>
      </w:r>
      <w:r w:rsidR="00FE49F2" w:rsidRPr="002A704E">
        <w:rPr>
          <w:rFonts w:cstheme="minorHAnsi"/>
        </w:rPr>
        <w:t xml:space="preserve">urban </w:t>
      </w:r>
      <w:r w:rsidR="003C23F9" w:rsidRPr="002A704E">
        <w:rPr>
          <w:rFonts w:cstheme="minorHAnsi"/>
        </w:rPr>
        <w:t xml:space="preserve">slum dwellers </w:t>
      </w:r>
      <w:r w:rsidR="00FE49F2" w:rsidRPr="002A704E">
        <w:rPr>
          <w:rFonts w:cstheme="minorHAnsi"/>
        </w:rPr>
        <w:t xml:space="preserve">was calculated </w:t>
      </w:r>
      <w:r w:rsidR="003C23F9" w:rsidRPr="002A704E">
        <w:rPr>
          <w:rFonts w:cstheme="minorHAnsi"/>
        </w:rPr>
        <w:t xml:space="preserve">to estimate the mean cost, if the resulting estimate is to fall within 7% of the true estimate with 95% confidence. </w:t>
      </w:r>
      <w:r w:rsidR="00FE49F2" w:rsidRPr="002A704E">
        <w:rPr>
          <w:rFonts w:cstheme="minorHAnsi"/>
        </w:rPr>
        <w:t>T</w:t>
      </w:r>
      <w:r w:rsidR="003C23F9" w:rsidRPr="002A704E">
        <w:rPr>
          <w:rFonts w:cstheme="minorHAnsi"/>
        </w:rPr>
        <w:t xml:space="preserve">he following formula </w:t>
      </w:r>
      <w:r w:rsidR="00FE49F2" w:rsidRPr="002A704E">
        <w:rPr>
          <w:rFonts w:cstheme="minorHAnsi"/>
        </w:rPr>
        <w:t xml:space="preserve">was used </w:t>
      </w:r>
      <w:r w:rsidR="003C23F9" w:rsidRPr="002A704E">
        <w:rPr>
          <w:rFonts w:cstheme="minorHAnsi"/>
        </w:rPr>
        <w:t xml:space="preserve">to derive the number of </w:t>
      </w:r>
      <w:r w:rsidR="00ED7A77" w:rsidRPr="002A704E">
        <w:rPr>
          <w:rFonts w:cstheme="minorHAnsi"/>
        </w:rPr>
        <w:t>DS-</w:t>
      </w:r>
      <w:r w:rsidR="00FE49F2" w:rsidRPr="002A704E">
        <w:rPr>
          <w:rFonts w:cstheme="minorHAnsi"/>
        </w:rPr>
        <w:t>TB</w:t>
      </w:r>
      <w:r w:rsidR="003C23F9" w:rsidRPr="002A704E">
        <w:rPr>
          <w:rFonts w:cstheme="minorHAnsi"/>
        </w:rPr>
        <w:t xml:space="preserve"> patients that must be sampled in each group</w:t>
      </w:r>
    </w:p>
    <w:p w14:paraId="62044975" w14:textId="77777777" w:rsidR="003C23F9" w:rsidRPr="002A704E" w:rsidRDefault="003C23F9" w:rsidP="003C23F9">
      <w:pPr>
        <w:spacing w:line="480" w:lineRule="auto"/>
        <w:rPr>
          <w:rFonts w:cstheme="minorHAnsi"/>
          <w:lang w:val="en-IN"/>
        </w:rPr>
      </w:pPr>
      <m:oMathPara>
        <m:oMath>
          <m:r>
            <w:rPr>
              <w:rFonts w:ascii="Cambria Math" w:hAnsi="Cambria Math" w:cstheme="minorHAnsi"/>
              <w:lang w:val="en-IN"/>
            </w:rPr>
            <m:t>n=</m:t>
          </m:r>
          <m:sSubSup>
            <m:sSubSupPr>
              <m:ctrlPr>
                <w:rPr>
                  <w:rFonts w:ascii="Cambria Math" w:hAnsi="Cambria Math" w:cstheme="minorHAnsi"/>
                  <w:i/>
                  <w:iCs/>
                </w:rPr>
              </m:ctrlPr>
            </m:sSubSupPr>
            <m:e>
              <m:r>
                <w:rPr>
                  <w:rFonts w:ascii="Cambria Math" w:hAnsi="Cambria Math" w:cstheme="minorHAnsi"/>
                  <w:lang w:val="en-IN"/>
                </w:rPr>
                <m:t>Z</m:t>
              </m:r>
            </m:e>
            <m:sub>
              <m:r>
                <w:rPr>
                  <w:rFonts w:ascii="Cambria Math" w:hAnsi="Cambria Math" w:cstheme="minorHAnsi"/>
                  <w:lang w:val="en-IN"/>
                </w:rPr>
                <m:t>1-</m:t>
              </m:r>
              <m:f>
                <m:fPr>
                  <m:type m:val="lin"/>
                  <m:ctrlPr>
                    <w:rPr>
                      <w:rFonts w:ascii="Cambria Math" w:hAnsi="Cambria Math" w:cstheme="minorHAnsi"/>
                      <w:i/>
                      <w:iCs/>
                    </w:rPr>
                  </m:ctrlPr>
                </m:fPr>
                <m:num>
                  <m:r>
                    <w:rPr>
                      <w:rFonts w:ascii="Cambria Math" w:hAnsi="Cambria Math" w:cstheme="minorHAnsi"/>
                      <w:lang w:val="en-IN"/>
                    </w:rPr>
                    <m:t>α</m:t>
                  </m:r>
                </m:num>
                <m:den>
                  <m:r>
                    <w:rPr>
                      <w:rFonts w:ascii="Cambria Math" w:hAnsi="Cambria Math" w:cstheme="minorHAnsi"/>
                      <w:lang w:val="en-IN"/>
                    </w:rPr>
                    <m:t>2</m:t>
                  </m:r>
                </m:den>
              </m:f>
            </m:sub>
            <m:sup>
              <m:r>
                <w:rPr>
                  <w:rFonts w:ascii="Cambria Math" w:hAnsi="Cambria Math" w:cstheme="minorHAnsi"/>
                  <w:lang w:val="en-IN"/>
                </w:rPr>
                <m:t>2</m:t>
              </m:r>
            </m:sup>
          </m:sSubSup>
          <m:f>
            <m:fPr>
              <m:ctrlPr>
                <w:rPr>
                  <w:rFonts w:ascii="Cambria Math" w:hAnsi="Cambria Math" w:cstheme="minorHAnsi"/>
                  <w:i/>
                  <w:iCs/>
                </w:rPr>
              </m:ctrlPr>
            </m:fPr>
            <m:num>
              <m:sSup>
                <m:sSupPr>
                  <m:ctrlPr>
                    <w:rPr>
                      <w:rFonts w:ascii="Cambria Math" w:hAnsi="Cambria Math" w:cstheme="minorHAnsi"/>
                      <w:i/>
                      <w:iCs/>
                    </w:rPr>
                  </m:ctrlPr>
                </m:sSupPr>
                <m:e>
                  <m:r>
                    <w:rPr>
                      <w:rFonts w:ascii="Cambria Math" w:hAnsi="Cambria Math" w:cstheme="minorHAnsi"/>
                      <w:lang w:val="en-IN"/>
                    </w:rPr>
                    <m:t>σ</m:t>
                  </m:r>
                </m:e>
                <m:sup>
                  <m:r>
                    <w:rPr>
                      <w:rFonts w:ascii="Cambria Math" w:hAnsi="Cambria Math" w:cstheme="minorHAnsi"/>
                      <w:lang w:val="en-IN"/>
                    </w:rPr>
                    <m:t>2</m:t>
                  </m:r>
                </m:sup>
              </m:sSup>
            </m:num>
            <m:den>
              <m:r>
                <w:rPr>
                  <w:rFonts w:ascii="Cambria Math" w:hAnsi="Cambria Math" w:cstheme="minorHAnsi"/>
                  <w:lang w:val="en-IN"/>
                </w:rPr>
                <m:t>(ɛ.</m:t>
              </m:r>
              <m:sSup>
                <m:sSupPr>
                  <m:ctrlPr>
                    <w:rPr>
                      <w:rFonts w:ascii="Cambria Math" w:hAnsi="Cambria Math" w:cstheme="minorHAnsi"/>
                      <w:i/>
                      <w:iCs/>
                    </w:rPr>
                  </m:ctrlPr>
                </m:sSupPr>
                <m:e>
                  <m:r>
                    <w:rPr>
                      <w:rFonts w:ascii="Cambria Math" w:hAnsi="Cambria Math" w:cstheme="minorHAnsi"/>
                      <w:lang w:val="en-IN"/>
                    </w:rPr>
                    <m:t>µ)</m:t>
                  </m:r>
                </m:e>
                <m:sup>
                  <m:r>
                    <w:rPr>
                      <w:rFonts w:ascii="Cambria Math" w:hAnsi="Cambria Math" w:cstheme="minorHAnsi"/>
                      <w:lang w:val="en-IN"/>
                    </w:rPr>
                    <m:t>2</m:t>
                  </m:r>
                </m:sup>
              </m:sSup>
            </m:den>
          </m:f>
          <m:r>
            <w:rPr>
              <w:rFonts w:ascii="Cambria Math" w:hAnsi="Cambria Math" w:cstheme="minorHAnsi"/>
            </w:rPr>
            <m:t>DEFF</m:t>
          </m:r>
        </m:oMath>
      </m:oMathPara>
    </w:p>
    <w:p w14:paraId="608DA71D" w14:textId="4C188CD5" w:rsidR="00F67333" w:rsidRPr="002A704E" w:rsidRDefault="003C23F9" w:rsidP="003C23F9">
      <w:pPr>
        <w:spacing w:line="480" w:lineRule="auto"/>
        <w:rPr>
          <w:rFonts w:cstheme="minorHAnsi"/>
        </w:rPr>
      </w:pPr>
      <w:r w:rsidRPr="002A704E">
        <w:rPr>
          <w:rFonts w:cstheme="minorHAnsi"/>
          <w:lang w:val="en-IN"/>
        </w:rPr>
        <w:t xml:space="preserve">where </w:t>
      </w:r>
      <m:oMath>
        <m:r>
          <w:rPr>
            <w:rFonts w:ascii="Cambria Math" w:hAnsi="Cambria Math" w:cstheme="minorHAnsi"/>
            <w:lang w:val="en-IN"/>
          </w:rPr>
          <m:t>σ</m:t>
        </m:r>
      </m:oMath>
      <w:r w:rsidRPr="002A704E">
        <w:rPr>
          <w:rFonts w:cstheme="minorHAnsi"/>
          <w:lang w:val="en-IN"/>
        </w:rPr>
        <w:t xml:space="preserve"> is the population standard deviation, </w:t>
      </w:r>
      <m:oMath>
        <m:r>
          <w:rPr>
            <w:rFonts w:ascii="Cambria Math" w:hAnsi="Cambria Math" w:cstheme="minorHAnsi"/>
            <w:lang w:val="en-IN"/>
          </w:rPr>
          <m:t>μ</m:t>
        </m:r>
      </m:oMath>
      <w:r w:rsidRPr="002A704E">
        <w:rPr>
          <w:rFonts w:cstheme="minorHAnsi"/>
          <w:lang w:val="en-IN"/>
        </w:rPr>
        <w:t xml:space="preserve"> is the population mean, </w:t>
      </w:r>
      <m:oMath>
        <m:r>
          <w:rPr>
            <w:rFonts w:ascii="Cambria Math" w:hAnsi="Cambria Math" w:cstheme="minorHAnsi"/>
            <w:lang w:val="en-IN"/>
          </w:rPr>
          <m:t>ϵ</m:t>
        </m:r>
      </m:oMath>
      <w:r w:rsidRPr="002A704E">
        <w:rPr>
          <w:rFonts w:cstheme="minorHAnsi"/>
          <w:lang w:val="en-IN"/>
        </w:rPr>
        <w:t xml:space="preserve"> is the relative precision,  </w:t>
      </w:r>
      <m:oMath>
        <m:sSub>
          <m:sSubPr>
            <m:ctrlPr>
              <w:rPr>
                <w:rFonts w:ascii="Cambria Math" w:hAnsi="Cambria Math" w:cstheme="minorHAnsi"/>
                <w:i/>
                <w:iCs/>
              </w:rPr>
            </m:ctrlPr>
          </m:sSubPr>
          <m:e>
            <m:r>
              <w:rPr>
                <w:rFonts w:ascii="Cambria Math" w:hAnsi="Cambria Math" w:cstheme="minorHAnsi"/>
                <w:lang w:val="en-IN"/>
              </w:rPr>
              <m:t>Z</m:t>
            </m:r>
          </m:e>
          <m:sub>
            <m:r>
              <w:rPr>
                <w:rFonts w:ascii="Cambria Math" w:hAnsi="Cambria Math" w:cstheme="minorHAnsi"/>
                <w:lang w:val="en-IN"/>
              </w:rPr>
              <m:t>1-</m:t>
            </m:r>
            <m:f>
              <m:fPr>
                <m:ctrlPr>
                  <w:rPr>
                    <w:rFonts w:ascii="Cambria Math" w:hAnsi="Cambria Math" w:cstheme="minorHAnsi"/>
                    <w:i/>
                    <w:iCs/>
                  </w:rPr>
                </m:ctrlPr>
              </m:fPr>
              <m:num>
                <m:r>
                  <w:rPr>
                    <w:rFonts w:ascii="Cambria Math" w:hAnsi="Cambria Math" w:cstheme="minorHAnsi"/>
                    <w:lang w:val="en-IN"/>
                  </w:rPr>
                  <m:t>α</m:t>
                </m:r>
              </m:num>
              <m:den>
                <m:r>
                  <w:rPr>
                    <w:rFonts w:ascii="Cambria Math" w:hAnsi="Cambria Math" w:cstheme="minorHAnsi"/>
                    <w:lang w:val="en-IN"/>
                  </w:rPr>
                  <m:t>2</m:t>
                </m:r>
              </m:den>
            </m:f>
          </m:sub>
        </m:sSub>
      </m:oMath>
      <w:r w:rsidRPr="002A704E">
        <w:rPr>
          <w:rFonts w:cstheme="minorHAnsi"/>
          <w:lang w:val="en-IN"/>
        </w:rPr>
        <w:t xml:space="preserve"> is the </w:t>
      </w:r>
      <m:oMath>
        <m:sSup>
          <m:sSupPr>
            <m:ctrlPr>
              <w:rPr>
                <w:rFonts w:ascii="Cambria Math" w:hAnsi="Cambria Math" w:cstheme="minorHAnsi"/>
                <w:i/>
                <w:iCs/>
              </w:rPr>
            </m:ctrlPr>
          </m:sSupPr>
          <m:e>
            <m:d>
              <m:dPr>
                <m:ctrlPr>
                  <w:rPr>
                    <w:rFonts w:ascii="Cambria Math" w:hAnsi="Cambria Math" w:cstheme="minorHAnsi"/>
                    <w:i/>
                    <w:iCs/>
                  </w:rPr>
                </m:ctrlPr>
              </m:dPr>
              <m:e>
                <m:r>
                  <w:rPr>
                    <w:rFonts w:ascii="Cambria Math" w:hAnsi="Cambria Math" w:cstheme="minorHAnsi"/>
                    <w:lang w:val="en-IN"/>
                  </w:rPr>
                  <m:t>1-</m:t>
                </m:r>
                <m:f>
                  <m:fPr>
                    <m:ctrlPr>
                      <w:rPr>
                        <w:rFonts w:ascii="Cambria Math" w:hAnsi="Cambria Math" w:cstheme="minorHAnsi"/>
                        <w:i/>
                        <w:iCs/>
                      </w:rPr>
                    </m:ctrlPr>
                  </m:fPr>
                  <m:num>
                    <m:r>
                      <w:rPr>
                        <w:rFonts w:ascii="Cambria Math" w:hAnsi="Cambria Math" w:cstheme="minorHAnsi"/>
                        <w:lang w:val="en-IN"/>
                      </w:rPr>
                      <m:t>α</m:t>
                    </m:r>
                  </m:num>
                  <m:den>
                    <m:r>
                      <w:rPr>
                        <w:rFonts w:ascii="Cambria Math" w:hAnsi="Cambria Math" w:cstheme="minorHAnsi"/>
                        <w:lang w:val="en-IN"/>
                      </w:rPr>
                      <m:t>2</m:t>
                    </m:r>
                  </m:den>
                </m:f>
              </m:e>
            </m:d>
          </m:e>
          <m:sup>
            <m:r>
              <w:rPr>
                <w:rFonts w:ascii="Cambria Math" w:hAnsi="Cambria Math" w:cstheme="minorHAnsi"/>
                <w:lang w:val="en-IN"/>
              </w:rPr>
              <m:t>th</m:t>
            </m:r>
          </m:sup>
        </m:sSup>
      </m:oMath>
      <w:r w:rsidRPr="002A704E">
        <w:rPr>
          <w:rFonts w:cstheme="minorHAnsi"/>
        </w:rPr>
        <w:t xml:space="preserve"> </w:t>
      </w:r>
      <w:r w:rsidRPr="002A704E">
        <w:rPr>
          <w:rFonts w:cstheme="minorHAnsi"/>
          <w:lang w:val="en-IN"/>
        </w:rPr>
        <w:t xml:space="preserve">quantile of the standard normal distribution and DEEF is the design </w:t>
      </w:r>
      <w:r w:rsidRPr="002A704E">
        <w:rPr>
          <w:rFonts w:cstheme="minorHAnsi"/>
          <w:lang w:val="en-IN"/>
        </w:rPr>
        <w:lastRenderedPageBreak/>
        <w:t xml:space="preserve">effect to account for the cluster sampling design. Design effect helps account for the clustering in costs borne by patients from the same </w:t>
      </w:r>
      <w:r w:rsidR="00FE49F2" w:rsidRPr="002A704E">
        <w:rPr>
          <w:rFonts w:cstheme="minorHAnsi"/>
          <w:lang w:val="en-IN"/>
        </w:rPr>
        <w:t>TU</w:t>
      </w:r>
      <w:r w:rsidRPr="002A704E">
        <w:rPr>
          <w:rFonts w:cstheme="minorHAnsi"/>
          <w:lang w:val="en-IN"/>
        </w:rPr>
        <w:t>. An earlier study conducted in Tamil Nadu</w:t>
      </w:r>
      <w:r w:rsidR="00914775" w:rsidRPr="002A704E">
        <w:rPr>
          <w:rFonts w:cstheme="minorHAnsi"/>
          <w:lang w:val="en-IN"/>
        </w:rPr>
        <w:t xml:space="preserve"> state in India</w:t>
      </w:r>
      <w:r w:rsidRPr="002A704E">
        <w:rPr>
          <w:rFonts w:cstheme="minorHAnsi"/>
          <w:lang w:val="en-IN"/>
        </w:rPr>
        <w:t xml:space="preserve"> [</w:t>
      </w:r>
      <w:r w:rsidR="00FE49F2" w:rsidRPr="002A704E">
        <w:rPr>
          <w:rFonts w:cstheme="minorHAnsi"/>
          <w:lang w:val="en-IN"/>
        </w:rPr>
        <w:t>6</w:t>
      </w:r>
      <w:r w:rsidRPr="002A704E">
        <w:rPr>
          <w:rFonts w:cstheme="minorHAnsi"/>
          <w:lang w:val="en-IN"/>
        </w:rPr>
        <w:t xml:space="preserve">], reported a mean cost of </w:t>
      </w:r>
      <w:r w:rsidRPr="002A704E">
        <w:rPr>
          <w:rFonts w:cstheme="minorHAnsi"/>
        </w:rPr>
        <w:t>I</w:t>
      </w:r>
      <w:r w:rsidR="00C22664" w:rsidRPr="002A704E">
        <w:rPr>
          <w:rFonts w:cstheme="minorHAnsi"/>
        </w:rPr>
        <w:t>ndian Rupee (INR)</w:t>
      </w:r>
      <w:r w:rsidRPr="002A704E">
        <w:rPr>
          <w:rFonts w:cstheme="minorHAnsi"/>
        </w:rPr>
        <w:t xml:space="preserve"> 23,991 along with a standard deviation of INR 12,258 (converted in 2015 prices). </w:t>
      </w:r>
      <w:r w:rsidR="00FE49F2" w:rsidRPr="002A704E">
        <w:rPr>
          <w:rFonts w:cstheme="minorHAnsi"/>
        </w:rPr>
        <w:t>T</w:t>
      </w:r>
      <w:r w:rsidRPr="002A704E">
        <w:rPr>
          <w:rFonts w:cstheme="minorHAnsi"/>
        </w:rPr>
        <w:t>herefore</w:t>
      </w:r>
      <w:r w:rsidR="00FE49F2" w:rsidRPr="002A704E">
        <w:rPr>
          <w:rFonts w:cstheme="minorHAnsi"/>
        </w:rPr>
        <w:t>,</w:t>
      </w:r>
      <w:r w:rsidRPr="002A704E">
        <w:rPr>
          <w:rFonts w:cstheme="minorHAnsi"/>
        </w:rPr>
        <w:t xml:space="preserve"> </w:t>
      </w:r>
      <m:oMath>
        <m:r>
          <w:rPr>
            <w:rFonts w:ascii="Cambria Math" w:hAnsi="Cambria Math" w:cstheme="minorHAnsi"/>
            <w:lang w:val="en-IN"/>
          </w:rPr>
          <m:t>μ</m:t>
        </m:r>
      </m:oMath>
      <w:r w:rsidRPr="002A704E">
        <w:rPr>
          <w:rFonts w:cstheme="minorHAnsi"/>
          <w:lang w:val="en-IN"/>
        </w:rPr>
        <w:t xml:space="preserve">= INR </w:t>
      </w:r>
      <w:r w:rsidRPr="002A704E">
        <w:rPr>
          <w:rFonts w:cstheme="minorHAnsi"/>
        </w:rPr>
        <w:t xml:space="preserve">23,991 and </w:t>
      </w:r>
      <m:oMath>
        <m:r>
          <w:rPr>
            <w:rFonts w:ascii="Cambria Math" w:hAnsi="Cambria Math" w:cstheme="minorHAnsi"/>
            <w:lang w:val="en-IN"/>
          </w:rPr>
          <m:t>σ</m:t>
        </m:r>
      </m:oMath>
      <w:r w:rsidRPr="002A704E">
        <w:rPr>
          <w:rFonts w:cstheme="minorHAnsi"/>
          <w:lang w:val="en-IN"/>
        </w:rPr>
        <w:t xml:space="preserve">= INR </w:t>
      </w:r>
      <w:r w:rsidRPr="002A704E">
        <w:rPr>
          <w:rFonts w:cstheme="minorHAnsi"/>
        </w:rPr>
        <w:t>12,258</w:t>
      </w:r>
      <w:r w:rsidR="00FE49F2" w:rsidRPr="002A704E">
        <w:rPr>
          <w:rFonts w:cstheme="minorHAnsi"/>
        </w:rPr>
        <w:t xml:space="preserve"> were assumed</w:t>
      </w:r>
      <w:r w:rsidRPr="002A704E">
        <w:rPr>
          <w:rFonts w:cstheme="minorHAnsi"/>
        </w:rPr>
        <w:t xml:space="preserve">. For the resulting estimate to fall within 7% of the true estimate with 95% confidence, </w:t>
      </w:r>
      <m:oMath>
        <m:r>
          <w:rPr>
            <w:rFonts w:ascii="Cambria Math" w:hAnsi="Cambria Math" w:cstheme="minorHAnsi"/>
            <w:lang w:val="en-IN"/>
          </w:rPr>
          <m:t>ϵ</m:t>
        </m:r>
      </m:oMath>
      <w:r w:rsidRPr="002A704E">
        <w:rPr>
          <w:rFonts w:cstheme="minorHAnsi"/>
          <w:lang w:val="en-IN"/>
        </w:rPr>
        <w:t xml:space="preserve">=7% and </w:t>
      </w:r>
      <m:oMath>
        <m:r>
          <w:rPr>
            <w:rFonts w:ascii="Cambria Math" w:hAnsi="Cambria Math" w:cstheme="minorHAnsi"/>
            <w:lang w:val="en-IN"/>
          </w:rPr>
          <m:t>α</m:t>
        </m:r>
      </m:oMath>
      <w:r w:rsidRPr="002A704E">
        <w:rPr>
          <w:rFonts w:cstheme="minorHAnsi"/>
          <w:lang w:val="en-IN"/>
        </w:rPr>
        <w:t xml:space="preserve">=0.05, i.e.  </w:t>
      </w:r>
      <m:oMath>
        <m:sSub>
          <m:sSubPr>
            <m:ctrlPr>
              <w:rPr>
                <w:rFonts w:ascii="Cambria Math" w:hAnsi="Cambria Math" w:cstheme="minorHAnsi"/>
                <w:i/>
                <w:iCs/>
              </w:rPr>
            </m:ctrlPr>
          </m:sSubPr>
          <m:e>
            <m:r>
              <w:rPr>
                <w:rFonts w:ascii="Cambria Math" w:hAnsi="Cambria Math" w:cstheme="minorHAnsi"/>
                <w:lang w:val="en-IN"/>
              </w:rPr>
              <m:t>Z</m:t>
            </m:r>
          </m:e>
          <m:sub>
            <m:r>
              <w:rPr>
                <w:rFonts w:ascii="Cambria Math" w:hAnsi="Cambria Math" w:cstheme="minorHAnsi"/>
                <w:lang w:val="en-IN"/>
              </w:rPr>
              <m:t>1-</m:t>
            </m:r>
            <m:f>
              <m:fPr>
                <m:ctrlPr>
                  <w:rPr>
                    <w:rFonts w:ascii="Cambria Math" w:hAnsi="Cambria Math" w:cstheme="minorHAnsi"/>
                    <w:i/>
                    <w:iCs/>
                  </w:rPr>
                </m:ctrlPr>
              </m:fPr>
              <m:num>
                <m:r>
                  <w:rPr>
                    <w:rFonts w:ascii="Cambria Math" w:hAnsi="Cambria Math" w:cstheme="minorHAnsi"/>
                    <w:lang w:val="en-IN"/>
                  </w:rPr>
                  <m:t>α</m:t>
                </m:r>
              </m:num>
              <m:den>
                <m:r>
                  <w:rPr>
                    <w:rFonts w:ascii="Cambria Math" w:hAnsi="Cambria Math" w:cstheme="minorHAnsi"/>
                    <w:lang w:val="en-IN"/>
                  </w:rPr>
                  <m:t>2</m:t>
                </m:r>
              </m:den>
            </m:f>
          </m:sub>
        </m:sSub>
        <m:r>
          <w:rPr>
            <w:rFonts w:ascii="Cambria Math" w:hAnsi="Cambria Math" w:cstheme="minorHAnsi"/>
            <w:lang w:val="en-IN"/>
          </w:rPr>
          <m:t>=1.96</m:t>
        </m:r>
      </m:oMath>
      <w:r w:rsidR="00FE49F2" w:rsidRPr="002A704E">
        <w:rPr>
          <w:rFonts w:cstheme="minorHAnsi"/>
          <w:lang w:val="en-IN"/>
        </w:rPr>
        <w:t xml:space="preserve"> were set</w:t>
      </w:r>
      <w:r w:rsidRPr="002A704E">
        <w:rPr>
          <w:rFonts w:cstheme="minorHAnsi"/>
          <w:lang w:val="en-IN"/>
        </w:rPr>
        <w:t xml:space="preserve">. For most demographic health surveys, the design effect, which is the ratio of variances under cluster sampling and simple random sampling, comes out to be less than or equal to 2. </w:t>
      </w:r>
      <w:r w:rsidR="00FE49F2" w:rsidRPr="002A704E">
        <w:rPr>
          <w:rFonts w:cstheme="minorHAnsi"/>
          <w:lang w:val="en-IN"/>
        </w:rPr>
        <w:t>T</w:t>
      </w:r>
      <w:r w:rsidRPr="002A704E">
        <w:rPr>
          <w:rFonts w:cstheme="minorHAnsi"/>
          <w:lang w:val="en-IN"/>
        </w:rPr>
        <w:t>herefore</w:t>
      </w:r>
      <w:r w:rsidR="00FE49F2" w:rsidRPr="002A704E">
        <w:rPr>
          <w:rFonts w:cstheme="minorHAnsi"/>
          <w:lang w:val="en-IN"/>
        </w:rPr>
        <w:t>,</w:t>
      </w:r>
      <w:r w:rsidRPr="002A704E">
        <w:rPr>
          <w:rFonts w:cstheme="minorHAnsi"/>
          <w:lang w:val="en-IN"/>
        </w:rPr>
        <w:t xml:space="preserve"> DEFF </w:t>
      </w:r>
      <w:r w:rsidR="00FE49F2" w:rsidRPr="002A704E">
        <w:rPr>
          <w:rFonts w:cstheme="minorHAnsi"/>
          <w:lang w:val="en-IN"/>
        </w:rPr>
        <w:t xml:space="preserve">was set </w:t>
      </w:r>
      <w:r w:rsidRPr="002A704E">
        <w:rPr>
          <w:rFonts w:cstheme="minorHAnsi"/>
          <w:lang w:val="en-IN"/>
        </w:rPr>
        <w:t>a</w:t>
      </w:r>
      <w:r w:rsidR="00FE49F2" w:rsidRPr="002A704E">
        <w:rPr>
          <w:rFonts w:cstheme="minorHAnsi"/>
          <w:lang w:val="en-IN"/>
        </w:rPr>
        <w:t>s</w:t>
      </w:r>
      <w:r w:rsidRPr="002A704E">
        <w:rPr>
          <w:rFonts w:cstheme="minorHAnsi"/>
          <w:lang w:val="en-IN"/>
        </w:rPr>
        <w:t xml:space="preserve"> 2. Based on these specifications, 410 </w:t>
      </w:r>
      <w:r w:rsidR="00ED7A77" w:rsidRPr="002A704E">
        <w:rPr>
          <w:rFonts w:cstheme="minorHAnsi"/>
          <w:lang w:val="en-IN"/>
        </w:rPr>
        <w:t>DS-</w:t>
      </w:r>
      <w:r w:rsidR="00FE49F2" w:rsidRPr="002A704E">
        <w:rPr>
          <w:rFonts w:cstheme="minorHAnsi"/>
          <w:lang w:val="en-IN"/>
        </w:rPr>
        <w:t>TB</w:t>
      </w:r>
      <w:r w:rsidRPr="002A704E">
        <w:rPr>
          <w:rFonts w:cstheme="minorHAnsi"/>
          <w:lang w:val="en-IN"/>
        </w:rPr>
        <w:t xml:space="preserve"> patients </w:t>
      </w:r>
      <w:r w:rsidR="00FE49F2" w:rsidRPr="002A704E">
        <w:rPr>
          <w:rFonts w:cstheme="minorHAnsi"/>
          <w:lang w:val="en-IN"/>
        </w:rPr>
        <w:t xml:space="preserve">are required </w:t>
      </w:r>
      <w:r w:rsidRPr="002A704E">
        <w:rPr>
          <w:rFonts w:cstheme="minorHAnsi"/>
          <w:lang w:val="en-IN"/>
        </w:rPr>
        <w:t xml:space="preserve">to estimate the mean cost within 7% </w:t>
      </w:r>
      <w:r w:rsidRPr="002A704E">
        <w:rPr>
          <w:rFonts w:cstheme="minorHAnsi"/>
        </w:rPr>
        <w:t xml:space="preserve">of the true estimate with 95% confidence accounting for survey design. Considering a 10% loss to follow-up and another 10% non-response, the final sample size of </w:t>
      </w:r>
      <w:r w:rsidR="00FE49F2" w:rsidRPr="002A704E">
        <w:rPr>
          <w:rFonts w:cstheme="minorHAnsi"/>
        </w:rPr>
        <w:t>TB</w:t>
      </w:r>
      <w:r w:rsidRPr="002A704E">
        <w:rPr>
          <w:rFonts w:cstheme="minorHAnsi"/>
        </w:rPr>
        <w:t xml:space="preserve"> patients </w:t>
      </w:r>
      <w:r w:rsidR="00FE49F2" w:rsidRPr="002A704E">
        <w:rPr>
          <w:rFonts w:cstheme="minorHAnsi"/>
        </w:rPr>
        <w:t>required will be</w:t>
      </w:r>
      <w:r w:rsidRPr="002A704E">
        <w:rPr>
          <w:rFonts w:cstheme="minorHAnsi"/>
        </w:rPr>
        <w:t xml:space="preserve"> 512 in each group. This implies that 1,536 </w:t>
      </w:r>
      <w:r w:rsidR="00FE49F2" w:rsidRPr="002A704E">
        <w:rPr>
          <w:rFonts w:cstheme="minorHAnsi"/>
        </w:rPr>
        <w:t xml:space="preserve">DS-TB patients </w:t>
      </w:r>
      <w:r w:rsidRPr="002A704E">
        <w:rPr>
          <w:rFonts w:cstheme="minorHAnsi"/>
        </w:rPr>
        <w:t xml:space="preserve">(512 patients in each group x three groups: general population, tea garden </w:t>
      </w:r>
      <w:r w:rsidR="00565E9F" w:rsidRPr="002A704E">
        <w:rPr>
          <w:rFonts w:cstheme="minorHAnsi"/>
        </w:rPr>
        <w:t>areas</w:t>
      </w:r>
      <w:r w:rsidRPr="002A704E">
        <w:rPr>
          <w:rFonts w:cstheme="minorHAnsi"/>
        </w:rPr>
        <w:t xml:space="preserve"> and slum dwellers) </w:t>
      </w:r>
      <w:r w:rsidR="00FE49F2" w:rsidRPr="002A704E">
        <w:rPr>
          <w:rFonts w:cstheme="minorHAnsi"/>
        </w:rPr>
        <w:t>need to be interviewed in total for the main study.</w:t>
      </w:r>
      <w:r w:rsidR="00C22664" w:rsidRPr="002A704E">
        <w:rPr>
          <w:rFonts w:cstheme="minorHAnsi"/>
        </w:rPr>
        <w:t xml:space="preserve"> 512 patients in each group were sampled from all four states except for patients in tea garden areas who were sampled from three states as the state Maharashtra does not have tea gardens.    </w:t>
      </w:r>
    </w:p>
    <w:p w14:paraId="7AC7F7DA" w14:textId="647C7070" w:rsidR="00F67333" w:rsidRPr="002A704E" w:rsidRDefault="00F67333" w:rsidP="003C23F9">
      <w:pPr>
        <w:spacing w:line="480" w:lineRule="auto"/>
        <w:rPr>
          <w:rFonts w:cstheme="minorHAnsi"/>
        </w:rPr>
      </w:pPr>
    </w:p>
    <w:p w14:paraId="14F2577A" w14:textId="30128E2E" w:rsidR="00F67333" w:rsidRPr="002A704E" w:rsidRDefault="00F67333" w:rsidP="003C23F9">
      <w:pPr>
        <w:spacing w:line="480" w:lineRule="auto"/>
        <w:rPr>
          <w:rFonts w:cstheme="minorHAnsi"/>
        </w:rPr>
      </w:pPr>
    </w:p>
    <w:p w14:paraId="52E550A7" w14:textId="4253FD9F" w:rsidR="00F67333" w:rsidRPr="002A704E" w:rsidRDefault="00F67333" w:rsidP="003C23F9">
      <w:pPr>
        <w:spacing w:line="480" w:lineRule="auto"/>
        <w:rPr>
          <w:rFonts w:cstheme="minorHAnsi"/>
        </w:rPr>
      </w:pPr>
    </w:p>
    <w:p w14:paraId="2B358645" w14:textId="3F6CBFD0" w:rsidR="00F67333" w:rsidRPr="002A704E" w:rsidRDefault="00F67333" w:rsidP="003C23F9">
      <w:pPr>
        <w:spacing w:line="480" w:lineRule="auto"/>
        <w:rPr>
          <w:rFonts w:cstheme="minorHAnsi"/>
        </w:rPr>
      </w:pPr>
    </w:p>
    <w:p w14:paraId="4A07519F" w14:textId="15D33068" w:rsidR="00F67333" w:rsidRPr="002A704E" w:rsidRDefault="00F67333" w:rsidP="003C23F9">
      <w:pPr>
        <w:spacing w:line="480" w:lineRule="auto"/>
        <w:rPr>
          <w:rFonts w:cstheme="minorHAnsi"/>
        </w:rPr>
      </w:pPr>
    </w:p>
    <w:p w14:paraId="61F4D1FB" w14:textId="08287FF9" w:rsidR="00F67333" w:rsidRPr="002A704E" w:rsidRDefault="00F67333" w:rsidP="003C23F9">
      <w:pPr>
        <w:spacing w:line="480" w:lineRule="auto"/>
        <w:rPr>
          <w:rFonts w:cstheme="minorHAnsi"/>
        </w:rPr>
      </w:pPr>
    </w:p>
    <w:p w14:paraId="14C23B9E" w14:textId="7A75CCCD" w:rsidR="00F67333" w:rsidRPr="002A704E" w:rsidRDefault="00F67333" w:rsidP="003C23F9">
      <w:pPr>
        <w:spacing w:line="480" w:lineRule="auto"/>
        <w:rPr>
          <w:rFonts w:cstheme="minorHAnsi"/>
        </w:rPr>
      </w:pPr>
    </w:p>
    <w:p w14:paraId="62DCF9C0" w14:textId="77777777" w:rsidR="00C22664" w:rsidRPr="002A704E" w:rsidRDefault="00C22664" w:rsidP="003C23F9">
      <w:pPr>
        <w:spacing w:line="480" w:lineRule="auto"/>
        <w:rPr>
          <w:rFonts w:cstheme="minorHAnsi"/>
          <w:b/>
          <w:bCs/>
        </w:rPr>
      </w:pPr>
    </w:p>
    <w:p w14:paraId="53A3EBD7" w14:textId="03049BE3" w:rsidR="00F67333" w:rsidRPr="002A704E" w:rsidRDefault="00157BF2" w:rsidP="003C23F9">
      <w:pPr>
        <w:spacing w:line="480" w:lineRule="auto"/>
        <w:rPr>
          <w:rFonts w:cstheme="minorHAnsi"/>
          <w:b/>
          <w:bCs/>
        </w:rPr>
      </w:pPr>
      <w:r w:rsidRPr="002A704E">
        <w:rPr>
          <w:rFonts w:cstheme="minorHAnsi"/>
          <w:b/>
          <w:bCs/>
        </w:rPr>
        <w:lastRenderedPageBreak/>
        <w:t>References</w:t>
      </w:r>
    </w:p>
    <w:p w14:paraId="0D1FCE82" w14:textId="55DFC503" w:rsidR="00157BF2" w:rsidRPr="002A704E" w:rsidRDefault="00157BF2" w:rsidP="00157BF2">
      <w:pPr>
        <w:autoSpaceDE w:val="0"/>
        <w:autoSpaceDN w:val="0"/>
        <w:adjustRightInd w:val="0"/>
        <w:spacing w:line="480" w:lineRule="auto"/>
        <w:rPr>
          <w:rStyle w:val="Hyperlink"/>
          <w:rFonts w:cstheme="minorHAnsi"/>
          <w:b/>
          <w:bCs/>
        </w:rPr>
      </w:pPr>
      <w:r w:rsidRPr="002A704E">
        <w:rPr>
          <w:rStyle w:val="Hyperlink"/>
          <w:rFonts w:cstheme="minorHAnsi"/>
          <w:color w:val="auto"/>
          <w:u w:val="none"/>
        </w:rPr>
        <w:t xml:space="preserve">1. Central TB Division, Directorate general of health services, ministry of health and family welfare, </w:t>
      </w:r>
      <w:proofErr w:type="spellStart"/>
      <w:r w:rsidRPr="002A704E">
        <w:rPr>
          <w:rStyle w:val="Hyperlink"/>
          <w:rFonts w:cstheme="minorHAnsi"/>
          <w:color w:val="auto"/>
          <w:u w:val="none"/>
        </w:rPr>
        <w:t>Nirman</w:t>
      </w:r>
      <w:proofErr w:type="spellEnd"/>
      <w:r w:rsidRPr="002A704E">
        <w:rPr>
          <w:rStyle w:val="Hyperlink"/>
          <w:rFonts w:cstheme="minorHAnsi"/>
          <w:color w:val="auto"/>
          <w:u w:val="none"/>
        </w:rPr>
        <w:t xml:space="preserve"> Bhavan, New Delhi. 2017; National strategic plan for tuberculosis elimination, 2017-2025.</w:t>
      </w:r>
      <w:r w:rsidRPr="002A704E">
        <w:rPr>
          <w:rStyle w:val="Hyperlink"/>
          <w:rFonts w:cstheme="minorHAnsi"/>
          <w:color w:val="auto"/>
        </w:rPr>
        <w:t xml:space="preserve"> </w:t>
      </w:r>
      <w:r w:rsidRPr="002A704E">
        <w:t>https://tbcindia.gov.in/WriteReadData/National%20Strategic%20Plan%202017-25.pdf.</w:t>
      </w:r>
    </w:p>
    <w:p w14:paraId="188739DF" w14:textId="647E15C7" w:rsidR="00157BF2" w:rsidRPr="002A704E" w:rsidRDefault="00157BF2" w:rsidP="003C23F9">
      <w:pPr>
        <w:spacing w:line="480" w:lineRule="auto"/>
        <w:rPr>
          <w:rFonts w:cstheme="minorHAnsi"/>
        </w:rPr>
      </w:pPr>
      <w:r w:rsidRPr="002A704E">
        <w:rPr>
          <w:rFonts w:cstheme="minorHAnsi"/>
        </w:rPr>
        <w:t xml:space="preserve">2. </w:t>
      </w:r>
      <w:hyperlink r:id="rId7" w:history="1">
        <w:r w:rsidR="00FF53AA" w:rsidRPr="002A704E">
          <w:rPr>
            <w:rStyle w:val="Hyperlink"/>
            <w:rFonts w:cstheme="minorHAnsi"/>
            <w:color w:val="auto"/>
            <w:u w:val="none"/>
          </w:rPr>
          <w:t>https://data.worldbank.org/indicator/EN.POP.SLUM.UR.ZS?locations=IN</w:t>
        </w:r>
      </w:hyperlink>
      <w:r w:rsidR="00FF53AA" w:rsidRPr="002A704E">
        <w:rPr>
          <w:rFonts w:cstheme="minorHAnsi"/>
        </w:rPr>
        <w:t xml:space="preserve"> accessed April 23, 2022</w:t>
      </w:r>
    </w:p>
    <w:p w14:paraId="54164DBB" w14:textId="704928DB" w:rsidR="00FF53AA" w:rsidRPr="002A704E" w:rsidRDefault="00FF53AA" w:rsidP="003C23F9">
      <w:pPr>
        <w:spacing w:line="480" w:lineRule="auto"/>
        <w:rPr>
          <w:rFonts w:cstheme="minorHAnsi"/>
        </w:rPr>
      </w:pPr>
      <w:r w:rsidRPr="002A704E">
        <w:rPr>
          <w:rFonts w:cstheme="minorHAnsi"/>
        </w:rPr>
        <w:t xml:space="preserve">3. Nolan LB. Slum definitions in urban India: implications for the measurement of health inequalities. </w:t>
      </w:r>
      <w:proofErr w:type="spellStart"/>
      <w:r w:rsidRPr="002A704E">
        <w:rPr>
          <w:rFonts w:cstheme="minorHAnsi"/>
        </w:rPr>
        <w:t>Popul</w:t>
      </w:r>
      <w:proofErr w:type="spellEnd"/>
      <w:r w:rsidRPr="002A704E">
        <w:rPr>
          <w:rFonts w:cstheme="minorHAnsi"/>
        </w:rPr>
        <w:t xml:space="preserve"> Dev Rev 2015; 41(1): 59-84.</w:t>
      </w:r>
    </w:p>
    <w:p w14:paraId="41B14BAD" w14:textId="687C5F7A" w:rsidR="00FF53AA" w:rsidRPr="002A704E" w:rsidRDefault="00FF53AA" w:rsidP="003C23F9">
      <w:pPr>
        <w:spacing w:line="480" w:lineRule="auto"/>
        <w:rPr>
          <w:rFonts w:cstheme="minorHAnsi"/>
          <w:shd w:val="clear" w:color="auto" w:fill="FFFFFF"/>
        </w:rPr>
      </w:pPr>
      <w:r w:rsidRPr="002A704E">
        <w:rPr>
          <w:rFonts w:cstheme="minorHAnsi"/>
        </w:rPr>
        <w:t xml:space="preserve">4. Rajbangshi PR, Nambiar D. “Who will stand up for us?” the social determinants of health of women tea plantation workers in India. Int J Equity Health 2020; 19: 29. </w:t>
      </w:r>
      <w:hyperlink r:id="rId8" w:history="1">
        <w:r w:rsidR="000241AA" w:rsidRPr="002A704E">
          <w:rPr>
            <w:rStyle w:val="Hyperlink"/>
            <w:rFonts w:cstheme="minorHAnsi"/>
            <w:color w:val="auto"/>
            <w:u w:val="none"/>
            <w:shd w:val="clear" w:color="auto" w:fill="FFFFFF"/>
          </w:rPr>
          <w:t>https://doi.org/10.1186/s12939-020-1147-3</w:t>
        </w:r>
      </w:hyperlink>
    </w:p>
    <w:p w14:paraId="0F7069C9" w14:textId="7516D68E" w:rsidR="007A69EF" w:rsidRPr="002A704E" w:rsidRDefault="007A69EF" w:rsidP="007A69EF">
      <w:pPr>
        <w:pStyle w:val="Default"/>
        <w:spacing w:line="480" w:lineRule="auto"/>
        <w:rPr>
          <w:rFonts w:asciiTheme="minorHAnsi" w:hAnsiTheme="minorHAnsi" w:cstheme="minorHAnsi"/>
          <w:sz w:val="22"/>
          <w:szCs w:val="22"/>
        </w:rPr>
      </w:pPr>
      <w:r w:rsidRPr="002A704E">
        <w:rPr>
          <w:rFonts w:asciiTheme="minorHAnsi" w:hAnsiTheme="minorHAnsi" w:cstheme="minorHAnsi"/>
          <w:sz w:val="22"/>
          <w:szCs w:val="22"/>
        </w:rPr>
        <w:t xml:space="preserve">5. World Health Organization. WHO's Study on global </w:t>
      </w:r>
      <w:proofErr w:type="spellStart"/>
      <w:r w:rsidRPr="002A704E">
        <w:rPr>
          <w:rFonts w:asciiTheme="minorHAnsi" w:hAnsiTheme="minorHAnsi" w:cstheme="minorHAnsi"/>
          <w:sz w:val="22"/>
          <w:szCs w:val="22"/>
        </w:rPr>
        <w:t>AGEing</w:t>
      </w:r>
      <w:proofErr w:type="spellEnd"/>
      <w:r w:rsidRPr="002A704E">
        <w:rPr>
          <w:rFonts w:asciiTheme="minorHAnsi" w:hAnsiTheme="minorHAnsi" w:cstheme="minorHAnsi"/>
          <w:sz w:val="22"/>
          <w:szCs w:val="22"/>
        </w:rPr>
        <w:t xml:space="preserve"> and adult health (SAGE)</w:t>
      </w:r>
      <w:r w:rsidR="003E2E9B" w:rsidRPr="002A704E">
        <w:rPr>
          <w:rFonts w:asciiTheme="minorHAnsi" w:hAnsiTheme="minorHAnsi" w:cstheme="minorHAnsi"/>
          <w:sz w:val="22"/>
          <w:szCs w:val="22"/>
        </w:rPr>
        <w:t>.</w:t>
      </w:r>
      <w:r w:rsidRPr="002A704E">
        <w:rPr>
          <w:rFonts w:asciiTheme="minorHAnsi" w:hAnsiTheme="minorHAnsi" w:cstheme="minorHAnsi"/>
          <w:sz w:val="22"/>
          <w:szCs w:val="22"/>
        </w:rPr>
        <w:t xml:space="preserve"> </w:t>
      </w:r>
    </w:p>
    <w:p w14:paraId="6696FAB7" w14:textId="24553D21" w:rsidR="007A69EF" w:rsidRPr="002A704E" w:rsidRDefault="003E2E9B" w:rsidP="007A69EF">
      <w:pPr>
        <w:spacing w:line="480" w:lineRule="auto"/>
        <w:rPr>
          <w:rFonts w:cstheme="minorHAnsi"/>
        </w:rPr>
      </w:pPr>
      <w:r w:rsidRPr="002A704E">
        <w:rPr>
          <w:rFonts w:cstheme="minorHAnsi"/>
        </w:rPr>
        <w:t>https://www.who.int/data/data-collection-tools/study-on-global-ageing-and-adult-health</w:t>
      </w:r>
      <w:r w:rsidR="007A69EF" w:rsidRPr="002A704E">
        <w:rPr>
          <w:rFonts w:cstheme="minorHAnsi"/>
        </w:rPr>
        <w:t xml:space="preserve">. </w:t>
      </w:r>
      <w:r w:rsidRPr="002A704E">
        <w:rPr>
          <w:rFonts w:cstheme="minorHAnsi"/>
        </w:rPr>
        <w:t>A</w:t>
      </w:r>
      <w:r w:rsidR="007A69EF" w:rsidRPr="002A704E">
        <w:rPr>
          <w:rFonts w:cstheme="minorHAnsi"/>
        </w:rPr>
        <w:t xml:space="preserve">ccessed </w:t>
      </w:r>
      <w:r w:rsidRPr="002A704E">
        <w:rPr>
          <w:rFonts w:cstheme="minorHAnsi"/>
        </w:rPr>
        <w:t>April</w:t>
      </w:r>
      <w:r w:rsidR="007A69EF" w:rsidRPr="002A704E">
        <w:rPr>
          <w:rFonts w:cstheme="minorHAnsi"/>
        </w:rPr>
        <w:t xml:space="preserve"> 2</w:t>
      </w:r>
      <w:r w:rsidRPr="002A704E">
        <w:rPr>
          <w:rFonts w:cstheme="minorHAnsi"/>
        </w:rPr>
        <w:t>3</w:t>
      </w:r>
      <w:r w:rsidR="007A69EF" w:rsidRPr="002A704E">
        <w:rPr>
          <w:rFonts w:cstheme="minorHAnsi"/>
        </w:rPr>
        <w:t>, 20</w:t>
      </w:r>
      <w:r w:rsidRPr="002A704E">
        <w:rPr>
          <w:rFonts w:cstheme="minorHAnsi"/>
        </w:rPr>
        <w:t>22</w:t>
      </w:r>
      <w:r w:rsidR="007A69EF" w:rsidRPr="002A704E">
        <w:rPr>
          <w:rFonts w:cstheme="minorHAnsi"/>
        </w:rPr>
        <w:t>.</w:t>
      </w:r>
    </w:p>
    <w:p w14:paraId="555D0E83" w14:textId="3CC29632" w:rsidR="007A69EF" w:rsidRPr="002A704E" w:rsidRDefault="007A69EF" w:rsidP="007A69EF">
      <w:pPr>
        <w:spacing w:after="0" w:line="480" w:lineRule="auto"/>
        <w:jc w:val="both"/>
        <w:rPr>
          <w:rFonts w:cstheme="minorHAnsi"/>
          <w:bCs/>
        </w:rPr>
      </w:pPr>
      <w:r w:rsidRPr="002A704E">
        <w:rPr>
          <w:rFonts w:cstheme="minorHAnsi"/>
          <w:bCs/>
        </w:rPr>
        <w:t xml:space="preserve">6. John KR, Daley P, </w:t>
      </w:r>
      <w:proofErr w:type="spellStart"/>
      <w:r w:rsidRPr="002A704E">
        <w:rPr>
          <w:rFonts w:cstheme="minorHAnsi"/>
          <w:bCs/>
        </w:rPr>
        <w:t>Kincler</w:t>
      </w:r>
      <w:proofErr w:type="spellEnd"/>
      <w:r w:rsidRPr="002A704E">
        <w:rPr>
          <w:rFonts w:cstheme="minorHAnsi"/>
          <w:bCs/>
        </w:rPr>
        <w:t xml:space="preserve"> N, Oxlade O, Menzies D. Costs incurred by patients with pulmonary tuberculosis in rural India. Int </w:t>
      </w:r>
      <w:r w:rsidR="003E2E9B" w:rsidRPr="002A704E">
        <w:rPr>
          <w:rFonts w:cstheme="minorHAnsi"/>
          <w:bCs/>
        </w:rPr>
        <w:t>J</w:t>
      </w:r>
      <w:r w:rsidRPr="002A704E">
        <w:rPr>
          <w:rFonts w:cstheme="minorHAnsi"/>
          <w:bCs/>
        </w:rPr>
        <w:t xml:space="preserve"> </w:t>
      </w:r>
      <w:proofErr w:type="spellStart"/>
      <w:r w:rsidR="003E2E9B" w:rsidRPr="002A704E">
        <w:rPr>
          <w:rFonts w:cstheme="minorHAnsi"/>
          <w:bCs/>
        </w:rPr>
        <w:t>T</w:t>
      </w:r>
      <w:r w:rsidRPr="002A704E">
        <w:rPr>
          <w:rFonts w:cstheme="minorHAnsi"/>
          <w:bCs/>
        </w:rPr>
        <w:t>uberc</w:t>
      </w:r>
      <w:proofErr w:type="spellEnd"/>
      <w:r w:rsidR="003E2E9B" w:rsidRPr="002A704E">
        <w:rPr>
          <w:rFonts w:cstheme="minorHAnsi"/>
          <w:bCs/>
        </w:rPr>
        <w:t xml:space="preserve"> L</w:t>
      </w:r>
      <w:r w:rsidRPr="002A704E">
        <w:rPr>
          <w:rFonts w:cstheme="minorHAnsi"/>
          <w:bCs/>
        </w:rPr>
        <w:t xml:space="preserve">ung </w:t>
      </w:r>
      <w:r w:rsidR="003E2E9B" w:rsidRPr="002A704E">
        <w:rPr>
          <w:rFonts w:cstheme="minorHAnsi"/>
          <w:bCs/>
        </w:rPr>
        <w:t>D</w:t>
      </w:r>
      <w:r w:rsidRPr="002A704E">
        <w:rPr>
          <w:rFonts w:cstheme="minorHAnsi"/>
          <w:bCs/>
        </w:rPr>
        <w:t>is</w:t>
      </w:r>
      <w:r w:rsidR="003E2E9B" w:rsidRPr="002A704E">
        <w:rPr>
          <w:rFonts w:cstheme="minorHAnsi"/>
          <w:bCs/>
        </w:rPr>
        <w:t xml:space="preserve"> 2009;</w:t>
      </w:r>
      <w:r w:rsidRPr="002A704E">
        <w:rPr>
          <w:rFonts w:cstheme="minorHAnsi"/>
          <w:bCs/>
        </w:rPr>
        <w:t xml:space="preserve"> 13</w:t>
      </w:r>
      <w:r w:rsidR="003E2E9B" w:rsidRPr="002A704E">
        <w:rPr>
          <w:rFonts w:cstheme="minorHAnsi"/>
          <w:bCs/>
        </w:rPr>
        <w:t xml:space="preserve">(10): </w:t>
      </w:r>
      <w:r w:rsidRPr="002A704E">
        <w:rPr>
          <w:rFonts w:cstheme="minorHAnsi"/>
          <w:bCs/>
        </w:rPr>
        <w:t>1281-1287.</w:t>
      </w:r>
    </w:p>
    <w:p w14:paraId="0D06B511" w14:textId="77777777" w:rsidR="007A69EF" w:rsidRPr="002A704E" w:rsidRDefault="007A69EF" w:rsidP="003C23F9">
      <w:pPr>
        <w:spacing w:line="480" w:lineRule="auto"/>
        <w:rPr>
          <w:rFonts w:cstheme="minorHAnsi"/>
        </w:rPr>
      </w:pPr>
    </w:p>
    <w:p w14:paraId="2DA5C82A" w14:textId="77777777" w:rsidR="00FF53AA" w:rsidRPr="002A704E" w:rsidRDefault="00FF53AA" w:rsidP="003C23F9">
      <w:pPr>
        <w:spacing w:line="480" w:lineRule="auto"/>
        <w:rPr>
          <w:rFonts w:cstheme="minorHAnsi"/>
        </w:rPr>
      </w:pPr>
    </w:p>
    <w:p w14:paraId="308DC27C" w14:textId="2331B777" w:rsidR="00F67333" w:rsidRPr="002A704E" w:rsidRDefault="00F67333" w:rsidP="00157BF2">
      <w:pPr>
        <w:spacing w:line="480" w:lineRule="auto"/>
        <w:rPr>
          <w:rFonts w:cstheme="minorHAnsi"/>
        </w:rPr>
      </w:pPr>
    </w:p>
    <w:p w14:paraId="22110532" w14:textId="02011321" w:rsidR="00F67333" w:rsidRPr="002A704E" w:rsidRDefault="00F67333" w:rsidP="003C23F9">
      <w:pPr>
        <w:spacing w:line="480" w:lineRule="auto"/>
        <w:rPr>
          <w:rFonts w:cstheme="minorHAnsi"/>
        </w:rPr>
      </w:pPr>
    </w:p>
    <w:p w14:paraId="7E4782CB" w14:textId="1871B397" w:rsidR="00F67333" w:rsidRPr="002A704E" w:rsidRDefault="00F67333" w:rsidP="003C23F9">
      <w:pPr>
        <w:spacing w:line="480" w:lineRule="auto"/>
        <w:rPr>
          <w:rFonts w:cstheme="minorHAnsi"/>
        </w:rPr>
      </w:pPr>
    </w:p>
    <w:p w14:paraId="5D036C6A" w14:textId="67630010" w:rsidR="00F67333" w:rsidRPr="002A704E" w:rsidRDefault="00F67333" w:rsidP="003C23F9">
      <w:pPr>
        <w:spacing w:line="480" w:lineRule="auto"/>
        <w:rPr>
          <w:rFonts w:cstheme="minorHAnsi"/>
        </w:rPr>
      </w:pPr>
    </w:p>
    <w:p w14:paraId="5C0652AF" w14:textId="799EDA7D" w:rsidR="00F67333" w:rsidRPr="002A704E" w:rsidRDefault="00F67333" w:rsidP="003C23F9">
      <w:pPr>
        <w:spacing w:line="480" w:lineRule="auto"/>
        <w:rPr>
          <w:rFonts w:cstheme="minorHAnsi"/>
        </w:rPr>
      </w:pPr>
    </w:p>
    <w:p w14:paraId="7A65677C" w14:textId="69FBC438" w:rsidR="00157BF2" w:rsidRPr="002A704E" w:rsidRDefault="0081684E" w:rsidP="003C23F9">
      <w:pPr>
        <w:spacing w:line="480" w:lineRule="auto"/>
        <w:rPr>
          <w:rFonts w:cstheme="minorHAnsi"/>
        </w:rPr>
      </w:pPr>
      <w:r w:rsidRPr="002A704E">
        <w:rPr>
          <w:rFonts w:cstheme="minorHAnsi"/>
          <w:b/>
        </w:rPr>
        <w:lastRenderedPageBreak/>
        <w:t>Table 1: States stratified based on levels of development and regions</w:t>
      </w:r>
    </w:p>
    <w:p w14:paraId="71EC904F" w14:textId="1B69203C" w:rsidR="00157BF2" w:rsidRPr="002A704E" w:rsidRDefault="00157BF2" w:rsidP="003C23F9">
      <w:pPr>
        <w:spacing w:line="480" w:lineRule="auto"/>
        <w:rPr>
          <w:rFonts w:cstheme="minorHAnsi"/>
        </w:rPr>
      </w:pPr>
    </w:p>
    <w:p w14:paraId="2B066940" w14:textId="77777777" w:rsidR="00157BF2" w:rsidRPr="002A704E" w:rsidRDefault="00157BF2" w:rsidP="003C23F9">
      <w:pPr>
        <w:spacing w:line="480" w:lineRule="auto"/>
        <w:rPr>
          <w:rFonts w:cstheme="minorHAnsi"/>
        </w:rPr>
      </w:pPr>
    </w:p>
    <w:p w14:paraId="5FF91AE2" w14:textId="728931E1" w:rsidR="00F67333" w:rsidRPr="002A704E" w:rsidRDefault="00F67333" w:rsidP="003C23F9">
      <w:pPr>
        <w:spacing w:line="480" w:lineRule="auto"/>
        <w:rPr>
          <w:rFonts w:cstheme="minorHAnsi"/>
        </w:rPr>
      </w:pPr>
    </w:p>
    <w:p w14:paraId="144B8684" w14:textId="30744082" w:rsidR="00F67333" w:rsidRPr="002A704E" w:rsidRDefault="00F67333" w:rsidP="003C23F9">
      <w:pPr>
        <w:spacing w:line="480" w:lineRule="auto"/>
        <w:rPr>
          <w:rFonts w:cstheme="minorHAnsi"/>
        </w:rPr>
      </w:pPr>
    </w:p>
    <w:p w14:paraId="76DB8ACC" w14:textId="65C58807" w:rsidR="00F67333" w:rsidRPr="002A704E" w:rsidRDefault="00F67333" w:rsidP="003C23F9">
      <w:pPr>
        <w:spacing w:line="480" w:lineRule="auto"/>
        <w:rPr>
          <w:rFonts w:cstheme="minorHAnsi"/>
        </w:rPr>
      </w:pPr>
    </w:p>
    <w:p w14:paraId="66007498" w14:textId="3A85D551" w:rsidR="00FF53AA" w:rsidRPr="002A704E" w:rsidRDefault="00FF53AA" w:rsidP="003C23F9">
      <w:pPr>
        <w:spacing w:line="480" w:lineRule="auto"/>
        <w:rPr>
          <w:rFonts w:cstheme="minorHAnsi"/>
        </w:rPr>
      </w:pPr>
    </w:p>
    <w:p w14:paraId="3B55660F" w14:textId="56391AED" w:rsidR="00FF53AA" w:rsidRPr="002A704E" w:rsidRDefault="00FF53AA" w:rsidP="003C23F9">
      <w:pPr>
        <w:spacing w:line="480" w:lineRule="auto"/>
        <w:rPr>
          <w:rFonts w:cstheme="minorHAnsi"/>
        </w:rPr>
      </w:pPr>
    </w:p>
    <w:p w14:paraId="67CAC8E4" w14:textId="77777777" w:rsidR="00FF53AA" w:rsidRPr="002A704E" w:rsidRDefault="00FF53AA" w:rsidP="003C23F9">
      <w:pPr>
        <w:spacing w:line="480" w:lineRule="auto"/>
        <w:rPr>
          <w:rFonts w:cstheme="minorHAnsi"/>
        </w:rPr>
      </w:pPr>
    </w:p>
    <w:p w14:paraId="1A1B6107" w14:textId="43D553C7" w:rsidR="00F67333" w:rsidRPr="002A704E" w:rsidRDefault="00F67333" w:rsidP="00F67333">
      <w:pPr>
        <w:spacing w:line="240" w:lineRule="auto"/>
        <w:rPr>
          <w:rFonts w:cstheme="minorHAnsi"/>
        </w:rPr>
      </w:pPr>
    </w:p>
    <w:tbl>
      <w:tblPr>
        <w:tblStyle w:val="TableGrid"/>
        <w:tblpPr w:leftFromText="180" w:rightFromText="180" w:vertAnchor="page" w:horzAnchor="margin" w:tblpY="1888"/>
        <w:tblW w:w="9528" w:type="dxa"/>
        <w:tblLayout w:type="fixed"/>
        <w:tblLook w:val="04A0" w:firstRow="1" w:lastRow="0" w:firstColumn="1" w:lastColumn="0" w:noHBand="0" w:noVBand="1"/>
      </w:tblPr>
      <w:tblGrid>
        <w:gridCol w:w="1003"/>
        <w:gridCol w:w="1577"/>
        <w:gridCol w:w="1384"/>
        <w:gridCol w:w="1560"/>
        <w:gridCol w:w="1134"/>
        <w:gridCol w:w="1423"/>
        <w:gridCol w:w="1447"/>
      </w:tblGrid>
      <w:tr w:rsidR="00F67333" w:rsidRPr="002A704E" w14:paraId="4590BA2A" w14:textId="77777777" w:rsidTr="00F67333">
        <w:trPr>
          <w:trHeight w:val="286"/>
        </w:trPr>
        <w:tc>
          <w:tcPr>
            <w:tcW w:w="1003" w:type="dxa"/>
            <w:tcBorders>
              <w:top w:val="single" w:sz="4" w:space="0" w:color="auto"/>
              <w:left w:val="single" w:sz="4" w:space="0" w:color="auto"/>
              <w:bottom w:val="single" w:sz="4" w:space="0" w:color="auto"/>
              <w:right w:val="single" w:sz="4" w:space="0" w:color="auto"/>
            </w:tcBorders>
          </w:tcPr>
          <w:p w14:paraId="64D16E46" w14:textId="77777777" w:rsidR="00F67333" w:rsidRPr="002A704E" w:rsidRDefault="00F67333" w:rsidP="00F67333">
            <w:pPr>
              <w:jc w:val="both"/>
              <w:rPr>
                <w:rFonts w:cstheme="minorHAnsi"/>
                <w:szCs w:val="22"/>
              </w:rPr>
            </w:pPr>
          </w:p>
        </w:tc>
        <w:tc>
          <w:tcPr>
            <w:tcW w:w="8525" w:type="dxa"/>
            <w:gridSpan w:val="6"/>
            <w:tcBorders>
              <w:top w:val="single" w:sz="4" w:space="0" w:color="auto"/>
              <w:left w:val="single" w:sz="4" w:space="0" w:color="auto"/>
              <w:bottom w:val="single" w:sz="4" w:space="0" w:color="auto"/>
              <w:right w:val="single" w:sz="4" w:space="0" w:color="auto"/>
            </w:tcBorders>
            <w:hideMark/>
          </w:tcPr>
          <w:p w14:paraId="51806432" w14:textId="77777777" w:rsidR="00F67333" w:rsidRPr="002A704E" w:rsidRDefault="00F67333" w:rsidP="00F67333">
            <w:pPr>
              <w:jc w:val="center"/>
              <w:rPr>
                <w:rFonts w:cstheme="minorHAnsi"/>
                <w:szCs w:val="22"/>
              </w:rPr>
            </w:pPr>
            <w:r w:rsidRPr="002A704E">
              <w:rPr>
                <w:rFonts w:cstheme="minorHAnsi"/>
                <w:szCs w:val="22"/>
              </w:rPr>
              <w:t>Levels of development</w:t>
            </w:r>
          </w:p>
        </w:tc>
      </w:tr>
      <w:tr w:rsidR="00F67333" w:rsidRPr="002A704E" w14:paraId="271670D8" w14:textId="77777777" w:rsidTr="00F67333">
        <w:trPr>
          <w:trHeight w:val="587"/>
        </w:trPr>
        <w:tc>
          <w:tcPr>
            <w:tcW w:w="1003" w:type="dxa"/>
            <w:tcBorders>
              <w:top w:val="single" w:sz="4" w:space="0" w:color="auto"/>
              <w:left w:val="single" w:sz="4" w:space="0" w:color="auto"/>
              <w:bottom w:val="single" w:sz="4" w:space="0" w:color="auto"/>
              <w:right w:val="single" w:sz="4" w:space="0" w:color="auto"/>
            </w:tcBorders>
            <w:hideMark/>
          </w:tcPr>
          <w:p w14:paraId="5C42BB97" w14:textId="77777777" w:rsidR="00F67333" w:rsidRPr="002A704E" w:rsidRDefault="00F67333" w:rsidP="00F67333">
            <w:pPr>
              <w:jc w:val="both"/>
              <w:rPr>
                <w:rFonts w:cstheme="minorHAnsi"/>
                <w:szCs w:val="22"/>
              </w:rPr>
            </w:pPr>
            <w:r w:rsidRPr="002A704E">
              <w:rPr>
                <w:rFonts w:cstheme="minorHAnsi"/>
                <w:szCs w:val="22"/>
              </w:rPr>
              <w:t>Regions</w:t>
            </w:r>
          </w:p>
        </w:tc>
        <w:tc>
          <w:tcPr>
            <w:tcW w:w="1577" w:type="dxa"/>
            <w:tcBorders>
              <w:top w:val="single" w:sz="4" w:space="0" w:color="auto"/>
              <w:left w:val="single" w:sz="4" w:space="0" w:color="auto"/>
              <w:bottom w:val="single" w:sz="4" w:space="0" w:color="auto"/>
              <w:right w:val="single" w:sz="4" w:space="0" w:color="auto"/>
            </w:tcBorders>
            <w:hideMark/>
          </w:tcPr>
          <w:p w14:paraId="07238400" w14:textId="77777777" w:rsidR="00F67333" w:rsidRPr="002A704E" w:rsidRDefault="00F67333" w:rsidP="00F67333">
            <w:pPr>
              <w:jc w:val="center"/>
              <w:rPr>
                <w:rFonts w:cstheme="minorHAnsi"/>
                <w:szCs w:val="22"/>
              </w:rPr>
            </w:pPr>
            <w:r w:rsidRPr="002A704E">
              <w:rPr>
                <w:rFonts w:cstheme="minorHAnsi"/>
                <w:szCs w:val="22"/>
              </w:rPr>
              <w:t>I (Most developed)</w:t>
            </w:r>
          </w:p>
        </w:tc>
        <w:tc>
          <w:tcPr>
            <w:tcW w:w="1384" w:type="dxa"/>
            <w:tcBorders>
              <w:top w:val="single" w:sz="4" w:space="0" w:color="auto"/>
              <w:left w:val="single" w:sz="4" w:space="0" w:color="auto"/>
              <w:bottom w:val="single" w:sz="4" w:space="0" w:color="auto"/>
              <w:right w:val="single" w:sz="4" w:space="0" w:color="auto"/>
            </w:tcBorders>
            <w:hideMark/>
          </w:tcPr>
          <w:p w14:paraId="788B95F0" w14:textId="77777777" w:rsidR="00F67333" w:rsidRPr="002A704E" w:rsidRDefault="00F67333" w:rsidP="00F67333">
            <w:pPr>
              <w:jc w:val="center"/>
              <w:rPr>
                <w:rFonts w:cstheme="minorHAnsi"/>
                <w:szCs w:val="22"/>
              </w:rPr>
            </w:pPr>
            <w:r w:rsidRPr="002A704E">
              <w:rPr>
                <w:rFonts w:cstheme="minorHAnsi"/>
                <w:szCs w:val="22"/>
              </w:rPr>
              <w:t>II</w:t>
            </w:r>
          </w:p>
        </w:tc>
        <w:tc>
          <w:tcPr>
            <w:tcW w:w="1560" w:type="dxa"/>
            <w:tcBorders>
              <w:top w:val="single" w:sz="4" w:space="0" w:color="auto"/>
              <w:left w:val="single" w:sz="4" w:space="0" w:color="auto"/>
              <w:bottom w:val="single" w:sz="4" w:space="0" w:color="auto"/>
              <w:right w:val="single" w:sz="4" w:space="0" w:color="auto"/>
            </w:tcBorders>
            <w:hideMark/>
          </w:tcPr>
          <w:p w14:paraId="1E042342" w14:textId="77777777" w:rsidR="00F67333" w:rsidRPr="002A704E" w:rsidRDefault="00F67333" w:rsidP="00F67333">
            <w:pPr>
              <w:jc w:val="center"/>
              <w:rPr>
                <w:rFonts w:cstheme="minorHAnsi"/>
                <w:szCs w:val="22"/>
              </w:rPr>
            </w:pPr>
            <w:r w:rsidRPr="002A704E">
              <w:rPr>
                <w:rFonts w:cstheme="minorHAnsi"/>
                <w:szCs w:val="22"/>
              </w:rPr>
              <w:t>III</w:t>
            </w:r>
          </w:p>
        </w:tc>
        <w:tc>
          <w:tcPr>
            <w:tcW w:w="1134" w:type="dxa"/>
            <w:tcBorders>
              <w:top w:val="single" w:sz="4" w:space="0" w:color="auto"/>
              <w:left w:val="single" w:sz="4" w:space="0" w:color="auto"/>
              <w:bottom w:val="single" w:sz="4" w:space="0" w:color="auto"/>
              <w:right w:val="single" w:sz="4" w:space="0" w:color="auto"/>
            </w:tcBorders>
            <w:hideMark/>
          </w:tcPr>
          <w:p w14:paraId="1FC95340" w14:textId="77777777" w:rsidR="00F67333" w:rsidRPr="002A704E" w:rsidRDefault="00F67333" w:rsidP="00F67333">
            <w:pPr>
              <w:jc w:val="center"/>
              <w:rPr>
                <w:rFonts w:cstheme="minorHAnsi"/>
                <w:szCs w:val="22"/>
              </w:rPr>
            </w:pPr>
            <w:r w:rsidRPr="002A704E">
              <w:rPr>
                <w:rFonts w:cstheme="minorHAnsi"/>
                <w:szCs w:val="22"/>
              </w:rPr>
              <w:t>IV</w:t>
            </w:r>
          </w:p>
        </w:tc>
        <w:tc>
          <w:tcPr>
            <w:tcW w:w="1423" w:type="dxa"/>
            <w:tcBorders>
              <w:top w:val="single" w:sz="4" w:space="0" w:color="auto"/>
              <w:left w:val="single" w:sz="4" w:space="0" w:color="auto"/>
              <w:bottom w:val="single" w:sz="4" w:space="0" w:color="auto"/>
              <w:right w:val="single" w:sz="4" w:space="0" w:color="auto"/>
            </w:tcBorders>
            <w:hideMark/>
          </w:tcPr>
          <w:p w14:paraId="098B818A" w14:textId="77777777" w:rsidR="00F67333" w:rsidRPr="002A704E" w:rsidRDefault="00F67333" w:rsidP="00F67333">
            <w:pPr>
              <w:jc w:val="center"/>
              <w:rPr>
                <w:rFonts w:cstheme="minorHAnsi"/>
                <w:szCs w:val="22"/>
              </w:rPr>
            </w:pPr>
            <w:r w:rsidRPr="002A704E">
              <w:rPr>
                <w:rFonts w:cstheme="minorHAnsi"/>
                <w:szCs w:val="22"/>
              </w:rPr>
              <w:t>V</w:t>
            </w:r>
          </w:p>
        </w:tc>
        <w:tc>
          <w:tcPr>
            <w:tcW w:w="1447" w:type="dxa"/>
            <w:tcBorders>
              <w:top w:val="single" w:sz="4" w:space="0" w:color="auto"/>
              <w:left w:val="single" w:sz="4" w:space="0" w:color="auto"/>
              <w:bottom w:val="single" w:sz="4" w:space="0" w:color="auto"/>
              <w:right w:val="single" w:sz="4" w:space="0" w:color="auto"/>
            </w:tcBorders>
            <w:hideMark/>
          </w:tcPr>
          <w:p w14:paraId="47F542F4" w14:textId="77777777" w:rsidR="00F67333" w:rsidRPr="002A704E" w:rsidRDefault="00F67333" w:rsidP="00F67333">
            <w:pPr>
              <w:jc w:val="center"/>
              <w:rPr>
                <w:rFonts w:cstheme="minorHAnsi"/>
                <w:szCs w:val="22"/>
              </w:rPr>
            </w:pPr>
            <w:r w:rsidRPr="002A704E">
              <w:rPr>
                <w:rFonts w:cstheme="minorHAnsi"/>
                <w:szCs w:val="22"/>
              </w:rPr>
              <w:t>VI (least developed)</w:t>
            </w:r>
          </w:p>
        </w:tc>
      </w:tr>
      <w:tr w:rsidR="00F67333" w:rsidRPr="002A704E" w14:paraId="6826C971" w14:textId="77777777" w:rsidTr="00F67333">
        <w:trPr>
          <w:trHeight w:val="874"/>
        </w:trPr>
        <w:tc>
          <w:tcPr>
            <w:tcW w:w="1003" w:type="dxa"/>
            <w:tcBorders>
              <w:top w:val="single" w:sz="4" w:space="0" w:color="auto"/>
              <w:left w:val="single" w:sz="4" w:space="0" w:color="auto"/>
              <w:bottom w:val="single" w:sz="4" w:space="0" w:color="auto"/>
              <w:right w:val="single" w:sz="4" w:space="0" w:color="auto"/>
            </w:tcBorders>
            <w:hideMark/>
          </w:tcPr>
          <w:p w14:paraId="22F3DF05" w14:textId="77777777" w:rsidR="00F67333" w:rsidRPr="002A704E" w:rsidRDefault="00F67333" w:rsidP="00F67333">
            <w:pPr>
              <w:jc w:val="both"/>
              <w:rPr>
                <w:rFonts w:cstheme="minorHAnsi"/>
                <w:szCs w:val="22"/>
              </w:rPr>
            </w:pPr>
            <w:r w:rsidRPr="002A704E">
              <w:rPr>
                <w:rFonts w:cstheme="minorHAnsi"/>
                <w:szCs w:val="22"/>
              </w:rPr>
              <w:t>North</w:t>
            </w:r>
          </w:p>
        </w:tc>
        <w:tc>
          <w:tcPr>
            <w:tcW w:w="1577" w:type="dxa"/>
            <w:tcBorders>
              <w:top w:val="single" w:sz="4" w:space="0" w:color="auto"/>
              <w:left w:val="single" w:sz="4" w:space="0" w:color="auto"/>
              <w:bottom w:val="single" w:sz="4" w:space="0" w:color="auto"/>
              <w:right w:val="single" w:sz="4" w:space="0" w:color="auto"/>
            </w:tcBorders>
            <w:hideMark/>
          </w:tcPr>
          <w:p w14:paraId="00BF8069" w14:textId="77777777" w:rsidR="00F67333" w:rsidRPr="002A704E" w:rsidRDefault="00F67333" w:rsidP="00F67333">
            <w:pPr>
              <w:jc w:val="center"/>
              <w:rPr>
                <w:rFonts w:cstheme="minorHAnsi"/>
                <w:szCs w:val="22"/>
              </w:rPr>
            </w:pPr>
            <w:r w:rsidRPr="002A704E">
              <w:rPr>
                <w:rFonts w:cstheme="minorHAnsi"/>
                <w:szCs w:val="22"/>
              </w:rPr>
              <w:t>Delhi</w:t>
            </w:r>
          </w:p>
        </w:tc>
        <w:tc>
          <w:tcPr>
            <w:tcW w:w="1384" w:type="dxa"/>
            <w:tcBorders>
              <w:top w:val="single" w:sz="4" w:space="0" w:color="auto"/>
              <w:left w:val="single" w:sz="4" w:space="0" w:color="auto"/>
              <w:bottom w:val="single" w:sz="4" w:space="0" w:color="auto"/>
              <w:right w:val="single" w:sz="4" w:space="0" w:color="auto"/>
            </w:tcBorders>
            <w:hideMark/>
          </w:tcPr>
          <w:p w14:paraId="4DADFB75" w14:textId="77777777" w:rsidR="00F67333" w:rsidRPr="002A704E" w:rsidRDefault="00F67333" w:rsidP="00F67333">
            <w:pPr>
              <w:jc w:val="center"/>
              <w:rPr>
                <w:rFonts w:cstheme="minorHAnsi"/>
                <w:szCs w:val="22"/>
              </w:rPr>
            </w:pPr>
            <w:r w:rsidRPr="002A704E">
              <w:rPr>
                <w:rFonts w:cstheme="minorHAnsi"/>
                <w:szCs w:val="22"/>
              </w:rPr>
              <w:t>Himachal Pradesh, Punjab</w:t>
            </w:r>
          </w:p>
        </w:tc>
        <w:tc>
          <w:tcPr>
            <w:tcW w:w="1560" w:type="dxa"/>
            <w:tcBorders>
              <w:top w:val="single" w:sz="4" w:space="0" w:color="auto"/>
              <w:left w:val="single" w:sz="4" w:space="0" w:color="auto"/>
              <w:bottom w:val="single" w:sz="4" w:space="0" w:color="auto"/>
              <w:right w:val="single" w:sz="4" w:space="0" w:color="auto"/>
            </w:tcBorders>
            <w:hideMark/>
          </w:tcPr>
          <w:p w14:paraId="2694A401" w14:textId="77777777" w:rsidR="00F67333" w:rsidRPr="002A704E" w:rsidRDefault="00F67333" w:rsidP="00F67333">
            <w:pPr>
              <w:jc w:val="center"/>
              <w:rPr>
                <w:rFonts w:cstheme="minorHAnsi"/>
                <w:b/>
                <w:szCs w:val="22"/>
              </w:rPr>
            </w:pPr>
            <w:r w:rsidRPr="002A704E">
              <w:rPr>
                <w:rFonts w:cstheme="minorHAnsi"/>
                <w:szCs w:val="22"/>
              </w:rPr>
              <w:t>Haryana, Uttarakhand</w:t>
            </w:r>
          </w:p>
        </w:tc>
        <w:tc>
          <w:tcPr>
            <w:tcW w:w="1134" w:type="dxa"/>
            <w:tcBorders>
              <w:top w:val="single" w:sz="4" w:space="0" w:color="auto"/>
              <w:left w:val="single" w:sz="4" w:space="0" w:color="auto"/>
              <w:bottom w:val="single" w:sz="4" w:space="0" w:color="auto"/>
              <w:right w:val="single" w:sz="4" w:space="0" w:color="auto"/>
            </w:tcBorders>
          </w:tcPr>
          <w:p w14:paraId="2F6479E7" w14:textId="77777777" w:rsidR="00F67333" w:rsidRPr="002A704E" w:rsidRDefault="00F67333" w:rsidP="00F67333">
            <w:pPr>
              <w:jc w:val="center"/>
              <w:rPr>
                <w:rFonts w:cstheme="minorHAnsi"/>
                <w:szCs w:val="22"/>
              </w:rPr>
            </w:pPr>
          </w:p>
        </w:tc>
        <w:tc>
          <w:tcPr>
            <w:tcW w:w="1423" w:type="dxa"/>
            <w:tcBorders>
              <w:top w:val="single" w:sz="4" w:space="0" w:color="auto"/>
              <w:left w:val="single" w:sz="4" w:space="0" w:color="auto"/>
              <w:bottom w:val="single" w:sz="4" w:space="0" w:color="auto"/>
              <w:right w:val="single" w:sz="4" w:space="0" w:color="auto"/>
            </w:tcBorders>
            <w:hideMark/>
          </w:tcPr>
          <w:p w14:paraId="3CA56DF5" w14:textId="77777777" w:rsidR="00F67333" w:rsidRPr="002A704E" w:rsidRDefault="00F67333" w:rsidP="00F67333">
            <w:pPr>
              <w:jc w:val="center"/>
              <w:rPr>
                <w:rFonts w:cstheme="minorHAnsi"/>
                <w:szCs w:val="22"/>
              </w:rPr>
            </w:pPr>
            <w:r w:rsidRPr="002A704E">
              <w:rPr>
                <w:rFonts w:cstheme="minorHAnsi"/>
                <w:szCs w:val="22"/>
              </w:rPr>
              <w:t>Jammu &amp; Kashmir</w:t>
            </w:r>
          </w:p>
        </w:tc>
        <w:tc>
          <w:tcPr>
            <w:tcW w:w="1447" w:type="dxa"/>
            <w:tcBorders>
              <w:top w:val="single" w:sz="4" w:space="0" w:color="auto"/>
              <w:left w:val="single" w:sz="4" w:space="0" w:color="auto"/>
              <w:bottom w:val="single" w:sz="4" w:space="0" w:color="auto"/>
              <w:right w:val="single" w:sz="4" w:space="0" w:color="auto"/>
            </w:tcBorders>
          </w:tcPr>
          <w:p w14:paraId="31781E15" w14:textId="77777777" w:rsidR="00F67333" w:rsidRPr="002A704E" w:rsidRDefault="00F67333" w:rsidP="00F67333">
            <w:pPr>
              <w:jc w:val="center"/>
              <w:rPr>
                <w:rFonts w:cstheme="minorHAnsi"/>
                <w:szCs w:val="22"/>
              </w:rPr>
            </w:pPr>
          </w:p>
        </w:tc>
      </w:tr>
      <w:tr w:rsidR="00F67333" w:rsidRPr="002A704E" w14:paraId="6C6CA634" w14:textId="77777777" w:rsidTr="00F67333">
        <w:trPr>
          <w:trHeight w:val="1477"/>
        </w:trPr>
        <w:tc>
          <w:tcPr>
            <w:tcW w:w="1003" w:type="dxa"/>
            <w:tcBorders>
              <w:top w:val="single" w:sz="4" w:space="0" w:color="auto"/>
              <w:left w:val="single" w:sz="4" w:space="0" w:color="auto"/>
              <w:bottom w:val="single" w:sz="4" w:space="0" w:color="auto"/>
              <w:right w:val="single" w:sz="4" w:space="0" w:color="auto"/>
            </w:tcBorders>
            <w:hideMark/>
          </w:tcPr>
          <w:p w14:paraId="330AEEA2" w14:textId="77777777" w:rsidR="00F67333" w:rsidRPr="002A704E" w:rsidRDefault="00F67333" w:rsidP="00F67333">
            <w:pPr>
              <w:jc w:val="both"/>
              <w:rPr>
                <w:rFonts w:cstheme="minorHAnsi"/>
                <w:szCs w:val="22"/>
              </w:rPr>
            </w:pPr>
            <w:r w:rsidRPr="002A704E">
              <w:rPr>
                <w:rFonts w:cstheme="minorHAnsi"/>
                <w:szCs w:val="22"/>
              </w:rPr>
              <w:t>Central</w:t>
            </w:r>
          </w:p>
        </w:tc>
        <w:tc>
          <w:tcPr>
            <w:tcW w:w="1577" w:type="dxa"/>
            <w:tcBorders>
              <w:top w:val="single" w:sz="4" w:space="0" w:color="auto"/>
              <w:left w:val="single" w:sz="4" w:space="0" w:color="auto"/>
              <w:bottom w:val="single" w:sz="4" w:space="0" w:color="auto"/>
              <w:right w:val="single" w:sz="4" w:space="0" w:color="auto"/>
            </w:tcBorders>
          </w:tcPr>
          <w:p w14:paraId="45719CFC" w14:textId="77777777" w:rsidR="00F67333" w:rsidRPr="002A704E" w:rsidRDefault="00F67333" w:rsidP="00F67333">
            <w:pPr>
              <w:jc w:val="center"/>
              <w:rPr>
                <w:rFonts w:cstheme="minorHAnsi"/>
                <w:szCs w:val="22"/>
              </w:rPr>
            </w:pPr>
          </w:p>
        </w:tc>
        <w:tc>
          <w:tcPr>
            <w:tcW w:w="1384" w:type="dxa"/>
            <w:tcBorders>
              <w:top w:val="single" w:sz="4" w:space="0" w:color="auto"/>
              <w:left w:val="single" w:sz="4" w:space="0" w:color="auto"/>
              <w:bottom w:val="single" w:sz="4" w:space="0" w:color="auto"/>
              <w:right w:val="single" w:sz="4" w:space="0" w:color="auto"/>
            </w:tcBorders>
          </w:tcPr>
          <w:p w14:paraId="32A04B1C" w14:textId="77777777" w:rsidR="00F67333" w:rsidRPr="002A704E" w:rsidRDefault="00F67333" w:rsidP="00F67333">
            <w:pPr>
              <w:jc w:val="center"/>
              <w:rPr>
                <w:rFonts w:cstheme="minorHAnsi"/>
                <w:szCs w:val="22"/>
              </w:rPr>
            </w:pPr>
          </w:p>
        </w:tc>
        <w:tc>
          <w:tcPr>
            <w:tcW w:w="1560" w:type="dxa"/>
            <w:tcBorders>
              <w:top w:val="single" w:sz="4" w:space="0" w:color="auto"/>
              <w:left w:val="single" w:sz="4" w:space="0" w:color="auto"/>
              <w:bottom w:val="single" w:sz="4" w:space="0" w:color="auto"/>
              <w:right w:val="single" w:sz="4" w:space="0" w:color="auto"/>
            </w:tcBorders>
          </w:tcPr>
          <w:p w14:paraId="4A6E49A9" w14:textId="77777777" w:rsidR="00F67333" w:rsidRPr="002A704E" w:rsidRDefault="00F67333" w:rsidP="00F67333">
            <w:pPr>
              <w:jc w:val="center"/>
              <w:rPr>
                <w:rFonts w:cstheme="minorHAnsi"/>
                <w:szCs w:val="22"/>
              </w:rPr>
            </w:pPr>
          </w:p>
        </w:tc>
        <w:tc>
          <w:tcPr>
            <w:tcW w:w="1134" w:type="dxa"/>
            <w:tcBorders>
              <w:top w:val="single" w:sz="4" w:space="0" w:color="auto"/>
              <w:left w:val="single" w:sz="4" w:space="0" w:color="auto"/>
              <w:bottom w:val="single" w:sz="4" w:space="0" w:color="auto"/>
              <w:right w:val="single" w:sz="4" w:space="0" w:color="auto"/>
            </w:tcBorders>
          </w:tcPr>
          <w:p w14:paraId="040CC618" w14:textId="77777777" w:rsidR="00F67333" w:rsidRPr="002A704E" w:rsidRDefault="00F67333" w:rsidP="00F67333">
            <w:pPr>
              <w:jc w:val="center"/>
              <w:rPr>
                <w:rFonts w:cstheme="minorHAnsi"/>
                <w:szCs w:val="22"/>
              </w:rPr>
            </w:pPr>
          </w:p>
        </w:tc>
        <w:tc>
          <w:tcPr>
            <w:tcW w:w="1423" w:type="dxa"/>
            <w:tcBorders>
              <w:top w:val="single" w:sz="4" w:space="0" w:color="auto"/>
              <w:left w:val="single" w:sz="4" w:space="0" w:color="auto"/>
              <w:bottom w:val="single" w:sz="4" w:space="0" w:color="auto"/>
              <w:right w:val="single" w:sz="4" w:space="0" w:color="auto"/>
            </w:tcBorders>
            <w:hideMark/>
          </w:tcPr>
          <w:p w14:paraId="79183732" w14:textId="77777777" w:rsidR="00F67333" w:rsidRPr="002A704E" w:rsidRDefault="00F67333" w:rsidP="00F67333">
            <w:pPr>
              <w:jc w:val="center"/>
              <w:rPr>
                <w:rFonts w:cstheme="minorHAnsi"/>
                <w:szCs w:val="22"/>
              </w:rPr>
            </w:pPr>
            <w:r w:rsidRPr="002A704E">
              <w:rPr>
                <w:rFonts w:cstheme="minorHAnsi"/>
                <w:szCs w:val="22"/>
              </w:rPr>
              <w:t>Chhattisgarh</w:t>
            </w:r>
          </w:p>
        </w:tc>
        <w:tc>
          <w:tcPr>
            <w:tcW w:w="1447" w:type="dxa"/>
            <w:tcBorders>
              <w:top w:val="single" w:sz="4" w:space="0" w:color="auto"/>
              <w:left w:val="single" w:sz="4" w:space="0" w:color="auto"/>
              <w:bottom w:val="single" w:sz="4" w:space="0" w:color="auto"/>
              <w:right w:val="single" w:sz="4" w:space="0" w:color="auto"/>
            </w:tcBorders>
            <w:hideMark/>
          </w:tcPr>
          <w:p w14:paraId="310A6703" w14:textId="77777777" w:rsidR="00F67333" w:rsidRPr="002A704E" w:rsidRDefault="00F67333" w:rsidP="00F67333">
            <w:pPr>
              <w:jc w:val="center"/>
              <w:rPr>
                <w:rFonts w:cstheme="minorHAnsi"/>
                <w:szCs w:val="22"/>
              </w:rPr>
            </w:pPr>
            <w:r w:rsidRPr="002A704E">
              <w:rPr>
                <w:rFonts w:cstheme="minorHAnsi"/>
                <w:szCs w:val="22"/>
              </w:rPr>
              <w:t>Madhya Pradesh, Uttar Pradesh,</w:t>
            </w:r>
          </w:p>
          <w:p w14:paraId="771E9CA7" w14:textId="77777777" w:rsidR="00F67333" w:rsidRPr="002A704E" w:rsidRDefault="00F67333" w:rsidP="00F67333">
            <w:pPr>
              <w:jc w:val="center"/>
              <w:rPr>
                <w:rFonts w:cstheme="minorHAnsi"/>
                <w:szCs w:val="22"/>
              </w:rPr>
            </w:pPr>
            <w:r w:rsidRPr="002A704E">
              <w:rPr>
                <w:rFonts w:cstheme="minorHAnsi"/>
                <w:szCs w:val="22"/>
              </w:rPr>
              <w:t>Rajasthan</w:t>
            </w:r>
          </w:p>
        </w:tc>
      </w:tr>
      <w:tr w:rsidR="00F67333" w:rsidRPr="002A704E" w14:paraId="7D8B671A" w14:textId="77777777" w:rsidTr="00F67333">
        <w:trPr>
          <w:trHeight w:val="572"/>
        </w:trPr>
        <w:tc>
          <w:tcPr>
            <w:tcW w:w="1003" w:type="dxa"/>
            <w:tcBorders>
              <w:top w:val="single" w:sz="4" w:space="0" w:color="auto"/>
              <w:left w:val="single" w:sz="4" w:space="0" w:color="auto"/>
              <w:bottom w:val="single" w:sz="4" w:space="0" w:color="auto"/>
              <w:right w:val="single" w:sz="4" w:space="0" w:color="auto"/>
            </w:tcBorders>
            <w:hideMark/>
          </w:tcPr>
          <w:p w14:paraId="1F311CB1" w14:textId="77777777" w:rsidR="00F67333" w:rsidRPr="002A704E" w:rsidRDefault="00F67333" w:rsidP="00F67333">
            <w:pPr>
              <w:jc w:val="both"/>
              <w:rPr>
                <w:rFonts w:cstheme="minorHAnsi"/>
                <w:szCs w:val="22"/>
              </w:rPr>
            </w:pPr>
            <w:r w:rsidRPr="002A704E">
              <w:rPr>
                <w:rFonts w:cstheme="minorHAnsi"/>
                <w:szCs w:val="22"/>
              </w:rPr>
              <w:t>East</w:t>
            </w:r>
          </w:p>
        </w:tc>
        <w:tc>
          <w:tcPr>
            <w:tcW w:w="1577" w:type="dxa"/>
            <w:tcBorders>
              <w:top w:val="single" w:sz="4" w:space="0" w:color="auto"/>
              <w:left w:val="single" w:sz="4" w:space="0" w:color="auto"/>
              <w:bottom w:val="single" w:sz="4" w:space="0" w:color="auto"/>
              <w:right w:val="single" w:sz="4" w:space="0" w:color="auto"/>
            </w:tcBorders>
          </w:tcPr>
          <w:p w14:paraId="3A267942" w14:textId="77777777" w:rsidR="00F67333" w:rsidRPr="002A704E" w:rsidRDefault="00F67333" w:rsidP="00F67333">
            <w:pPr>
              <w:jc w:val="center"/>
              <w:rPr>
                <w:rFonts w:cstheme="minorHAnsi"/>
                <w:szCs w:val="22"/>
              </w:rPr>
            </w:pPr>
          </w:p>
        </w:tc>
        <w:tc>
          <w:tcPr>
            <w:tcW w:w="1384" w:type="dxa"/>
            <w:tcBorders>
              <w:top w:val="single" w:sz="4" w:space="0" w:color="auto"/>
              <w:left w:val="single" w:sz="4" w:space="0" w:color="auto"/>
              <w:bottom w:val="single" w:sz="4" w:space="0" w:color="auto"/>
              <w:right w:val="single" w:sz="4" w:space="0" w:color="auto"/>
            </w:tcBorders>
          </w:tcPr>
          <w:p w14:paraId="7106B356" w14:textId="77777777" w:rsidR="00F67333" w:rsidRPr="002A704E" w:rsidRDefault="00F67333" w:rsidP="00F67333">
            <w:pPr>
              <w:jc w:val="center"/>
              <w:rPr>
                <w:rFonts w:cstheme="minorHAnsi"/>
                <w:szCs w:val="22"/>
              </w:rPr>
            </w:pPr>
          </w:p>
        </w:tc>
        <w:tc>
          <w:tcPr>
            <w:tcW w:w="1560" w:type="dxa"/>
            <w:tcBorders>
              <w:top w:val="single" w:sz="4" w:space="0" w:color="auto"/>
              <w:left w:val="single" w:sz="4" w:space="0" w:color="auto"/>
              <w:bottom w:val="single" w:sz="4" w:space="0" w:color="auto"/>
              <w:right w:val="single" w:sz="4" w:space="0" w:color="auto"/>
            </w:tcBorders>
            <w:hideMark/>
          </w:tcPr>
          <w:p w14:paraId="291AECB2" w14:textId="77777777" w:rsidR="00F67333" w:rsidRPr="002A704E" w:rsidRDefault="00F67333" w:rsidP="00F67333">
            <w:pPr>
              <w:jc w:val="center"/>
              <w:rPr>
                <w:rFonts w:cstheme="minorHAnsi"/>
                <w:b/>
                <w:szCs w:val="22"/>
              </w:rPr>
            </w:pPr>
            <w:r w:rsidRPr="002A704E">
              <w:rPr>
                <w:rFonts w:cstheme="minorHAnsi"/>
                <w:b/>
                <w:szCs w:val="22"/>
              </w:rPr>
              <w:t>West Bengal</w:t>
            </w:r>
          </w:p>
        </w:tc>
        <w:tc>
          <w:tcPr>
            <w:tcW w:w="1134" w:type="dxa"/>
            <w:tcBorders>
              <w:top w:val="single" w:sz="4" w:space="0" w:color="auto"/>
              <w:left w:val="single" w:sz="4" w:space="0" w:color="auto"/>
              <w:bottom w:val="single" w:sz="4" w:space="0" w:color="auto"/>
              <w:right w:val="single" w:sz="4" w:space="0" w:color="auto"/>
            </w:tcBorders>
          </w:tcPr>
          <w:p w14:paraId="08F72549" w14:textId="77777777" w:rsidR="00F67333" w:rsidRPr="002A704E" w:rsidRDefault="00F67333" w:rsidP="00F67333">
            <w:pPr>
              <w:jc w:val="center"/>
              <w:rPr>
                <w:rFonts w:cstheme="minorHAnsi"/>
                <w:szCs w:val="22"/>
              </w:rPr>
            </w:pPr>
          </w:p>
        </w:tc>
        <w:tc>
          <w:tcPr>
            <w:tcW w:w="1423" w:type="dxa"/>
            <w:tcBorders>
              <w:top w:val="single" w:sz="4" w:space="0" w:color="auto"/>
              <w:left w:val="single" w:sz="4" w:space="0" w:color="auto"/>
              <w:bottom w:val="single" w:sz="4" w:space="0" w:color="auto"/>
              <w:right w:val="single" w:sz="4" w:space="0" w:color="auto"/>
            </w:tcBorders>
            <w:hideMark/>
          </w:tcPr>
          <w:p w14:paraId="0C5E12FA" w14:textId="77777777" w:rsidR="00F67333" w:rsidRPr="002A704E" w:rsidRDefault="00F67333" w:rsidP="00F67333">
            <w:pPr>
              <w:jc w:val="center"/>
              <w:rPr>
                <w:rFonts w:cstheme="minorHAnsi"/>
                <w:szCs w:val="22"/>
              </w:rPr>
            </w:pPr>
            <w:r w:rsidRPr="002A704E">
              <w:rPr>
                <w:rFonts w:cstheme="minorHAnsi"/>
                <w:szCs w:val="22"/>
              </w:rPr>
              <w:t xml:space="preserve">Odisha, </w:t>
            </w:r>
          </w:p>
          <w:p w14:paraId="100AAFCE" w14:textId="77777777" w:rsidR="00F67333" w:rsidRPr="002A704E" w:rsidRDefault="00F67333" w:rsidP="00F67333">
            <w:pPr>
              <w:jc w:val="center"/>
              <w:rPr>
                <w:rFonts w:cstheme="minorHAnsi"/>
                <w:szCs w:val="22"/>
              </w:rPr>
            </w:pPr>
            <w:r w:rsidRPr="002A704E">
              <w:rPr>
                <w:rFonts w:cstheme="minorHAnsi"/>
                <w:szCs w:val="22"/>
              </w:rPr>
              <w:t>Jharkhand</w:t>
            </w:r>
          </w:p>
        </w:tc>
        <w:tc>
          <w:tcPr>
            <w:tcW w:w="1447" w:type="dxa"/>
            <w:tcBorders>
              <w:top w:val="single" w:sz="4" w:space="0" w:color="auto"/>
              <w:left w:val="single" w:sz="4" w:space="0" w:color="auto"/>
              <w:bottom w:val="single" w:sz="4" w:space="0" w:color="auto"/>
              <w:right w:val="single" w:sz="4" w:space="0" w:color="auto"/>
            </w:tcBorders>
            <w:hideMark/>
          </w:tcPr>
          <w:p w14:paraId="0507210B" w14:textId="77777777" w:rsidR="00F67333" w:rsidRPr="002A704E" w:rsidRDefault="00F67333" w:rsidP="00F67333">
            <w:pPr>
              <w:jc w:val="center"/>
              <w:rPr>
                <w:rFonts w:cstheme="minorHAnsi"/>
                <w:szCs w:val="22"/>
              </w:rPr>
            </w:pPr>
            <w:r w:rsidRPr="002A704E">
              <w:rPr>
                <w:rFonts w:cstheme="minorHAnsi"/>
                <w:szCs w:val="22"/>
              </w:rPr>
              <w:t>Bihar</w:t>
            </w:r>
          </w:p>
        </w:tc>
      </w:tr>
      <w:tr w:rsidR="00F67333" w:rsidRPr="002A704E" w14:paraId="3BA40FBC" w14:textId="77777777" w:rsidTr="00F67333">
        <w:trPr>
          <w:trHeight w:val="889"/>
        </w:trPr>
        <w:tc>
          <w:tcPr>
            <w:tcW w:w="1003" w:type="dxa"/>
            <w:tcBorders>
              <w:top w:val="single" w:sz="4" w:space="0" w:color="auto"/>
              <w:left w:val="single" w:sz="4" w:space="0" w:color="auto"/>
              <w:bottom w:val="single" w:sz="4" w:space="0" w:color="auto"/>
              <w:right w:val="single" w:sz="4" w:space="0" w:color="auto"/>
            </w:tcBorders>
            <w:hideMark/>
          </w:tcPr>
          <w:p w14:paraId="67FF54EB" w14:textId="77777777" w:rsidR="00F67333" w:rsidRPr="002A704E" w:rsidRDefault="00F67333" w:rsidP="00F67333">
            <w:pPr>
              <w:jc w:val="both"/>
              <w:rPr>
                <w:rFonts w:cstheme="minorHAnsi"/>
                <w:szCs w:val="22"/>
              </w:rPr>
            </w:pPr>
            <w:r w:rsidRPr="002A704E">
              <w:rPr>
                <w:rFonts w:cstheme="minorHAnsi"/>
                <w:szCs w:val="22"/>
              </w:rPr>
              <w:t>North-east</w:t>
            </w:r>
          </w:p>
        </w:tc>
        <w:tc>
          <w:tcPr>
            <w:tcW w:w="1577" w:type="dxa"/>
            <w:tcBorders>
              <w:top w:val="single" w:sz="4" w:space="0" w:color="auto"/>
              <w:left w:val="single" w:sz="4" w:space="0" w:color="auto"/>
              <w:bottom w:val="single" w:sz="4" w:space="0" w:color="auto"/>
              <w:right w:val="single" w:sz="4" w:space="0" w:color="auto"/>
            </w:tcBorders>
            <w:hideMark/>
          </w:tcPr>
          <w:p w14:paraId="49699A9B" w14:textId="77777777" w:rsidR="00F67333" w:rsidRPr="002A704E" w:rsidRDefault="00F67333" w:rsidP="00F67333">
            <w:pPr>
              <w:jc w:val="center"/>
              <w:rPr>
                <w:rFonts w:cstheme="minorHAnsi"/>
                <w:szCs w:val="22"/>
              </w:rPr>
            </w:pPr>
            <w:r w:rsidRPr="002A704E">
              <w:rPr>
                <w:rFonts w:cstheme="minorHAnsi"/>
                <w:szCs w:val="22"/>
              </w:rPr>
              <w:t>Sikkim</w:t>
            </w:r>
          </w:p>
        </w:tc>
        <w:tc>
          <w:tcPr>
            <w:tcW w:w="1384" w:type="dxa"/>
            <w:tcBorders>
              <w:top w:val="single" w:sz="4" w:space="0" w:color="auto"/>
              <w:left w:val="single" w:sz="4" w:space="0" w:color="auto"/>
              <w:bottom w:val="single" w:sz="4" w:space="0" w:color="auto"/>
              <w:right w:val="single" w:sz="4" w:space="0" w:color="auto"/>
            </w:tcBorders>
            <w:hideMark/>
          </w:tcPr>
          <w:p w14:paraId="735D00FA" w14:textId="77777777" w:rsidR="00F67333" w:rsidRPr="002A704E" w:rsidRDefault="00F67333" w:rsidP="00F67333">
            <w:pPr>
              <w:jc w:val="center"/>
              <w:rPr>
                <w:rFonts w:cstheme="minorHAnsi"/>
                <w:szCs w:val="22"/>
              </w:rPr>
            </w:pPr>
            <w:r w:rsidRPr="002A704E">
              <w:rPr>
                <w:rFonts w:cstheme="minorHAnsi"/>
                <w:szCs w:val="22"/>
              </w:rPr>
              <w:t>Mizoram</w:t>
            </w:r>
          </w:p>
          <w:p w14:paraId="51FB5A66" w14:textId="77777777" w:rsidR="00F67333" w:rsidRPr="002A704E" w:rsidRDefault="00F67333" w:rsidP="00F67333">
            <w:pPr>
              <w:jc w:val="center"/>
              <w:rPr>
                <w:rFonts w:cstheme="minorHAnsi"/>
                <w:szCs w:val="22"/>
              </w:rPr>
            </w:pPr>
            <w:r w:rsidRPr="002A704E">
              <w:rPr>
                <w:rFonts w:cstheme="minorHAnsi"/>
                <w:szCs w:val="22"/>
              </w:rPr>
              <w:t>Tripura</w:t>
            </w:r>
          </w:p>
        </w:tc>
        <w:tc>
          <w:tcPr>
            <w:tcW w:w="1560" w:type="dxa"/>
            <w:tcBorders>
              <w:top w:val="single" w:sz="4" w:space="0" w:color="auto"/>
              <w:left w:val="single" w:sz="4" w:space="0" w:color="auto"/>
              <w:bottom w:val="single" w:sz="4" w:space="0" w:color="auto"/>
              <w:right w:val="single" w:sz="4" w:space="0" w:color="auto"/>
            </w:tcBorders>
            <w:hideMark/>
          </w:tcPr>
          <w:p w14:paraId="32C7E454" w14:textId="77777777" w:rsidR="00F67333" w:rsidRPr="002A704E" w:rsidRDefault="00F67333" w:rsidP="00F67333">
            <w:pPr>
              <w:jc w:val="center"/>
              <w:rPr>
                <w:rFonts w:cstheme="minorHAnsi"/>
                <w:szCs w:val="22"/>
              </w:rPr>
            </w:pPr>
            <w:r w:rsidRPr="002A704E">
              <w:rPr>
                <w:rFonts w:cstheme="minorHAnsi"/>
                <w:szCs w:val="22"/>
              </w:rPr>
              <w:t>Manipur</w:t>
            </w:r>
          </w:p>
        </w:tc>
        <w:tc>
          <w:tcPr>
            <w:tcW w:w="1134" w:type="dxa"/>
            <w:tcBorders>
              <w:top w:val="single" w:sz="4" w:space="0" w:color="auto"/>
              <w:left w:val="single" w:sz="4" w:space="0" w:color="auto"/>
              <w:bottom w:val="single" w:sz="4" w:space="0" w:color="auto"/>
              <w:right w:val="single" w:sz="4" w:space="0" w:color="auto"/>
            </w:tcBorders>
            <w:hideMark/>
          </w:tcPr>
          <w:p w14:paraId="398F4C39" w14:textId="77777777" w:rsidR="00F67333" w:rsidRPr="002A704E" w:rsidRDefault="00F67333" w:rsidP="00F67333">
            <w:pPr>
              <w:jc w:val="center"/>
              <w:rPr>
                <w:rFonts w:cstheme="minorHAnsi"/>
                <w:szCs w:val="22"/>
              </w:rPr>
            </w:pPr>
            <w:r w:rsidRPr="002A704E">
              <w:rPr>
                <w:rFonts w:cstheme="minorHAnsi"/>
                <w:szCs w:val="22"/>
              </w:rPr>
              <w:t>Nagaland</w:t>
            </w:r>
          </w:p>
          <w:p w14:paraId="496BFB27" w14:textId="77777777" w:rsidR="00F67333" w:rsidRPr="002A704E" w:rsidRDefault="00F67333" w:rsidP="00F67333">
            <w:pPr>
              <w:jc w:val="center"/>
              <w:rPr>
                <w:rFonts w:cstheme="minorHAnsi"/>
                <w:szCs w:val="22"/>
              </w:rPr>
            </w:pPr>
            <w:r w:rsidRPr="002A704E">
              <w:rPr>
                <w:rFonts w:cstheme="minorHAnsi"/>
                <w:szCs w:val="22"/>
              </w:rPr>
              <w:t>Arunachal Pradesh</w:t>
            </w:r>
          </w:p>
        </w:tc>
        <w:tc>
          <w:tcPr>
            <w:tcW w:w="1423" w:type="dxa"/>
            <w:tcBorders>
              <w:top w:val="single" w:sz="4" w:space="0" w:color="auto"/>
              <w:left w:val="single" w:sz="4" w:space="0" w:color="auto"/>
              <w:bottom w:val="single" w:sz="4" w:space="0" w:color="auto"/>
              <w:right w:val="single" w:sz="4" w:space="0" w:color="auto"/>
            </w:tcBorders>
            <w:hideMark/>
          </w:tcPr>
          <w:p w14:paraId="4E8ED5D8" w14:textId="77777777" w:rsidR="00F67333" w:rsidRPr="002A704E" w:rsidRDefault="00F67333" w:rsidP="00F67333">
            <w:pPr>
              <w:jc w:val="center"/>
              <w:rPr>
                <w:rFonts w:cstheme="minorHAnsi"/>
                <w:szCs w:val="22"/>
              </w:rPr>
            </w:pPr>
            <w:r w:rsidRPr="002A704E">
              <w:rPr>
                <w:rFonts w:cstheme="minorHAnsi"/>
                <w:szCs w:val="22"/>
              </w:rPr>
              <w:t>Meghalaya</w:t>
            </w:r>
          </w:p>
        </w:tc>
        <w:tc>
          <w:tcPr>
            <w:tcW w:w="1447" w:type="dxa"/>
            <w:tcBorders>
              <w:top w:val="single" w:sz="4" w:space="0" w:color="auto"/>
              <w:left w:val="single" w:sz="4" w:space="0" w:color="auto"/>
              <w:bottom w:val="single" w:sz="4" w:space="0" w:color="auto"/>
              <w:right w:val="single" w:sz="4" w:space="0" w:color="auto"/>
            </w:tcBorders>
            <w:hideMark/>
          </w:tcPr>
          <w:p w14:paraId="58AE8EAB" w14:textId="77777777" w:rsidR="00F67333" w:rsidRPr="002A704E" w:rsidRDefault="00F67333" w:rsidP="00F67333">
            <w:pPr>
              <w:jc w:val="center"/>
              <w:rPr>
                <w:rFonts w:cstheme="minorHAnsi"/>
                <w:b/>
                <w:szCs w:val="22"/>
              </w:rPr>
            </w:pPr>
            <w:r w:rsidRPr="002A704E">
              <w:rPr>
                <w:rFonts w:cstheme="minorHAnsi"/>
                <w:b/>
                <w:szCs w:val="22"/>
              </w:rPr>
              <w:t>Assam</w:t>
            </w:r>
          </w:p>
        </w:tc>
      </w:tr>
      <w:tr w:rsidR="00F67333" w:rsidRPr="002A704E" w14:paraId="6B1FACBD" w14:textId="77777777" w:rsidTr="00F67333">
        <w:trPr>
          <w:trHeight w:val="572"/>
        </w:trPr>
        <w:tc>
          <w:tcPr>
            <w:tcW w:w="1003" w:type="dxa"/>
            <w:tcBorders>
              <w:top w:val="single" w:sz="4" w:space="0" w:color="auto"/>
              <w:left w:val="single" w:sz="4" w:space="0" w:color="auto"/>
              <w:bottom w:val="single" w:sz="4" w:space="0" w:color="auto"/>
              <w:right w:val="single" w:sz="4" w:space="0" w:color="auto"/>
            </w:tcBorders>
            <w:hideMark/>
          </w:tcPr>
          <w:p w14:paraId="1FFC826E" w14:textId="77777777" w:rsidR="00F67333" w:rsidRPr="002A704E" w:rsidRDefault="00F67333" w:rsidP="00F67333">
            <w:pPr>
              <w:jc w:val="both"/>
              <w:rPr>
                <w:rFonts w:cstheme="minorHAnsi"/>
                <w:szCs w:val="22"/>
              </w:rPr>
            </w:pPr>
            <w:r w:rsidRPr="002A704E">
              <w:rPr>
                <w:rFonts w:cstheme="minorHAnsi"/>
                <w:szCs w:val="22"/>
              </w:rPr>
              <w:t>West</w:t>
            </w:r>
          </w:p>
        </w:tc>
        <w:tc>
          <w:tcPr>
            <w:tcW w:w="1577" w:type="dxa"/>
            <w:tcBorders>
              <w:top w:val="single" w:sz="4" w:space="0" w:color="auto"/>
              <w:left w:val="single" w:sz="4" w:space="0" w:color="auto"/>
              <w:bottom w:val="single" w:sz="4" w:space="0" w:color="auto"/>
              <w:right w:val="single" w:sz="4" w:space="0" w:color="auto"/>
            </w:tcBorders>
            <w:hideMark/>
          </w:tcPr>
          <w:p w14:paraId="2C020852" w14:textId="77777777" w:rsidR="00F67333" w:rsidRPr="002A704E" w:rsidRDefault="00F67333" w:rsidP="00F67333">
            <w:pPr>
              <w:jc w:val="center"/>
              <w:rPr>
                <w:rFonts w:cstheme="minorHAnsi"/>
                <w:b/>
                <w:szCs w:val="22"/>
              </w:rPr>
            </w:pPr>
            <w:r w:rsidRPr="002A704E">
              <w:rPr>
                <w:rFonts w:cstheme="minorHAnsi"/>
                <w:b/>
                <w:szCs w:val="22"/>
              </w:rPr>
              <w:t>Maharashtra</w:t>
            </w:r>
          </w:p>
          <w:p w14:paraId="3524755A" w14:textId="1974AC48" w:rsidR="00F67333" w:rsidRPr="002A704E" w:rsidRDefault="00F67333" w:rsidP="00F67333">
            <w:pPr>
              <w:jc w:val="center"/>
              <w:rPr>
                <w:rFonts w:cstheme="minorHAnsi"/>
                <w:szCs w:val="22"/>
              </w:rPr>
            </w:pPr>
            <w:r w:rsidRPr="002A704E">
              <w:rPr>
                <w:rFonts w:cstheme="minorHAnsi"/>
                <w:szCs w:val="22"/>
              </w:rPr>
              <w:t>Goa</w:t>
            </w:r>
          </w:p>
        </w:tc>
        <w:tc>
          <w:tcPr>
            <w:tcW w:w="1384" w:type="dxa"/>
            <w:tcBorders>
              <w:top w:val="single" w:sz="4" w:space="0" w:color="auto"/>
              <w:left w:val="single" w:sz="4" w:space="0" w:color="auto"/>
              <w:bottom w:val="single" w:sz="4" w:space="0" w:color="auto"/>
              <w:right w:val="single" w:sz="4" w:space="0" w:color="auto"/>
            </w:tcBorders>
          </w:tcPr>
          <w:p w14:paraId="52B6CACC" w14:textId="77777777" w:rsidR="00F67333" w:rsidRPr="002A704E" w:rsidRDefault="00F67333" w:rsidP="00F67333">
            <w:pPr>
              <w:jc w:val="center"/>
              <w:rPr>
                <w:rFonts w:cstheme="minorHAnsi"/>
                <w:szCs w:val="22"/>
              </w:rPr>
            </w:pPr>
          </w:p>
        </w:tc>
        <w:tc>
          <w:tcPr>
            <w:tcW w:w="1560" w:type="dxa"/>
            <w:tcBorders>
              <w:top w:val="single" w:sz="4" w:space="0" w:color="auto"/>
              <w:left w:val="single" w:sz="4" w:space="0" w:color="auto"/>
              <w:bottom w:val="single" w:sz="4" w:space="0" w:color="auto"/>
              <w:right w:val="single" w:sz="4" w:space="0" w:color="auto"/>
            </w:tcBorders>
          </w:tcPr>
          <w:p w14:paraId="498ECA6D" w14:textId="77777777" w:rsidR="00F67333" w:rsidRPr="002A704E" w:rsidRDefault="00F67333" w:rsidP="00F67333">
            <w:pPr>
              <w:jc w:val="center"/>
              <w:rPr>
                <w:rFonts w:cstheme="minorHAnsi"/>
                <w:szCs w:val="22"/>
              </w:rPr>
            </w:pPr>
          </w:p>
        </w:tc>
        <w:tc>
          <w:tcPr>
            <w:tcW w:w="1134" w:type="dxa"/>
            <w:tcBorders>
              <w:top w:val="single" w:sz="4" w:space="0" w:color="auto"/>
              <w:left w:val="single" w:sz="4" w:space="0" w:color="auto"/>
              <w:bottom w:val="single" w:sz="4" w:space="0" w:color="auto"/>
              <w:right w:val="single" w:sz="4" w:space="0" w:color="auto"/>
            </w:tcBorders>
            <w:hideMark/>
          </w:tcPr>
          <w:p w14:paraId="05F89B08" w14:textId="77777777" w:rsidR="00F67333" w:rsidRPr="002A704E" w:rsidRDefault="00F67333" w:rsidP="00F67333">
            <w:pPr>
              <w:jc w:val="center"/>
              <w:rPr>
                <w:rFonts w:cstheme="minorHAnsi"/>
                <w:szCs w:val="22"/>
              </w:rPr>
            </w:pPr>
            <w:r w:rsidRPr="002A704E">
              <w:rPr>
                <w:rFonts w:cstheme="minorHAnsi"/>
                <w:szCs w:val="22"/>
              </w:rPr>
              <w:t>Gujarat</w:t>
            </w:r>
          </w:p>
        </w:tc>
        <w:tc>
          <w:tcPr>
            <w:tcW w:w="1423" w:type="dxa"/>
            <w:tcBorders>
              <w:top w:val="single" w:sz="4" w:space="0" w:color="auto"/>
              <w:left w:val="single" w:sz="4" w:space="0" w:color="auto"/>
              <w:bottom w:val="single" w:sz="4" w:space="0" w:color="auto"/>
              <w:right w:val="single" w:sz="4" w:space="0" w:color="auto"/>
            </w:tcBorders>
          </w:tcPr>
          <w:p w14:paraId="2D6036CF" w14:textId="77777777" w:rsidR="00F67333" w:rsidRPr="002A704E" w:rsidRDefault="00F67333" w:rsidP="00F67333">
            <w:pPr>
              <w:jc w:val="center"/>
              <w:rPr>
                <w:rFonts w:cstheme="minorHAnsi"/>
                <w:szCs w:val="22"/>
              </w:rPr>
            </w:pPr>
          </w:p>
        </w:tc>
        <w:tc>
          <w:tcPr>
            <w:tcW w:w="1447" w:type="dxa"/>
            <w:tcBorders>
              <w:top w:val="single" w:sz="4" w:space="0" w:color="auto"/>
              <w:left w:val="single" w:sz="4" w:space="0" w:color="auto"/>
              <w:bottom w:val="single" w:sz="4" w:space="0" w:color="auto"/>
              <w:right w:val="single" w:sz="4" w:space="0" w:color="auto"/>
            </w:tcBorders>
          </w:tcPr>
          <w:p w14:paraId="5F235FD1" w14:textId="77777777" w:rsidR="00F67333" w:rsidRPr="002A704E" w:rsidRDefault="00F67333" w:rsidP="00F67333">
            <w:pPr>
              <w:jc w:val="center"/>
              <w:rPr>
                <w:rFonts w:cstheme="minorHAnsi"/>
                <w:szCs w:val="22"/>
              </w:rPr>
            </w:pPr>
          </w:p>
        </w:tc>
      </w:tr>
      <w:tr w:rsidR="00F67333" w:rsidRPr="00F67333" w14:paraId="7D1B400A" w14:textId="77777777" w:rsidTr="00F67333">
        <w:trPr>
          <w:trHeight w:val="587"/>
        </w:trPr>
        <w:tc>
          <w:tcPr>
            <w:tcW w:w="1003" w:type="dxa"/>
            <w:tcBorders>
              <w:top w:val="single" w:sz="4" w:space="0" w:color="auto"/>
              <w:left w:val="single" w:sz="4" w:space="0" w:color="auto"/>
              <w:bottom w:val="single" w:sz="4" w:space="0" w:color="auto"/>
              <w:right w:val="single" w:sz="4" w:space="0" w:color="auto"/>
            </w:tcBorders>
            <w:hideMark/>
          </w:tcPr>
          <w:p w14:paraId="3932CA5E" w14:textId="77777777" w:rsidR="00F67333" w:rsidRPr="002A704E" w:rsidRDefault="00F67333" w:rsidP="00F67333">
            <w:pPr>
              <w:jc w:val="both"/>
              <w:rPr>
                <w:rFonts w:cstheme="minorHAnsi"/>
                <w:szCs w:val="22"/>
              </w:rPr>
            </w:pPr>
            <w:r w:rsidRPr="002A704E">
              <w:rPr>
                <w:rFonts w:cstheme="minorHAnsi"/>
                <w:szCs w:val="22"/>
              </w:rPr>
              <w:t>South</w:t>
            </w:r>
          </w:p>
        </w:tc>
        <w:tc>
          <w:tcPr>
            <w:tcW w:w="1577" w:type="dxa"/>
            <w:tcBorders>
              <w:top w:val="single" w:sz="4" w:space="0" w:color="auto"/>
              <w:left w:val="single" w:sz="4" w:space="0" w:color="auto"/>
              <w:bottom w:val="single" w:sz="4" w:space="0" w:color="auto"/>
              <w:right w:val="single" w:sz="4" w:space="0" w:color="auto"/>
            </w:tcBorders>
            <w:hideMark/>
          </w:tcPr>
          <w:p w14:paraId="6C8A4DCA" w14:textId="77777777" w:rsidR="00F67333" w:rsidRPr="002A704E" w:rsidRDefault="00F67333" w:rsidP="00F67333">
            <w:pPr>
              <w:jc w:val="center"/>
              <w:rPr>
                <w:rFonts w:cstheme="minorHAnsi"/>
                <w:szCs w:val="22"/>
              </w:rPr>
            </w:pPr>
            <w:r w:rsidRPr="002A704E">
              <w:rPr>
                <w:rFonts w:cstheme="minorHAnsi"/>
                <w:szCs w:val="22"/>
              </w:rPr>
              <w:t>Kerala</w:t>
            </w:r>
          </w:p>
        </w:tc>
        <w:tc>
          <w:tcPr>
            <w:tcW w:w="1384" w:type="dxa"/>
            <w:tcBorders>
              <w:top w:val="single" w:sz="4" w:space="0" w:color="auto"/>
              <w:left w:val="single" w:sz="4" w:space="0" w:color="auto"/>
              <w:bottom w:val="single" w:sz="4" w:space="0" w:color="auto"/>
              <w:right w:val="single" w:sz="4" w:space="0" w:color="auto"/>
            </w:tcBorders>
            <w:hideMark/>
          </w:tcPr>
          <w:p w14:paraId="10D72FD4" w14:textId="77777777" w:rsidR="00F67333" w:rsidRPr="002A704E" w:rsidRDefault="00F67333" w:rsidP="00F67333">
            <w:pPr>
              <w:jc w:val="center"/>
              <w:rPr>
                <w:rFonts w:cstheme="minorHAnsi"/>
                <w:b/>
                <w:szCs w:val="22"/>
              </w:rPr>
            </w:pPr>
            <w:r w:rsidRPr="002A704E">
              <w:rPr>
                <w:rFonts w:cstheme="minorHAnsi"/>
                <w:b/>
                <w:szCs w:val="22"/>
              </w:rPr>
              <w:t>Tamil Nadu</w:t>
            </w:r>
          </w:p>
        </w:tc>
        <w:tc>
          <w:tcPr>
            <w:tcW w:w="1560" w:type="dxa"/>
            <w:tcBorders>
              <w:top w:val="single" w:sz="4" w:space="0" w:color="auto"/>
              <w:left w:val="single" w:sz="4" w:space="0" w:color="auto"/>
              <w:bottom w:val="single" w:sz="4" w:space="0" w:color="auto"/>
              <w:right w:val="single" w:sz="4" w:space="0" w:color="auto"/>
            </w:tcBorders>
            <w:hideMark/>
          </w:tcPr>
          <w:p w14:paraId="2A528BCB" w14:textId="77777777" w:rsidR="00F67333" w:rsidRPr="002A704E" w:rsidRDefault="00F67333" w:rsidP="00F67333">
            <w:pPr>
              <w:jc w:val="center"/>
              <w:rPr>
                <w:rFonts w:cstheme="minorHAnsi"/>
                <w:szCs w:val="22"/>
              </w:rPr>
            </w:pPr>
            <w:r w:rsidRPr="002A704E">
              <w:rPr>
                <w:rFonts w:cstheme="minorHAnsi"/>
                <w:szCs w:val="22"/>
              </w:rPr>
              <w:t>Karnataka</w:t>
            </w:r>
          </w:p>
        </w:tc>
        <w:tc>
          <w:tcPr>
            <w:tcW w:w="1134" w:type="dxa"/>
            <w:tcBorders>
              <w:top w:val="single" w:sz="4" w:space="0" w:color="auto"/>
              <w:left w:val="single" w:sz="4" w:space="0" w:color="auto"/>
              <w:bottom w:val="single" w:sz="4" w:space="0" w:color="auto"/>
              <w:right w:val="single" w:sz="4" w:space="0" w:color="auto"/>
            </w:tcBorders>
            <w:hideMark/>
          </w:tcPr>
          <w:p w14:paraId="3BC9B1EE" w14:textId="77777777" w:rsidR="00F67333" w:rsidRPr="00F67333" w:rsidRDefault="00F67333" w:rsidP="00F67333">
            <w:pPr>
              <w:jc w:val="center"/>
              <w:rPr>
                <w:rFonts w:cstheme="minorHAnsi"/>
                <w:szCs w:val="22"/>
              </w:rPr>
            </w:pPr>
            <w:r w:rsidRPr="002A704E">
              <w:rPr>
                <w:rFonts w:cstheme="minorHAnsi"/>
                <w:szCs w:val="22"/>
              </w:rPr>
              <w:t>Andhra Pradesh</w:t>
            </w:r>
          </w:p>
        </w:tc>
        <w:tc>
          <w:tcPr>
            <w:tcW w:w="1423" w:type="dxa"/>
            <w:tcBorders>
              <w:top w:val="single" w:sz="4" w:space="0" w:color="auto"/>
              <w:left w:val="single" w:sz="4" w:space="0" w:color="auto"/>
              <w:bottom w:val="single" w:sz="4" w:space="0" w:color="auto"/>
              <w:right w:val="single" w:sz="4" w:space="0" w:color="auto"/>
            </w:tcBorders>
          </w:tcPr>
          <w:p w14:paraId="43BBC05E" w14:textId="77777777" w:rsidR="00F67333" w:rsidRPr="00F67333" w:rsidRDefault="00F67333" w:rsidP="00F67333">
            <w:pPr>
              <w:jc w:val="center"/>
              <w:rPr>
                <w:rFonts w:cstheme="minorHAnsi"/>
                <w:szCs w:val="22"/>
              </w:rPr>
            </w:pPr>
          </w:p>
        </w:tc>
        <w:tc>
          <w:tcPr>
            <w:tcW w:w="1447" w:type="dxa"/>
            <w:tcBorders>
              <w:top w:val="single" w:sz="4" w:space="0" w:color="auto"/>
              <w:left w:val="single" w:sz="4" w:space="0" w:color="auto"/>
              <w:bottom w:val="single" w:sz="4" w:space="0" w:color="auto"/>
              <w:right w:val="single" w:sz="4" w:space="0" w:color="auto"/>
            </w:tcBorders>
          </w:tcPr>
          <w:p w14:paraId="14CFA5E0" w14:textId="77777777" w:rsidR="00F67333" w:rsidRPr="00F67333" w:rsidRDefault="00F67333" w:rsidP="00F67333">
            <w:pPr>
              <w:jc w:val="center"/>
              <w:rPr>
                <w:rFonts w:cstheme="minorHAnsi"/>
                <w:szCs w:val="22"/>
              </w:rPr>
            </w:pPr>
          </w:p>
        </w:tc>
      </w:tr>
    </w:tbl>
    <w:p w14:paraId="4E4A7946" w14:textId="77777777" w:rsidR="00F67333" w:rsidRPr="003C23F9" w:rsidRDefault="00F67333" w:rsidP="00F67333">
      <w:pPr>
        <w:spacing w:line="480" w:lineRule="auto"/>
        <w:rPr>
          <w:rFonts w:cstheme="minorHAnsi"/>
          <w:lang w:val="en-IN"/>
        </w:rPr>
      </w:pPr>
    </w:p>
    <w:sectPr w:rsidR="00F67333" w:rsidRPr="003C23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6221" w14:textId="77777777" w:rsidR="00C24173" w:rsidRDefault="00C24173" w:rsidP="003C23F9">
      <w:pPr>
        <w:spacing w:after="0" w:line="240" w:lineRule="auto"/>
      </w:pPr>
      <w:r>
        <w:separator/>
      </w:r>
    </w:p>
  </w:endnote>
  <w:endnote w:type="continuationSeparator" w:id="0">
    <w:p w14:paraId="2B8EAE3A" w14:textId="77777777" w:rsidR="00C24173" w:rsidRDefault="00C24173" w:rsidP="003C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4AA3" w14:textId="77777777" w:rsidR="00C24173" w:rsidRDefault="00C24173" w:rsidP="003C23F9">
      <w:pPr>
        <w:spacing w:after="0" w:line="240" w:lineRule="auto"/>
      </w:pPr>
      <w:r>
        <w:separator/>
      </w:r>
    </w:p>
  </w:footnote>
  <w:footnote w:type="continuationSeparator" w:id="0">
    <w:p w14:paraId="2CD8B2AD" w14:textId="77777777" w:rsidR="00C24173" w:rsidRDefault="00C24173" w:rsidP="003C23F9">
      <w:pPr>
        <w:spacing w:after="0" w:line="240" w:lineRule="auto"/>
      </w:pPr>
      <w:r>
        <w:continuationSeparator/>
      </w:r>
    </w:p>
  </w:footnote>
  <w:footnote w:id="1">
    <w:p w14:paraId="36F1F9F5" w14:textId="77777777" w:rsidR="003C23F9" w:rsidRPr="006C31AD" w:rsidRDefault="003C23F9" w:rsidP="003C23F9">
      <w:pPr>
        <w:pStyle w:val="FootnoteText"/>
        <w:rPr>
          <w:sz w:val="18"/>
          <w:szCs w:val="18"/>
        </w:rPr>
      </w:pPr>
      <w:r>
        <w:rPr>
          <w:rStyle w:val="FootnoteReference"/>
        </w:rPr>
        <w:footnoteRef/>
      </w:r>
      <w:r>
        <w:t xml:space="preserve"> </w:t>
      </w:r>
      <w:r w:rsidRPr="006C31AD">
        <w:rPr>
          <w:sz w:val="18"/>
          <w:szCs w:val="18"/>
        </w:rPr>
        <w:t xml:space="preserve">One TB unit covers 200,000 population (range 150,000 </w:t>
      </w:r>
      <w:r>
        <w:rPr>
          <w:sz w:val="18"/>
          <w:szCs w:val="18"/>
        </w:rPr>
        <w:t>-</w:t>
      </w:r>
      <w:r w:rsidRPr="006C31AD">
        <w:rPr>
          <w:sz w:val="18"/>
          <w:szCs w:val="18"/>
        </w:rPr>
        <w:t xml:space="preserve"> 250,000) for rural and urban </w:t>
      </w:r>
      <w:r>
        <w:rPr>
          <w:sz w:val="18"/>
          <w:szCs w:val="18"/>
        </w:rPr>
        <w:t>areas</w:t>
      </w:r>
      <w:r w:rsidRPr="006C31AD">
        <w:rPr>
          <w:sz w:val="18"/>
          <w:szCs w:val="18"/>
        </w:rPr>
        <w:t xml:space="preserve">, 100,000 (range 75,000 </w:t>
      </w:r>
      <w:r>
        <w:rPr>
          <w:sz w:val="18"/>
          <w:szCs w:val="18"/>
        </w:rPr>
        <w:t>-</w:t>
      </w:r>
      <w:r w:rsidRPr="006C31AD">
        <w:rPr>
          <w:sz w:val="18"/>
          <w:szCs w:val="18"/>
        </w:rPr>
        <w:t xml:space="preserve"> 150,000) in hilly, tribal and difficult areas</w:t>
      </w:r>
      <w:r>
        <w:rPr>
          <w:sz w:val="18"/>
          <w:szCs w:val="18"/>
        </w:rPr>
        <w:t xml:space="preserve"> (National Strategic Plan for Tuberculosis: 2017-2025). </w:t>
      </w:r>
      <w:r w:rsidRPr="006C31AD">
        <w:rPr>
          <w:sz w:val="18"/>
          <w:szCs w:val="18"/>
        </w:rPr>
        <w:t>https://tbcindia.gov.in/WriteReadData/National%20Strategic%20Plan%202017-25.pdf</w:t>
      </w:r>
      <w:r>
        <w:rPr>
          <w:sz w:val="18"/>
          <w:szCs w:val="18"/>
        </w:rPr>
        <w:t>.</w:t>
      </w:r>
      <w:r w:rsidRPr="006C31AD">
        <w:rPr>
          <w:sz w:val="18"/>
          <w:szCs w:val="18"/>
        </w:rPr>
        <w:t xml:space="preserve"> </w:t>
      </w:r>
    </w:p>
    <w:p w14:paraId="7C0EFBE0" w14:textId="77777777" w:rsidR="003C23F9" w:rsidRDefault="003C23F9" w:rsidP="003C23F9">
      <w:pPr>
        <w:pStyle w:val="FootnoteText"/>
      </w:pPr>
    </w:p>
  </w:footnote>
  <w:footnote w:id="2">
    <w:p w14:paraId="3E9C2F22" w14:textId="77777777" w:rsidR="00914775" w:rsidRDefault="003C23F9" w:rsidP="00914775">
      <w:pPr>
        <w:pStyle w:val="FootnoteText"/>
      </w:pPr>
      <w:r>
        <w:rPr>
          <w:rStyle w:val="FootnoteReference"/>
        </w:rPr>
        <w:footnoteRef/>
      </w:r>
      <w:r>
        <w:t xml:space="preserve"> </w:t>
      </w:r>
      <w:r w:rsidR="00914775" w:rsidRPr="00734911">
        <w:rPr>
          <w:sz w:val="18"/>
          <w:szCs w:val="18"/>
        </w:rPr>
        <w:t>Drug</w:t>
      </w:r>
      <w:r w:rsidR="00914775">
        <w:rPr>
          <w:sz w:val="18"/>
          <w:szCs w:val="18"/>
        </w:rPr>
        <w:t>-</w:t>
      </w:r>
      <w:r w:rsidR="00914775" w:rsidRPr="00734911">
        <w:rPr>
          <w:sz w:val="18"/>
          <w:szCs w:val="18"/>
        </w:rPr>
        <w:t xml:space="preserve">susceptible TB requires a minimum </w:t>
      </w:r>
      <w:r w:rsidR="00914775">
        <w:rPr>
          <w:sz w:val="18"/>
          <w:szCs w:val="18"/>
        </w:rPr>
        <w:t xml:space="preserve">of </w:t>
      </w:r>
      <w:r w:rsidR="00914775" w:rsidRPr="00734911">
        <w:rPr>
          <w:sz w:val="18"/>
          <w:szCs w:val="18"/>
        </w:rPr>
        <w:t xml:space="preserve">six months of treatment, of which </w:t>
      </w:r>
      <w:r w:rsidR="00914775">
        <w:rPr>
          <w:sz w:val="18"/>
          <w:szCs w:val="18"/>
        </w:rPr>
        <w:t xml:space="preserve">the </w:t>
      </w:r>
      <w:r w:rsidR="00914775" w:rsidRPr="00734911">
        <w:rPr>
          <w:sz w:val="18"/>
          <w:szCs w:val="18"/>
        </w:rPr>
        <w:t xml:space="preserve">first two months </w:t>
      </w:r>
      <w:r w:rsidR="00914775">
        <w:rPr>
          <w:sz w:val="18"/>
          <w:szCs w:val="18"/>
        </w:rPr>
        <w:t>are</w:t>
      </w:r>
      <w:r w:rsidR="00914775" w:rsidRPr="00734911">
        <w:rPr>
          <w:sz w:val="18"/>
          <w:szCs w:val="18"/>
        </w:rPr>
        <w:t xml:space="preserve"> called </w:t>
      </w:r>
      <w:r w:rsidR="00914775">
        <w:rPr>
          <w:sz w:val="18"/>
          <w:szCs w:val="18"/>
        </w:rPr>
        <w:t xml:space="preserve">the </w:t>
      </w:r>
      <w:r w:rsidR="00914775" w:rsidRPr="00734911">
        <w:rPr>
          <w:sz w:val="18"/>
          <w:szCs w:val="18"/>
        </w:rPr>
        <w:t xml:space="preserve">intensive phase and the </w:t>
      </w:r>
      <w:r w:rsidR="00914775">
        <w:rPr>
          <w:sz w:val="18"/>
          <w:szCs w:val="18"/>
        </w:rPr>
        <w:t>following</w:t>
      </w:r>
      <w:r w:rsidR="00914775" w:rsidRPr="00734911">
        <w:rPr>
          <w:sz w:val="18"/>
          <w:szCs w:val="18"/>
        </w:rPr>
        <w:t xml:space="preserve"> four months </w:t>
      </w:r>
      <w:r w:rsidR="00914775">
        <w:rPr>
          <w:sz w:val="18"/>
          <w:szCs w:val="18"/>
        </w:rPr>
        <w:t>the</w:t>
      </w:r>
      <w:r w:rsidR="00914775" w:rsidRPr="00734911">
        <w:rPr>
          <w:sz w:val="18"/>
          <w:szCs w:val="18"/>
        </w:rPr>
        <w:t xml:space="preserve"> continuation phase.</w:t>
      </w:r>
      <w:r w:rsidR="00914775">
        <w:t xml:space="preserve"> </w:t>
      </w:r>
    </w:p>
    <w:p w14:paraId="65E1B257" w14:textId="08C90B31" w:rsidR="003C23F9" w:rsidRDefault="003C23F9" w:rsidP="003C23F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7865"/>
    <w:multiLevelType w:val="hybridMultilevel"/>
    <w:tmpl w:val="03F2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75F83"/>
    <w:multiLevelType w:val="hybridMultilevel"/>
    <w:tmpl w:val="70D28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CA27A7"/>
    <w:multiLevelType w:val="hybridMultilevel"/>
    <w:tmpl w:val="BE14B974"/>
    <w:lvl w:ilvl="0" w:tplc="06AE91AA">
      <w:start w:val="5"/>
      <w:numFmt w:val="decimal"/>
      <w:lvlText w:val="%1."/>
      <w:lvlJc w:val="left"/>
      <w:pPr>
        <w:ind w:left="720" w:hanging="360"/>
      </w:pPr>
      <w:rPr>
        <w:rFonts w:ascii="Times New Roman" w:hAnsi="Times New Roman" w:cstheme="minorHAnsi" w:hint="default"/>
        <w:color w:val="333333"/>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F7"/>
    <w:rsid w:val="000241AA"/>
    <w:rsid w:val="0010766F"/>
    <w:rsid w:val="00157BF2"/>
    <w:rsid w:val="001B4D37"/>
    <w:rsid w:val="00223204"/>
    <w:rsid w:val="002A704E"/>
    <w:rsid w:val="00321C35"/>
    <w:rsid w:val="00335749"/>
    <w:rsid w:val="003C23F9"/>
    <w:rsid w:val="003E2E9B"/>
    <w:rsid w:val="004B5CC7"/>
    <w:rsid w:val="005202D4"/>
    <w:rsid w:val="00520EEA"/>
    <w:rsid w:val="00565E9F"/>
    <w:rsid w:val="00571C50"/>
    <w:rsid w:val="005A610F"/>
    <w:rsid w:val="005C6C8C"/>
    <w:rsid w:val="006F14F7"/>
    <w:rsid w:val="00707678"/>
    <w:rsid w:val="007A69EF"/>
    <w:rsid w:val="0081684E"/>
    <w:rsid w:val="00863D93"/>
    <w:rsid w:val="00914775"/>
    <w:rsid w:val="009F5A65"/>
    <w:rsid w:val="00AB24CF"/>
    <w:rsid w:val="00B36FD6"/>
    <w:rsid w:val="00C22664"/>
    <w:rsid w:val="00C24173"/>
    <w:rsid w:val="00C47F16"/>
    <w:rsid w:val="00D632F3"/>
    <w:rsid w:val="00D64018"/>
    <w:rsid w:val="00DB4C0D"/>
    <w:rsid w:val="00E9187C"/>
    <w:rsid w:val="00ED7A77"/>
    <w:rsid w:val="00F1697F"/>
    <w:rsid w:val="00F67333"/>
    <w:rsid w:val="00F70C36"/>
    <w:rsid w:val="00FC418C"/>
    <w:rsid w:val="00FE49F2"/>
    <w:rsid w:val="00FF53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CDE10"/>
  <w15:chartTrackingRefBased/>
  <w15:docId w15:val="{B9E4FE46-A0E6-4B48-9F83-87255C0F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3F9"/>
  </w:style>
  <w:style w:type="paragraph" w:styleId="Footer">
    <w:name w:val="footer"/>
    <w:basedOn w:val="Normal"/>
    <w:link w:val="FooterChar"/>
    <w:uiPriority w:val="99"/>
    <w:unhideWhenUsed/>
    <w:rsid w:val="003C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3F9"/>
  </w:style>
  <w:style w:type="paragraph" w:styleId="FootnoteText">
    <w:name w:val="footnote text"/>
    <w:basedOn w:val="Normal"/>
    <w:link w:val="FootnoteTextChar"/>
    <w:uiPriority w:val="99"/>
    <w:semiHidden/>
    <w:unhideWhenUsed/>
    <w:rsid w:val="003C23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3F9"/>
    <w:rPr>
      <w:sz w:val="20"/>
      <w:szCs w:val="20"/>
    </w:rPr>
  </w:style>
  <w:style w:type="character" w:styleId="FootnoteReference">
    <w:name w:val="footnote reference"/>
    <w:basedOn w:val="DefaultParagraphFont"/>
    <w:uiPriority w:val="99"/>
    <w:semiHidden/>
    <w:unhideWhenUsed/>
    <w:rsid w:val="003C23F9"/>
    <w:rPr>
      <w:vertAlign w:val="superscript"/>
    </w:rPr>
  </w:style>
  <w:style w:type="paragraph" w:customStyle="1" w:styleId="Default">
    <w:name w:val="Default"/>
    <w:rsid w:val="00571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67333"/>
    <w:pPr>
      <w:spacing w:after="0" w:line="240" w:lineRule="auto"/>
    </w:pPr>
    <w:rPr>
      <w:rFonts w:eastAsiaTheme="minorHAnsi"/>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BF2"/>
    <w:pPr>
      <w:ind w:left="720"/>
      <w:contextualSpacing/>
    </w:pPr>
  </w:style>
  <w:style w:type="character" w:styleId="Hyperlink">
    <w:name w:val="Hyperlink"/>
    <w:basedOn w:val="DefaultParagraphFont"/>
    <w:uiPriority w:val="99"/>
    <w:unhideWhenUsed/>
    <w:rsid w:val="00157BF2"/>
    <w:rPr>
      <w:color w:val="0563C1" w:themeColor="hyperlink"/>
      <w:u w:val="single"/>
    </w:rPr>
  </w:style>
  <w:style w:type="character" w:styleId="UnresolvedMention">
    <w:name w:val="Unresolved Mention"/>
    <w:basedOn w:val="DefaultParagraphFont"/>
    <w:uiPriority w:val="99"/>
    <w:semiHidden/>
    <w:unhideWhenUsed/>
    <w:rsid w:val="00FF5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939-020-1147-3" TargetMode="External"/><Relationship Id="rId3" Type="http://schemas.openxmlformats.org/officeDocument/2006/relationships/settings" Target="settings.xml"/><Relationship Id="rId7" Type="http://schemas.openxmlformats.org/officeDocument/2006/relationships/hyperlink" Target="https://data.worldbank.org/indicator/EN.POP.SLUM.UR.ZS?location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Susmita Chatterjee</dc:creator>
  <cp:keywords/>
  <dc:description/>
  <cp:lastModifiedBy>Susmita Chatterjee</cp:lastModifiedBy>
  <cp:revision>18</cp:revision>
  <dcterms:created xsi:type="dcterms:W3CDTF">2022-04-17T06:55:00Z</dcterms:created>
  <dcterms:modified xsi:type="dcterms:W3CDTF">2022-08-09T13:45:00Z</dcterms:modified>
</cp:coreProperties>
</file>