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E" w:rsidRPr="0083744B" w:rsidRDefault="009E7FBE" w:rsidP="009E7FBE">
      <w:pPr>
        <w:pStyle w:val="Beschriftung"/>
        <w:keepNext/>
        <w:rPr>
          <w:rFonts w:cs="Times New Roman"/>
          <w:lang w:val="en-US"/>
        </w:rPr>
      </w:pPr>
      <w:r w:rsidRPr="0083744B">
        <w:rPr>
          <w:rFonts w:cs="Times New Roman"/>
          <w:lang w:val="en-US"/>
        </w:rPr>
        <w:t xml:space="preserve">Supplemental Table </w:t>
      </w:r>
      <w:r w:rsidRPr="0083744B">
        <w:rPr>
          <w:rFonts w:cs="Times New Roman"/>
          <w:lang w:val="en-US"/>
        </w:rPr>
        <w:fldChar w:fldCharType="begin"/>
      </w:r>
      <w:r w:rsidRPr="0083744B">
        <w:rPr>
          <w:rFonts w:cs="Times New Roman"/>
          <w:lang w:val="en-US"/>
        </w:rPr>
        <w:instrText xml:space="preserve"> SEQ Supplemental_Table \* ARABIC </w:instrText>
      </w:r>
      <w:r w:rsidRPr="0083744B">
        <w:rPr>
          <w:rFonts w:cs="Times New Roman"/>
          <w:lang w:val="en-US"/>
        </w:rPr>
        <w:fldChar w:fldCharType="separate"/>
      </w:r>
      <w:r w:rsidRPr="0083744B">
        <w:rPr>
          <w:rFonts w:cs="Times New Roman"/>
          <w:noProof/>
          <w:lang w:val="en-US"/>
        </w:rPr>
        <w:t>1</w:t>
      </w:r>
      <w:r w:rsidRPr="0083744B">
        <w:rPr>
          <w:rFonts w:cs="Times New Roman"/>
          <w:lang w:val="en-US"/>
        </w:rPr>
        <w:fldChar w:fldCharType="end"/>
      </w:r>
      <w:r w:rsidRPr="0083744B">
        <w:rPr>
          <w:rFonts w:cs="Times New Roman"/>
          <w:lang w:val="en-US"/>
        </w:rPr>
        <w:t>: ICD-10-GM-codes used to calcul</w:t>
      </w:r>
      <w:r w:rsidR="0083744B">
        <w:rPr>
          <w:rFonts w:cs="Times New Roman"/>
          <w:lang w:val="en-US"/>
        </w:rPr>
        <w:t>ate Elixhauser comorbidity index</w:t>
      </w:r>
      <w:r w:rsidRPr="0083744B">
        <w:rPr>
          <w:rFonts w:cs="Times New Roman"/>
          <w:lang w:val="en-US"/>
        </w:rPr>
        <w:t xml:space="preserve"> (according to Moore et al., 2017)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085"/>
        <w:gridCol w:w="896"/>
        <w:gridCol w:w="4075"/>
      </w:tblGrid>
      <w:tr w:rsidR="009E7FBE" w:rsidRPr="0083744B" w:rsidTr="009E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43189350"/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Elixhauser comorbidity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ICD-10-GM-code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AIDS / HIV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B20, B21, B22, B23, B24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Alcohol Abuse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075" w:type="dxa"/>
          </w:tcPr>
          <w:p w:rsidR="009E7FBE" w:rsidRPr="00F820C3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F10, E52, G62.1, I42.6, K29.2, K70.0, K70.3, K70.9, T51, Z50.2, Z71.4, Z72.1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Blood Loss Anemia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D50.0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Cardiac Arrhythmia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pStyle w:val="x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I44.1, I44.2, I44.3, I45.6, I47, I48, I49, R00.0, R00.1, R00.8, T82.1, Z45.00, Z45.01, Z95.0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I27.8, I27.9, J40, J41, J42, J43, J44, J45, J46, J47, J60, J61, J62, J63, J64, J65, J66, J67, J68.4, J70.1, J70.3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Chronic Renal Failure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I12.0, I31.1, N18, N19, N25.0, Z49.0, Z49.1, Z49.2, Z94.0, Z99.2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Coagulopathy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D65, D66, D67, D68, D69.1, D69.3, D69.4, D69.5, D69.6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Congestive Heart Failure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I09.0, I11.0, I13.0, I13.2, I25.5, I42.0, I42.1, I42.2, I42.5, I42.6, I42.7, I42.8, I42.9, I43, I50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Deficiency Anemia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D50.8, D50.9, D51, D52, D53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F20.4, F31.3 - F31.5, F32, F33, F34.1, F41.2, F43.2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Diabetes Mellitus, Uncomplicated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F820C3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E10.0, E10.1, E10.9, E11.0, E11.1, E11.9, E12.0, E12.1, E12.9, E13.0, E13.1, E13.9, E14.0, E14.1, E14.9 (</w:t>
            </w:r>
            <w:proofErr w:type="spellStart"/>
            <w:r w:rsidRPr="00F8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excluding</w:t>
            </w:r>
            <w:proofErr w:type="spellEnd"/>
            <w:r w:rsidRPr="00F8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E10.2, E10.3, E10.4, E10.5, E10.6, E10.7, E10.8, E11.2, E11.3, E11.4, E11.5, E11.6, E11.7, E11.8, E12.2, E12.3, E12.4, E12.5, E12.6, E12.7, E12.8, E13.2, E13.3, E13.4, E13.5, E13.6, E13.7, E13.8, E14.2, E14.3, E14.4, E14.5, E14.6, E14.7, E14.8)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Diabetes Mellitus, Complicated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4075" w:type="dxa"/>
          </w:tcPr>
          <w:p w:rsidR="009E7FBE" w:rsidRPr="00F820C3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E10.2, E10.3, E10.4, E10.5, E10.6, E10.7, E10.8, E11.2, E11.3, E11.4, E11.5, E11.6, E11.7, E11.8, E12.2, E12.3, E12.4, E12.5, E12.6, E12.7, E12.8, E13.2, E13.3, E13.4, E13.5, E13.6, E13.7, E13.8, E14.2, E14.3, E14.4, E14.5, E14.6, E14.7, E14.8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Drug Abuse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F11, F12, F13, F14, F15, F16, F18, F19, Z71.5, Z72.2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Fluid And Electrolyte Disorders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E22.2, E86, E87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Hypertension (combined uncomplicated and complicated)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I10, I11, I12, I13, I15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Hypothyroidism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E00, E01, E02, E03, E89.0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Liver Disease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B18, I85, I86.4, I98.2, K70, K71.1, K71.3, K71.4, K71.5, K71.7, K72, K73, K74, K76.0, K76.2, K76.9, Z94.4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Lymphoma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C81, C82, C83, C84, C85, C88, C96, C90.0, C90.2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Metastatic Cancer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C77, C78, C79, C80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Neurological Disorders, other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G10, G11, G12, G13. G20, G21, G22, G25.4, G25.5, G31.2, G31.8, G31.9, G32, G35, G36, G37, G40, G41, G93.1, G93.4, R47.0, R56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E66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Paralysis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G04.1, G11.4, G80.1, G80.2, G81, G82, G83.0, G83.1, G83.2, G83.3, G83.4, G83.9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Peptic Ulcer Disease, Excluding Bleeding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K25.7, K25.9, K26.7, K26.9, K27.7, K27.9, K28.7, K28.9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Peripheral Vascular Disorders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I70, I71, I73.1, I73.8, I73.9, I77.1, I79.0, I79.2, Z95.81, Z95.88, Z95.9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lastRenderedPageBreak/>
              <w:t>Psychoses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F20, F22, F23, F24, F25, F28, F29, F30.2, F31.2, F31.5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Pulmonary Circulation Disorders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I26, I27, I28.0, I28.8, I28.9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Rheumatoid Arthritis / Collagen Vascular Diseases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L94.0, L94.1, L94.3, M05, M06, M08, M12.0, M12.3, M30, M31.0, M31.1, M31.2, M31.3, M32, M33, M34, M35, M45, M46.1, M46.8, M46.9</w:t>
            </w:r>
          </w:p>
        </w:tc>
      </w:tr>
      <w:tr w:rsidR="009E7FBE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Solid Tumor Without Metastases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C00, C01, C02, C03, C04, C05, C06, C07, C08, C09, C10, C11, C12, C13, C14, C15, C16, C17, C18, C19, C20, C21, C22, C23, C24, C25, C26, C30, C31, C32, C33, C34, C37, C38, C39, C40, C41, C43, C45, C46, C47, C48, C49, C50, C51, C52, C53, C54, C55, C56, C57, C58, C60, C61, C62, C63, C64, C65, C66, C67, C68, C69, C70, C71, C72, C73, C74, C75, C76, C97</w:t>
            </w:r>
          </w:p>
        </w:tc>
      </w:tr>
      <w:tr w:rsidR="009E7FBE" w:rsidRPr="002D7C81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Valvular Heart Disease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I05, I06, I07, I08, I09.1, I34, I35, I36, I37, I38, I39, Q23.0, Q23.1, Q23.2, Q23.3, Z95.2, Z95.3, Z95.4</w:t>
            </w:r>
          </w:p>
        </w:tc>
      </w:tr>
      <w:tr w:rsidR="009E7FBE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:rsidR="009E7FBE" w:rsidRPr="0083744B" w:rsidRDefault="009E7FBE" w:rsidP="009E7FBE">
            <w:pPr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Weight Loss</w:t>
            </w:r>
          </w:p>
        </w:tc>
        <w:tc>
          <w:tcPr>
            <w:tcW w:w="896" w:type="dxa"/>
          </w:tcPr>
          <w:p w:rsidR="009E7FBE" w:rsidRPr="0083744B" w:rsidRDefault="009E7FBE" w:rsidP="009E7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075" w:type="dxa"/>
          </w:tcPr>
          <w:p w:rsidR="009E7FBE" w:rsidRPr="0083744B" w:rsidRDefault="009E7FBE" w:rsidP="009E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44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E40, E41, E42, E43, E44, E45, E46, R63.4, R64</w:t>
            </w:r>
          </w:p>
        </w:tc>
      </w:tr>
    </w:tbl>
    <w:bookmarkEnd w:id="0"/>
    <w:p w:rsidR="00304755" w:rsidRPr="0083744B" w:rsidRDefault="009E7FBE" w:rsidP="009E7FBE">
      <w:pPr>
        <w:spacing w:before="120"/>
        <w:rPr>
          <w:rFonts w:ascii="Times New Roman" w:hAnsi="Times New Roman" w:cs="Times New Roman"/>
          <w:sz w:val="18"/>
          <w:szCs w:val="18"/>
          <w:lang w:val="en-US"/>
        </w:rPr>
        <w:sectPr w:rsidR="00304755" w:rsidRPr="0083744B" w:rsidSect="00304755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 w:rsidRPr="0083744B">
        <w:rPr>
          <w:rFonts w:ascii="Times New Roman" w:hAnsi="Times New Roman" w:cs="Times New Roman"/>
          <w:sz w:val="18"/>
          <w:szCs w:val="18"/>
          <w:lang w:val="en-US"/>
        </w:rPr>
        <w:t>ICD-10-GM = German Modification of the International Statistical Classification of Diseases and Related Health Problems Version 10</w:t>
      </w:r>
    </w:p>
    <w:p w:rsidR="00304755" w:rsidRPr="0083744B" w:rsidRDefault="00304755" w:rsidP="009E7FBE">
      <w:pPr>
        <w:spacing w:before="120"/>
        <w:rPr>
          <w:rFonts w:ascii="Times New Roman" w:hAnsi="Times New Roman" w:cs="Times New Roman"/>
          <w:sz w:val="18"/>
          <w:szCs w:val="18"/>
          <w:lang w:val="en-US"/>
        </w:rPr>
      </w:pPr>
    </w:p>
    <w:p w:rsidR="009E7FBE" w:rsidRPr="0083744B" w:rsidRDefault="009E7FBE" w:rsidP="009E7FBE">
      <w:pPr>
        <w:pStyle w:val="Beschriftung"/>
        <w:keepNext/>
        <w:rPr>
          <w:rFonts w:cs="Times New Roman"/>
          <w:lang w:val="en-US"/>
        </w:rPr>
      </w:pPr>
      <w:r w:rsidRPr="0083744B">
        <w:rPr>
          <w:rFonts w:cs="Times New Roman"/>
          <w:lang w:val="en-US"/>
        </w:rPr>
        <w:t xml:space="preserve">Supplemental Table </w:t>
      </w:r>
      <w:r w:rsidRPr="0083744B">
        <w:rPr>
          <w:rFonts w:cs="Times New Roman"/>
          <w:lang w:val="en-US"/>
        </w:rPr>
        <w:fldChar w:fldCharType="begin"/>
      </w:r>
      <w:r w:rsidRPr="0083744B">
        <w:rPr>
          <w:rFonts w:cs="Times New Roman"/>
          <w:lang w:val="en-US"/>
        </w:rPr>
        <w:instrText xml:space="preserve"> SEQ Supplemental_Table \* ARABIC </w:instrText>
      </w:r>
      <w:r w:rsidRPr="0083744B">
        <w:rPr>
          <w:rFonts w:cs="Times New Roman"/>
          <w:lang w:val="en-US"/>
        </w:rPr>
        <w:fldChar w:fldCharType="separate"/>
      </w:r>
      <w:r w:rsidRPr="0083744B">
        <w:rPr>
          <w:rFonts w:cs="Times New Roman"/>
          <w:noProof/>
          <w:lang w:val="en-US"/>
        </w:rPr>
        <w:t>2</w:t>
      </w:r>
      <w:r w:rsidRPr="0083744B">
        <w:rPr>
          <w:rFonts w:cs="Times New Roman"/>
          <w:lang w:val="en-US"/>
        </w:rPr>
        <w:fldChar w:fldCharType="end"/>
      </w:r>
      <w:r w:rsidR="00304755" w:rsidRPr="0083744B">
        <w:rPr>
          <w:rFonts w:cs="Times New Roman"/>
          <w:lang w:val="en-US"/>
        </w:rPr>
        <w:t>: Baseline characteristics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018"/>
        <w:gridCol w:w="1194"/>
        <w:gridCol w:w="1382"/>
        <w:gridCol w:w="1199"/>
        <w:gridCol w:w="719"/>
        <w:gridCol w:w="1080"/>
        <w:gridCol w:w="1383"/>
        <w:gridCol w:w="1200"/>
        <w:gridCol w:w="719"/>
        <w:gridCol w:w="1195"/>
        <w:gridCol w:w="1383"/>
        <w:gridCol w:w="1085"/>
        <w:gridCol w:w="719"/>
      </w:tblGrid>
      <w:tr w:rsidR="00441B09" w:rsidRPr="0083744B" w:rsidTr="009E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E7FBE" w:rsidRPr="0083744B" w:rsidRDefault="009E7FBE" w:rsidP="00AF6F09">
            <w:pPr>
              <w:spacing w:after="120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4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0" w:type="auto"/>
            <w:gridSpan w:val="4"/>
            <w:hideMark/>
          </w:tcPr>
          <w:p w:rsidR="00441B09" w:rsidRPr="0083744B" w:rsidRDefault="00304755" w:rsidP="00AF6F0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SARI-</w:t>
            </w:r>
          </w:p>
        </w:tc>
        <w:tc>
          <w:tcPr>
            <w:tcW w:w="0" w:type="auto"/>
            <w:gridSpan w:val="4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SARI</w:t>
            </w:r>
            <w:r w:rsidR="00304755"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+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3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Proportion (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n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3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Proportion (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n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3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Proportion (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n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Group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Age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val="en-US" w:eastAsia="de-DE"/>
              </w:rPr>
              <w:t>Mean (SD)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61.6 ±22.2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54.9 ±25.4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47.8 ±28.1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53.9 ±26.9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46.3 ±27.0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43.2 ±27.5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65.8 ±17.7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62.9 ±20.9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58.3 ±26.6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≤ 59 years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40.0% (662)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49.2% (537)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60.5% (1,058)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51.2% (302)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62.3% (325)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68.2% (828)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33.8% (360)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37.3% (212)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43.0% (230)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60−69 years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17.3% (286)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16.1% (176)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10.0% (175)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13.4% (79)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12.8% (67)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8.4% (102)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19.5% (207)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19.2% (109)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13.6% (73)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70−79 years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18.3% (302)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14.0% (153)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11.4% (200)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13.6% (80)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10.2% (53)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9.2% (112)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20.9% (222)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17.6% (100)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16.4% (88)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0.07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≥ 80 years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24.4% (404)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20.6% (225)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18.1% (316)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21.9% (129)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14.8% (77)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14.2% (172)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25.8% (275)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26.0% (148)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26.9% (144)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0.90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Sex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Male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52.5% (869)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47.0% (513)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45.3% (793)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44.1% (260)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41.4% (216)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41.4% (503)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57.2% (609)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52.2% (297)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54.2% (290)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Female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47.5% (785)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53.0% (578)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54.7% (956)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55.9% (330)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58.6% (306)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58.6% (711)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0.53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42.8% (455)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47.8% (272)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45.8% (245)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0.13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SARI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 SARI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35.7% (590)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47.8% (522)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69.4% (1,214)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(1,214)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SARI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64.3% (1,064)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52.2% (569)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30.6% (535)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(1,064)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Elixhauser comorbidity index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val="en-US" w:eastAsia="de-DE"/>
              </w:rPr>
              <w:t>Mean (SD)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8.2 ± 9.4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6.9 ± 9.3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5.4 ± 8.7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6.1 ± 8.9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4.6 ± 9.0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4.1 ± 7.8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9.4 ± 9.5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9.1 ± 9.2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8.5 ± 9.8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0.22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13.2% (219)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15.7% (171)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13.3% (233)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15.8% (93)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19.3% (101)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14.1% (171)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11.8% (126)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12.3% (70)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11.6% (62)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0.93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22.5% (372)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31.1% (339)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41.3% (723)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31.7% (187)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43.7% (228)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48.0% (583)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17.4% (185)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19.5% (111)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26.2% (140)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</w:tr>
      <w:tr w:rsidR="009E7FBE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1-4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6.3% (104)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3.6% (39)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5.1% (90)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6.8% (40)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4.6% (56)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6.0% (64)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3.2%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6.4% (34)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0.03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≥ 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58.0% (959)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49.7% (542)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40.2% (703)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45.8% (270)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33.0% (172)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33.3% (404)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64.8% (689)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65.0% (370)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55.9% (299)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304755" w:rsidRPr="0083744B" w:rsidRDefault="00304755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304755" w:rsidRPr="0083744B" w:rsidRDefault="00304755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F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4755" w:rsidRPr="0083744B" w:rsidRDefault="00304755" w:rsidP="00F820C3">
            <w:pPr>
              <w:spacing w:after="120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SARI-</w:t>
            </w: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SARI+</w:t>
            </w:r>
          </w:p>
        </w:tc>
      </w:tr>
      <w:tr w:rsidR="00304755" w:rsidRPr="0083744B" w:rsidTr="00F8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Group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Congestive heart failure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82.7% (1,368)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87.5% (955)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89.4% (1,564)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88.0% (519)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90.0% (470)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92.1% (1,118)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79.8% (849)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85.2% (485)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83.4% (446)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17.3% (286)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12.5% (136)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10.6% (185)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12.0% (71)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10.0% (52)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7.9% (96)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20.2% (215)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14.8% (84)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16.6% (89)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Cardiac arrhythmias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80.4% (1,330)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83.0% (905)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87.2% (1,526)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82.5% (487)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87.7% (458)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89.6% (1,088)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79.2% (843)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78.6% (447)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81.9% (438)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19.6% (324)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17.0% (186)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12.8% (223)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17.5% (103)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12.3% (64)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10.4% (126)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20.8% (221)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21.4% (122)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18.1% (97)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0.34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Valvular disease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94.9% (1,570)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96.5% (1,053)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96.8% (1,693)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95.9% (566)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96.0% (501)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96.9% (1,176)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94.4% (1,004)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97.0% (552)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(517)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5.1% (84)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3.5% (38)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3.2% (56)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4.1% (24)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3.1% (38)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5.6% (60)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3.0% (17)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Pulmonary circulation disorders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94.7% (1,566)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95.6% (1,043)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97.9% (1,713)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(573)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(1,196)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93.3% (993)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93.0% (529)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(517)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5.3% (88)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4.4% (48)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2.1% (36)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6.7% (71)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7.0% (40)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Peripheral vascular disorders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94.9% (1,569)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95.2% (1,039)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96.3% (1,684)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93.9% (554)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96.2% (502)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(1,173)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95.4% (1,015)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94.4% (537)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95.5% (511)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5.1% (85)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4.8% (52)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3.7% (65)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6.1% (36)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3.8% (20)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(41)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4.6% (49)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5.6% (32)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4.5% (24)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0.60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Hypertension, uncomplicated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63.3% (1,047)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68.2% (744)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74.2% (1,298)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66.6% (393)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74.1% (387)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78.2% (949)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61.5% (654)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62.7% (357)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65.2% (349)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36.7% (607)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31.8% (347)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25.8% (451)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33.4% (197)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25.9% (135)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21.8% (265)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38.5% (410)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37.3% (212)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34.8% (186)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0.34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Hypertension, complicated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89.5% (1,480)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93.4% (1,019)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93.9% (1,642)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91.0% (537)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95.2% (497)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95.3% (1,157)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88.6% (943)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91.7% (522)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90.7% (485)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10.5% (174)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6.6% (72)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6.1% (107)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9.0% (53)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4.8% (25)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4.7% (57)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11.4% (121)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8.3% (47)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9.3% (50)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0.11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Paralysis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96.9% (1,603)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(1,059)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97.7% (1,709)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96.4% (569)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(504)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98.0% (1,190)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97.2% (1,034)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97.5% (555)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97.0% (519)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3.1% (51)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2.3% (40)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0.33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3.6% (21)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2.0% (24)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0.08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2.8% (30)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2.5%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3.0% (16)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0.86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304755" w:rsidRPr="0083744B" w:rsidRDefault="00304755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F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4755" w:rsidRPr="0083744B" w:rsidRDefault="00304755" w:rsidP="00F820C3">
            <w:pPr>
              <w:spacing w:after="120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SARI-</w:t>
            </w:r>
          </w:p>
        </w:tc>
        <w:tc>
          <w:tcPr>
            <w:tcW w:w="0" w:type="auto"/>
            <w:gridSpan w:val="4"/>
            <w:hideMark/>
          </w:tcPr>
          <w:p w:rsidR="00304755" w:rsidRPr="0083744B" w:rsidRDefault="00304755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SARI+</w:t>
            </w:r>
          </w:p>
        </w:tc>
      </w:tr>
      <w:tr w:rsidR="00304755" w:rsidRPr="0083744B" w:rsidTr="00F8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Group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304755" w:rsidRPr="0083744B" w:rsidRDefault="00304755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Other neurological disorders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93.5% (1,547)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94.0% (1,025)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93.7% (1,638)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93.4% (551)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94.4% (493)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93.7% (1,138)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93.6% (996)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93.5% (532)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93.5% (500)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6.5% (107)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6.0% (66)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6.3% (111)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6.6% (39)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5.6% (29)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6.3% (76)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6.4% (68)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6.5% (37)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6.5% (35)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0.99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Chronic pulmonary disease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89.9% (1,487)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93.8% (1,023)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92.5% (1,617)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92.7% (547)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96.0% (501)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94.0% (1,141)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88.3% (940)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91.7% (522)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89.0% (476)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10.1% (167)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6.2% (68)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7.5% (132)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7.3% (43)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6.0% (73)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0.07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11.7% (124)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8.3% (47)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11.0% (59)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0.10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Diabetes, uncomplicated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84.5% (1,398)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87.5% (955)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90.2% (1,577)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87.3% (515)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92.0% (480)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91.9% (1,116)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83.0% (883)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83.5% (475)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86.2% (461)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15.5% (256)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12.5% (136)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9.8% (172)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12.7% (75)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8.0% (42)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8.1% (98)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17.0% (181)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16.5% (94)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13.8% (74)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0.25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Diabetes, complicated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92.1% (1,524)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93.6% (1,021)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95.3% (1,667)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94.1% (555)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95.4% (498)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(1,179)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91.1% (969)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91.9% (523)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91.2% (488)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7.9% (130)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6.4% (70)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4.7% (82)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5.9% (35)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4.6% (24)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8.9% (95)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8.1% (46)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8.8% (47)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0.84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Hypothyroidism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89.8% (1,486)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91.2% (995)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92.3% (1,615)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90.0% (531)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91.8% (479)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93.2% (1,132)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89.8% (955)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90.7% (516)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90.3% (483)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10.2% (168)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8.8% (96)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7.7% (134)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10.0% (59)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8.2% (43)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6.8% (82)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10.2% (109)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9.3% (53)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9.7% (52)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0.83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Renal failure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78.1% (1,292)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82.6% (901)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84.9% (1,485)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83.7% (494)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88.1% (460)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89.1% (1,082)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75.0% (798)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77.5% (441)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75.3% (403)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21.9% (362)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17.4% (190)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15.1% (264)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16.3% (96)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11.9% (62)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10.9% (132)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25.0% (266)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22.5% (128)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24.7% (132)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0.51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Liver disease</w:t>
            </w: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96.9% (1,602)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97.0% (1,058)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(1,715)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(573)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(504)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98.6% (1,197)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96.7% (1,029)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97.4% (554)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96.8% (518)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3.1% (52)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3.0% (33)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(34)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1.4% (17)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3.3% (35)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2.6% (15)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3.2% (17)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0.76</w:t>
            </w:r>
          </w:p>
        </w:tc>
      </w:tr>
      <w:tr w:rsidR="00441B09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Peptic ulcer disease excluding bleeding</w:t>
            </w:r>
          </w:p>
        </w:tc>
      </w:tr>
      <w:tr w:rsidR="00304755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99.9% (1,653)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99.8% (1,089)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99.9% (1,748)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99.8% (589)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99.8% (521)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99.9% (1,213)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(1,064)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99.8% (568)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304755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0.25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F8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44B" w:rsidRPr="0083744B" w:rsidRDefault="0083744B" w:rsidP="00F820C3">
            <w:pPr>
              <w:spacing w:after="120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SARI-</w:t>
            </w: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SARI+</w:t>
            </w:r>
          </w:p>
        </w:tc>
      </w:tr>
      <w:tr w:rsidR="0083744B" w:rsidRPr="0083744B" w:rsidTr="00F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Group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AIDS/HIV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(1,654)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(1,091)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(1,749)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(1,214)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(1,064)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Lymphoma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98.9% (1,636)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98.7% (1,077)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99.2% (1,735)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98.6% (582)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98.7% (515)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(1,205)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99.1% (1,054)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98.8% (562)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99.1% (530)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1.1%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1.3%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1.4%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1.3% (7)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0.9% (10)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1.2% (7)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0.9% (5)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0.84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Metastatic cancer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98.7% (1,632)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98.6% (1,076)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(1,723)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97.5% (575)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97.5% (509)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(1,196)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(1,057)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1.3% (22)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1.4% (15)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2.5% (15)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2.5% (13)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0.08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 xml:space="preserve">Solid </w:t>
            </w:r>
            <w:proofErr w:type="spellStart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tumour</w:t>
            </w:r>
            <w:proofErr w:type="spellEnd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 xml:space="preserve"> without metastasis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95.9% (1,587)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(1,054)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96.0% (1,679)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93.9% (554)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95.0% (496)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96.0% (1,166)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(1,033)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(558)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95.9% (513)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4.1% (67)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6.1% (36)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5.0% (26)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(48)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(31)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4.1% (22)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0.10</w:t>
            </w:r>
          </w:p>
        </w:tc>
      </w:tr>
      <w:tr w:rsidR="00441B09" w:rsidRPr="002D7C81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 xml:space="preserve">Rheumatoid </w:t>
            </w:r>
            <w:proofErr w:type="spellStart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artritis</w:t>
            </w:r>
            <w:proofErr w:type="spellEnd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/collaged vascular disease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98.2% (1,624)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98.7% (1,077)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(1,723)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(579)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98.7% (1,198)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98.2% (1,045)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98.9% (563)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(525)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1.8% (30)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1.3%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0.52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1.3% (16)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0.67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1.8%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1.1% (6)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0.46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Coagulopathy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96.4% (1,595)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97.0% (1,058)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97.9% (1,713)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97.8% (577)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97.3% (508)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97.7% (1,186)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95.7% (1,018)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96.7% (550)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3.6% (59)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3.0% (33)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2.1% (36)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0.03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2.2% (13)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2.7%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2.3% (28)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4.3% (46)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3.3%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Obesity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88.6% (1,465)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90.8% (991)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92.7% (1,622)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93.9% (554)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92.1% (481)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93.7% (1,138)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85.6% (911)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89.6% (510)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90.5% (484)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11.4% (189)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9.2% (100)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7.3% (127)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6.1% (36)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7.9% (41)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6.3% (76)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14.4% (153)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10.4% (59)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9.5% (51)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Weight loss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95.6% (1,582)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94.1% (1,027)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97.0% (1,696)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95.6% (564)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96.4% (503)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98.2% (1,192)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95.7% (1,018)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92.1% (524)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94.2% (504)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4.4% (72)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5.9% (64)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3.0% (53)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4.4% (26)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3.6%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1.8% (22)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4.3% (46)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7.9% (45)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5.8% (31)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</w:tcPr>
          <w:p w:rsidR="0083744B" w:rsidRPr="0083744B" w:rsidRDefault="0083744B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F82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44B" w:rsidRPr="0083744B" w:rsidRDefault="0083744B" w:rsidP="00F820C3">
            <w:pPr>
              <w:spacing w:after="120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SARI-</w:t>
            </w:r>
          </w:p>
        </w:tc>
        <w:tc>
          <w:tcPr>
            <w:tcW w:w="0" w:type="auto"/>
            <w:gridSpan w:val="4"/>
            <w:hideMark/>
          </w:tcPr>
          <w:p w:rsidR="0083744B" w:rsidRPr="0083744B" w:rsidRDefault="0083744B" w:rsidP="00F820C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en-US" w:eastAsia="de-DE"/>
              </w:rPr>
              <w:t>SARI+</w:t>
            </w:r>
          </w:p>
        </w:tc>
      </w:tr>
      <w:tr w:rsidR="0083744B" w:rsidRPr="0083744B" w:rsidTr="00F82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Group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Delta to 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Omicron</w:t>
            </w:r>
          </w:p>
        </w:tc>
        <w:tc>
          <w:tcPr>
            <w:tcW w:w="0" w:type="auto"/>
            <w:hideMark/>
          </w:tcPr>
          <w:p w:rsidR="0083744B" w:rsidRPr="0083744B" w:rsidRDefault="0083744B" w:rsidP="00F820C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val="en-US" w:eastAsia="de-DE"/>
              </w:rPr>
              <w:t>P</w:t>
            </w:r>
            <w:r w:rsidRPr="0083744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-US" w:eastAsia="de-DE"/>
              </w:rPr>
              <w:t> value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Fluid and electrolyte disorders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61.1% (1,011)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67.2% (733)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75.8% (1,326)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75.6% (446)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82.8% (432)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83.3% (1,011)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53.1% (565)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52.9% (301)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58.9% (315)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38.9% (643)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32.8% (358)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24.2% (423)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24.4% (144)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17.2% (90)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16.7% (203)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46.9% (499)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47.1% (268)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41.1% (220)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0.06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 xml:space="preserve">Blood loss </w:t>
            </w:r>
            <w:proofErr w:type="spellStart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anaemia</w:t>
            </w:r>
            <w:proofErr w:type="spellEnd"/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99.7% (1,649)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(1,087)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99.4% (1,739)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(586)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(1,205)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99.9% (1,063)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99.8% (534)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0.3% (5)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0.6% (10)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0.69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0.2% (1)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0.51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 xml:space="preserve">Deficiency </w:t>
            </w:r>
            <w:proofErr w:type="spellStart"/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anaemia</w:t>
            </w:r>
            <w:proofErr w:type="spellEnd"/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97.6% (1,614)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97.4% (1,063)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98.0% (1,714)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96.6% (570)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97.1% (507)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97.8% (1,187)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(1,044)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97.7% (556)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2.4% (40)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2.6% (28)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2.0% (35)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3.4% (20)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2.9% (15)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2.2% (27)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0.33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2.3% (13)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0.63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Alcohol abuse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97.6% (1,614)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97.7% (1,066)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(1,716)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96.8% (571)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97.3% (508)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98.4% (1,195)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98.0% (1,043)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98.1% (558)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97.4% (521)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2.4% (40)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2.3% (25)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0.55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3.2%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2.7%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1.6%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0.06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2.0% (21)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1.9% (11)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2.6% (14)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0.66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Drug abuse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(1,648)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(1,083)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(1,737)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99.7% (588)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98.5% (514)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99.2% (1,204)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(1,060)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100.0% (569)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(533)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1.5% (8)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0.8% (10)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0.10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0.0% (0)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0.34</w:t>
            </w:r>
          </w:p>
        </w:tc>
      </w:tr>
      <w:tr w:rsidR="00441B09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Psychoses</w:t>
            </w: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99.3% (1,642)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(1,087)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99.4% (1,738)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99.5% (587)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99.5% (1,208)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99.2% (1,055)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99.6% (567)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99.1% (530)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0.7% (12)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0.6% (11)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0.48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0.5% (3)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0.5% (6)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0.94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0.8% (9)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0.4% (2)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0.9% (5)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0.45</w:t>
            </w:r>
          </w:p>
        </w:tc>
      </w:tr>
      <w:tr w:rsidR="00441B09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441B09" w:rsidRPr="0083744B" w:rsidRDefault="00441B09" w:rsidP="00AF6F0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Depression</w:t>
            </w:r>
          </w:p>
        </w:tc>
      </w:tr>
      <w:tr w:rsidR="0083744B" w:rsidRPr="0083744B" w:rsidTr="009E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95.6% (1,581)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96.0% (1,047)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97.4% (1,704)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95.1% (561)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96.4% (503)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98.2% (1,192)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95.9% (1,020)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95.6% (544)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95.7% (512)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</w:p>
        </w:tc>
      </w:tr>
      <w:tr w:rsidR="0083744B" w:rsidRPr="0083744B" w:rsidTr="009E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4.4% (73)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4.0% (44)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2.6% (45)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4.9% (29)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3.6% (19)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1.8% (22)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&lt; 0.01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4.1% (44)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4.4% (25)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4.3% (23)</w:t>
            </w:r>
          </w:p>
        </w:tc>
        <w:tc>
          <w:tcPr>
            <w:tcW w:w="0" w:type="auto"/>
            <w:hideMark/>
          </w:tcPr>
          <w:p w:rsidR="00441B09" w:rsidRPr="0083744B" w:rsidRDefault="00441B09" w:rsidP="00AF6F0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</w:pPr>
            <w:r w:rsidRPr="0083744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de-DE"/>
              </w:rPr>
              <w:t>0.97</w:t>
            </w:r>
          </w:p>
        </w:tc>
      </w:tr>
    </w:tbl>
    <w:p w:rsidR="009E7FBE" w:rsidRPr="002D7C81" w:rsidRDefault="00F820C3" w:rsidP="00F820C3">
      <w:pPr>
        <w:spacing w:before="120"/>
        <w:rPr>
          <w:rFonts w:ascii="Times New Roman" w:hAnsi="Times New Roman" w:cs="Times New Roman"/>
          <w:sz w:val="16"/>
          <w:szCs w:val="16"/>
          <w:lang w:val="en-US"/>
        </w:rPr>
        <w:sectPr w:rsidR="009E7FBE" w:rsidRPr="002D7C81" w:rsidSect="00304755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2D7C81">
        <w:rPr>
          <w:rFonts w:ascii="Times New Roman" w:hAnsi="Times New Roman" w:cs="Times New Roman"/>
          <w:sz w:val="16"/>
          <w:szCs w:val="16"/>
          <w:lang w:val="en-US"/>
        </w:rPr>
        <w:t>SARI = severe acute respiratory infection</w:t>
      </w:r>
      <w:bookmarkStart w:id="1" w:name="_GoBack"/>
      <w:bookmarkEnd w:id="1"/>
    </w:p>
    <w:p w:rsidR="00C63E16" w:rsidRPr="0083744B" w:rsidRDefault="00C63E16" w:rsidP="00691E37">
      <w:pPr>
        <w:rPr>
          <w:rFonts w:ascii="Times New Roman" w:hAnsi="Times New Roman" w:cs="Times New Roman"/>
          <w:lang w:val="en-US"/>
        </w:rPr>
      </w:pPr>
    </w:p>
    <w:sectPr w:rsidR="00C63E16" w:rsidRPr="0083744B" w:rsidSect="009E7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9"/>
    <w:rsid w:val="00074602"/>
    <w:rsid w:val="002D7C81"/>
    <w:rsid w:val="00304755"/>
    <w:rsid w:val="00441B09"/>
    <w:rsid w:val="004C3C05"/>
    <w:rsid w:val="00691E37"/>
    <w:rsid w:val="0083744B"/>
    <w:rsid w:val="009E7FBE"/>
    <w:rsid w:val="00A864EB"/>
    <w:rsid w:val="00AF6F09"/>
    <w:rsid w:val="00C63E16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AFD5-4454-4044-A6DD-19B8A85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441B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Standard"/>
    <w:rsid w:val="0044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1B09"/>
    <w:rPr>
      <w:b/>
      <w:bCs/>
    </w:rPr>
  </w:style>
  <w:style w:type="paragraph" w:customStyle="1" w:styleId="xmsonormal">
    <w:name w:val="x_msonormal"/>
    <w:basedOn w:val="Standard"/>
    <w:rsid w:val="009E7FB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E7FBE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A68C-151E-4CED-B7E9-8CF717B8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1983</Words>
  <Characters>12495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Leiner, Johannes</dc:creator>
  <cp:keywords/>
  <dc:description/>
  <cp:lastModifiedBy>Leiner, Johannes</cp:lastModifiedBy>
  <cp:revision>6</cp:revision>
  <dcterms:created xsi:type="dcterms:W3CDTF">2022-03-29T14:34:00Z</dcterms:created>
  <dcterms:modified xsi:type="dcterms:W3CDTF">2022-04-09T15:58:00Z</dcterms:modified>
</cp:coreProperties>
</file>