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48D2" w14:textId="587AC841" w:rsidR="000A6AA0" w:rsidRDefault="006629F4" w:rsidP="000A6AA0">
      <w:pPr>
        <w:spacing w:after="0" w:line="480" w:lineRule="auto"/>
        <w:ind w:left="5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</w:t>
      </w:r>
      <w:bookmarkStart w:id="0" w:name="_GoBack"/>
      <w:bookmarkEnd w:id="0"/>
      <w:r w:rsidR="000A6AA0">
        <w:rPr>
          <w:rFonts w:ascii="Arial" w:hAnsi="Arial" w:cs="Arial"/>
          <w:b/>
        </w:rPr>
        <w:t xml:space="preserve"> file-5</w:t>
      </w:r>
    </w:p>
    <w:p w14:paraId="45E9E7E0" w14:textId="77777777" w:rsidR="00937A52" w:rsidRPr="000A6AA0" w:rsidRDefault="00937A52" w:rsidP="00937A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lang w:eastAsia="en-IN"/>
        </w:rPr>
      </w:pPr>
      <w:r w:rsidRPr="000A6AA0">
        <w:rPr>
          <w:rFonts w:ascii="Arial" w:hAnsi="Arial" w:cs="Arial"/>
          <w:b/>
          <w:bCs/>
          <w:color w:val="000000"/>
          <w:lang w:val="en-IN" w:eastAsia="en-IN"/>
        </w:rPr>
        <w:t xml:space="preserve">Population screening for </w:t>
      </w:r>
      <w:r w:rsidRPr="000A6AA0">
        <w:rPr>
          <w:rFonts w:ascii="Arial" w:hAnsi="Arial" w:cs="Arial"/>
          <w:b/>
          <w:bCs/>
          <w:color w:val="000000"/>
          <w:lang w:eastAsia="en-IN"/>
        </w:rPr>
        <w:t>c.1228T&gt;A (p.Ser410Thr) variant by ARMS-PCR</w:t>
      </w:r>
    </w:p>
    <w:p w14:paraId="39715EE8" w14:textId="140D9160" w:rsidR="00937A52" w:rsidRPr="00937A52" w:rsidRDefault="00645C33" w:rsidP="00937A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lang w:eastAsia="en-IN"/>
        </w:rPr>
      </w:pPr>
      <w:r w:rsidRPr="00937A52">
        <w:rPr>
          <w:rFonts w:ascii="Arial" w:hAnsi="Arial" w:cs="Arial"/>
          <w:bCs/>
          <w:color w:val="000000"/>
          <w:lang w:val="en-IN" w:eastAsia="en-IN"/>
        </w:rPr>
        <w:t>200 unrelated population (100 males and 100 females) were studied to demonstrate the pathogenicity of c.1228T&gt;A (p.Ser410Thr) variant</w:t>
      </w:r>
      <w:r w:rsidR="002300AF">
        <w:rPr>
          <w:rFonts w:ascii="Arial" w:hAnsi="Arial" w:cs="Arial"/>
          <w:bCs/>
          <w:color w:val="000000"/>
          <w:lang w:val="en-IN" w:eastAsia="en-IN"/>
        </w:rPr>
        <w:t xml:space="preserve">, using the </w:t>
      </w:r>
      <w:r w:rsidR="00A91EC4">
        <w:rPr>
          <w:rFonts w:ascii="Arial" w:hAnsi="Arial" w:cs="Arial"/>
          <w:bCs/>
          <w:color w:val="000000"/>
          <w:lang w:val="en-IN" w:eastAsia="en-IN"/>
        </w:rPr>
        <w:t>A</w:t>
      </w:r>
      <w:r w:rsidR="00A91EC4" w:rsidRPr="00937A52">
        <w:rPr>
          <w:rFonts w:ascii="Arial" w:hAnsi="Arial" w:cs="Arial"/>
          <w:bCs/>
          <w:color w:val="000000"/>
          <w:lang w:val="en-IN" w:eastAsia="en-IN"/>
        </w:rPr>
        <w:t>mplification-</w:t>
      </w:r>
      <w:r w:rsidR="00A91EC4">
        <w:rPr>
          <w:rFonts w:ascii="Arial" w:hAnsi="Arial" w:cs="Arial"/>
          <w:bCs/>
          <w:color w:val="000000"/>
          <w:lang w:val="en-IN" w:eastAsia="en-IN"/>
        </w:rPr>
        <w:t>R</w:t>
      </w:r>
      <w:r w:rsidR="00A91EC4" w:rsidRPr="00937A52">
        <w:rPr>
          <w:rFonts w:ascii="Arial" w:hAnsi="Arial" w:cs="Arial"/>
          <w:bCs/>
          <w:color w:val="000000"/>
          <w:lang w:val="en-IN" w:eastAsia="en-IN"/>
        </w:rPr>
        <w:t xml:space="preserve">efractory </w:t>
      </w:r>
      <w:r w:rsidR="00A91EC4">
        <w:rPr>
          <w:rFonts w:ascii="Arial" w:hAnsi="Arial" w:cs="Arial"/>
          <w:bCs/>
          <w:color w:val="000000"/>
          <w:lang w:val="en-IN" w:eastAsia="en-IN"/>
        </w:rPr>
        <w:t>M</w:t>
      </w:r>
      <w:r w:rsidR="00A91EC4" w:rsidRPr="00937A52">
        <w:rPr>
          <w:rFonts w:ascii="Arial" w:hAnsi="Arial" w:cs="Arial"/>
          <w:bCs/>
          <w:color w:val="000000"/>
          <w:lang w:val="en-IN" w:eastAsia="en-IN"/>
        </w:rPr>
        <w:t xml:space="preserve">utation </w:t>
      </w:r>
      <w:r w:rsidR="00A91EC4">
        <w:rPr>
          <w:rFonts w:ascii="Arial" w:hAnsi="Arial" w:cs="Arial"/>
          <w:bCs/>
          <w:color w:val="000000"/>
          <w:lang w:val="en-IN" w:eastAsia="en-IN"/>
        </w:rPr>
        <w:t>S</w:t>
      </w:r>
      <w:r w:rsidR="00A91EC4" w:rsidRPr="00937A52">
        <w:rPr>
          <w:rFonts w:ascii="Arial" w:hAnsi="Arial" w:cs="Arial"/>
          <w:bCs/>
          <w:color w:val="000000"/>
          <w:lang w:val="en-IN" w:eastAsia="en-IN"/>
        </w:rPr>
        <w:t>ystem (ARMS)</w:t>
      </w:r>
      <w:r w:rsidR="00A91EC4">
        <w:rPr>
          <w:rFonts w:ascii="Arial" w:hAnsi="Arial" w:cs="Arial"/>
          <w:bCs/>
          <w:color w:val="000000"/>
          <w:lang w:val="en-IN" w:eastAsia="en-IN"/>
        </w:rPr>
        <w:t xml:space="preserve"> </w:t>
      </w:r>
      <w:r w:rsidR="002F6CCE">
        <w:rPr>
          <w:rFonts w:ascii="Arial" w:hAnsi="Arial" w:cs="Arial"/>
          <w:bCs/>
          <w:color w:val="000000"/>
          <w:lang w:val="en-IN" w:eastAsia="en-IN"/>
        </w:rPr>
        <w:t>PCR technique</w:t>
      </w:r>
      <w:r w:rsidR="00937A52" w:rsidRPr="00937A52">
        <w:rPr>
          <w:rFonts w:ascii="Arial" w:hAnsi="Arial" w:cs="Arial"/>
          <w:bCs/>
          <w:color w:val="000000"/>
          <w:lang w:val="en-IN" w:eastAsia="en-IN"/>
        </w:rPr>
        <w:t xml:space="preserve">. </w:t>
      </w:r>
      <w:r w:rsidR="00937A52" w:rsidRPr="00937A52">
        <w:rPr>
          <w:rFonts w:ascii="Arial" w:hAnsi="Arial" w:cs="Arial"/>
          <w:bCs/>
          <w:color w:val="000000"/>
          <w:lang w:eastAsia="en-IN"/>
        </w:rPr>
        <w:t xml:space="preserve">ARMS-PCR is a very cost-effective technique and is apt for detecting point mutation because of its ability to discriminate among templates that differ by a single nucleotide residue. DNA samples of the population of concentration 100 ng/µl were amplified using Thermal Cycler-2720. A common forward primer (5'CAACAACATCTGCTTCTACG3'), a wild-type reverse primer (5'CTTGCGCTTGTGGTAGGA3') and a mutant reverse primer (5'CTTGCGCTTGTGGTAGGT3') were used. </w:t>
      </w:r>
      <w:r w:rsidR="0078735F">
        <w:rPr>
          <w:rFonts w:ascii="Arial" w:hAnsi="Arial" w:cs="Arial"/>
          <w:bCs/>
          <w:color w:val="000000"/>
          <w:lang w:eastAsia="en-IN"/>
        </w:rPr>
        <w:t>A t</w:t>
      </w:r>
      <w:r w:rsidR="00937A52" w:rsidRPr="00937A52">
        <w:rPr>
          <w:rFonts w:ascii="Arial" w:hAnsi="Arial" w:cs="Arial"/>
          <w:bCs/>
          <w:color w:val="000000"/>
          <w:lang w:eastAsia="en-IN"/>
        </w:rPr>
        <w:t xml:space="preserve">otal </w:t>
      </w:r>
      <w:r w:rsidR="0078735F">
        <w:rPr>
          <w:rFonts w:ascii="Arial" w:hAnsi="Arial" w:cs="Arial"/>
          <w:bCs/>
          <w:color w:val="000000"/>
          <w:lang w:eastAsia="en-IN"/>
        </w:rPr>
        <w:t xml:space="preserve">of </w:t>
      </w:r>
      <w:r w:rsidR="00937A52" w:rsidRPr="00937A52">
        <w:rPr>
          <w:rFonts w:ascii="Arial" w:hAnsi="Arial" w:cs="Arial"/>
          <w:bCs/>
          <w:color w:val="000000"/>
          <w:lang w:eastAsia="en-IN"/>
        </w:rPr>
        <w:t xml:space="preserve">30 cycles comprising initial denaturation (94°C; 5 minutes), denaturation (94°C; 30 seconds), annealing of wild-type primer (58°C; 30 seconds), annealing of mutant primer (59°C; 30 seconds), elongation (72°C; 45 seconds) and final elongation (72°C; 5 minutes). The amplification of </w:t>
      </w:r>
      <w:r w:rsidR="00312657">
        <w:rPr>
          <w:rFonts w:ascii="Arial" w:hAnsi="Arial" w:cs="Arial"/>
          <w:bCs/>
          <w:color w:val="000000"/>
          <w:lang w:eastAsia="en-IN"/>
        </w:rPr>
        <w:t xml:space="preserve">the </w:t>
      </w:r>
      <w:r w:rsidR="00937A52" w:rsidRPr="00937A52">
        <w:rPr>
          <w:rFonts w:ascii="Arial" w:hAnsi="Arial" w:cs="Arial"/>
          <w:bCs/>
          <w:color w:val="000000"/>
          <w:lang w:eastAsia="en-IN"/>
        </w:rPr>
        <w:t xml:space="preserve">PCR product was confirmed </w:t>
      </w:r>
      <w:r w:rsidR="00BB34D5">
        <w:rPr>
          <w:rFonts w:ascii="Arial" w:hAnsi="Arial" w:cs="Arial"/>
          <w:bCs/>
          <w:color w:val="000000"/>
          <w:lang w:eastAsia="en-IN"/>
        </w:rPr>
        <w:t>through</w:t>
      </w:r>
      <w:r w:rsidR="008D17A3">
        <w:rPr>
          <w:rFonts w:ascii="Arial" w:hAnsi="Arial" w:cs="Arial"/>
          <w:bCs/>
          <w:color w:val="000000"/>
          <w:lang w:eastAsia="en-IN"/>
        </w:rPr>
        <w:t xml:space="preserve"> </w:t>
      </w:r>
      <w:r w:rsidR="00937A52" w:rsidRPr="00937A52">
        <w:rPr>
          <w:rFonts w:ascii="Arial" w:hAnsi="Arial" w:cs="Arial"/>
          <w:bCs/>
          <w:color w:val="000000"/>
          <w:lang w:eastAsia="en-IN"/>
        </w:rPr>
        <w:t xml:space="preserve">2.5% agarose gel electrophoresis. </w:t>
      </w:r>
    </w:p>
    <w:p w14:paraId="4D52BEA6" w14:textId="77777777" w:rsidR="00937A52" w:rsidRPr="00937A52" w:rsidRDefault="00937A52" w:rsidP="00937A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lang w:eastAsia="en-IN"/>
        </w:rPr>
      </w:pPr>
      <w:r w:rsidRPr="00937A52">
        <w:rPr>
          <w:rFonts w:ascii="Arial" w:hAnsi="Arial" w:cs="Arial"/>
          <w:bCs/>
          <w:color w:val="000000"/>
          <w:lang w:eastAsia="en-IN"/>
        </w:rPr>
        <w:t>From the 200 subjects screened for the above genotype, we could not find any carrier for the c.1228T&gt;A (p.Ser410Thr) variant.</w:t>
      </w:r>
    </w:p>
    <w:p w14:paraId="7A68D45F" w14:textId="77777777" w:rsidR="00937A52" w:rsidRPr="00B61EDB" w:rsidRDefault="00937A52" w:rsidP="00937A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lang w:val="en-IN" w:eastAsia="en-IN"/>
        </w:rPr>
      </w:pPr>
    </w:p>
    <w:p w14:paraId="22A83A33" w14:textId="77777777" w:rsidR="00764325" w:rsidRPr="00937A52" w:rsidRDefault="00764325" w:rsidP="00937A52">
      <w:pPr>
        <w:spacing w:line="480" w:lineRule="auto"/>
      </w:pPr>
    </w:p>
    <w:sectPr w:rsidR="00764325" w:rsidRPr="00937A52" w:rsidSect="0066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4D9"/>
    <w:multiLevelType w:val="hybridMultilevel"/>
    <w:tmpl w:val="34CA7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764325"/>
    <w:rsid w:val="00053EBF"/>
    <w:rsid w:val="00091EAA"/>
    <w:rsid w:val="000A6AA0"/>
    <w:rsid w:val="000C4218"/>
    <w:rsid w:val="000E601D"/>
    <w:rsid w:val="0019075F"/>
    <w:rsid w:val="001E1CCA"/>
    <w:rsid w:val="002300AF"/>
    <w:rsid w:val="002F6CCE"/>
    <w:rsid w:val="00312657"/>
    <w:rsid w:val="00384870"/>
    <w:rsid w:val="00394595"/>
    <w:rsid w:val="003C79FD"/>
    <w:rsid w:val="00425D10"/>
    <w:rsid w:val="00443CAA"/>
    <w:rsid w:val="004E502F"/>
    <w:rsid w:val="004E6879"/>
    <w:rsid w:val="006132E1"/>
    <w:rsid w:val="00645C33"/>
    <w:rsid w:val="006629F4"/>
    <w:rsid w:val="00667D19"/>
    <w:rsid w:val="006C3805"/>
    <w:rsid w:val="00727498"/>
    <w:rsid w:val="00764325"/>
    <w:rsid w:val="0078735F"/>
    <w:rsid w:val="00822506"/>
    <w:rsid w:val="0085558C"/>
    <w:rsid w:val="008636E4"/>
    <w:rsid w:val="00863C41"/>
    <w:rsid w:val="008D17A3"/>
    <w:rsid w:val="008E5B4A"/>
    <w:rsid w:val="00937A52"/>
    <w:rsid w:val="009451DD"/>
    <w:rsid w:val="00977D4E"/>
    <w:rsid w:val="009A1B00"/>
    <w:rsid w:val="00A4416D"/>
    <w:rsid w:val="00A5567D"/>
    <w:rsid w:val="00A828CD"/>
    <w:rsid w:val="00A91EC4"/>
    <w:rsid w:val="00A9301B"/>
    <w:rsid w:val="00B13503"/>
    <w:rsid w:val="00B9187C"/>
    <w:rsid w:val="00BB34D5"/>
    <w:rsid w:val="00CA4193"/>
    <w:rsid w:val="00CE194A"/>
    <w:rsid w:val="00D034CC"/>
    <w:rsid w:val="00D47BC0"/>
    <w:rsid w:val="00DA45E4"/>
    <w:rsid w:val="00DF083A"/>
    <w:rsid w:val="00E14FBD"/>
    <w:rsid w:val="00E54642"/>
    <w:rsid w:val="00E72DD9"/>
    <w:rsid w:val="00EB2D77"/>
    <w:rsid w:val="00F81B3C"/>
    <w:rsid w:val="00F94DA7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4325"/>
    <w:rPr>
      <w:b/>
      <w:bCs/>
    </w:rPr>
  </w:style>
  <w:style w:type="paragraph" w:styleId="NoSpacing">
    <w:name w:val="No Spacing"/>
    <w:uiPriority w:val="1"/>
    <w:qFormat/>
    <w:rsid w:val="00977D4E"/>
    <w:pPr>
      <w:spacing w:after="0" w:line="240" w:lineRule="auto"/>
    </w:pPr>
  </w:style>
  <w:style w:type="character" w:styleId="Hyperlink">
    <w:name w:val="Hyperlink"/>
    <w:uiPriority w:val="99"/>
    <w:unhideWhenUsed/>
    <w:rsid w:val="0093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3C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4325"/>
    <w:rPr>
      <w:b/>
      <w:bCs/>
    </w:rPr>
  </w:style>
  <w:style w:type="paragraph" w:styleId="NoSpacing">
    <w:name w:val="No Spacing"/>
    <w:uiPriority w:val="1"/>
    <w:qFormat/>
    <w:rsid w:val="00977D4E"/>
    <w:pPr>
      <w:spacing w:after="0" w:line="240" w:lineRule="auto"/>
    </w:pPr>
  </w:style>
  <w:style w:type="character" w:styleId="Hyperlink">
    <w:name w:val="Hyperlink"/>
    <w:uiPriority w:val="99"/>
    <w:unhideWhenUsed/>
    <w:rsid w:val="0093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3C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S3G_Apply_Fixed_Case</cp:lastModifiedBy>
  <cp:revision>5</cp:revision>
  <dcterms:created xsi:type="dcterms:W3CDTF">2018-04-23T08:36:00Z</dcterms:created>
  <dcterms:modified xsi:type="dcterms:W3CDTF">2018-04-28T13:11:00Z</dcterms:modified>
</cp:coreProperties>
</file>