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C5" w:rsidRPr="009732C5" w:rsidRDefault="00022021" w:rsidP="009732C5">
      <w:pPr>
        <w:spacing w:after="200" w:line="276" w:lineRule="auto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Additional file 3:</w:t>
      </w:r>
      <w:r w:rsidR="00592191">
        <w:rPr>
          <w:rFonts w:ascii="Arial" w:eastAsia="Cambria" w:hAnsi="Arial" w:cs="Arial"/>
          <w:b/>
        </w:rPr>
        <w:t xml:space="preserve"> </w:t>
      </w:r>
      <w:r>
        <w:rPr>
          <w:rFonts w:ascii="Arial" w:eastAsia="Cambria" w:hAnsi="Arial" w:cs="Arial"/>
          <w:b/>
        </w:rPr>
        <w:t>F</w:t>
      </w:r>
      <w:r w:rsidRPr="009732C5">
        <w:rPr>
          <w:rFonts w:ascii="Arial" w:eastAsia="Cambria" w:hAnsi="Arial" w:cs="Arial"/>
          <w:b/>
        </w:rPr>
        <w:t xml:space="preserve">igure </w:t>
      </w:r>
      <w:bookmarkStart w:id="0" w:name="_GoBack"/>
      <w:bookmarkEnd w:id="0"/>
      <w:r>
        <w:rPr>
          <w:rFonts w:ascii="Arial" w:eastAsia="Cambria" w:hAnsi="Arial" w:cs="Arial"/>
          <w:b/>
        </w:rPr>
        <w:t>S3</w:t>
      </w:r>
      <w:r w:rsidR="009732C5" w:rsidRPr="009732C5">
        <w:rPr>
          <w:rFonts w:ascii="Arial" w:eastAsia="Cambria" w:hAnsi="Arial" w:cs="Arial"/>
          <w:b/>
        </w:rPr>
        <w:t xml:space="preserve"> Exclusions of home data </w:t>
      </w:r>
    </w:p>
    <w:p w:rsidR="009732C5" w:rsidRPr="009732C5" w:rsidRDefault="00E53AF3" w:rsidP="009732C5">
      <w:pPr>
        <w:spacing w:after="200" w:line="276" w:lineRule="auto"/>
        <w:rPr>
          <w:rFonts w:ascii="Arial" w:eastAsia="Cambria" w:hAnsi="Arial" w:cs="Arial"/>
          <w:color w:val="010202"/>
          <w:sz w:val="16"/>
          <w:szCs w:val="16"/>
        </w:rPr>
      </w:pPr>
      <w:r w:rsidRPr="00E53AF3">
        <w:rPr>
          <w:noProof/>
          <w:lang w:val="en-US"/>
        </w:rPr>
        <w:drawing>
          <wp:inline distT="0" distB="0" distL="0" distR="0">
            <wp:extent cx="5572125" cy="66134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038" cy="663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C5" w:rsidRPr="009732C5" w:rsidRDefault="009732C5" w:rsidP="00A82CD0">
      <w:pPr>
        <w:spacing w:after="0" w:line="240" w:lineRule="auto"/>
        <w:rPr>
          <w:rFonts w:ascii="Arial" w:eastAsia="Cambria" w:hAnsi="Arial" w:cs="Arial"/>
          <w:color w:val="010202"/>
          <w:sz w:val="20"/>
          <w:szCs w:val="20"/>
        </w:rPr>
      </w:pPr>
      <w:r w:rsidRPr="009732C5">
        <w:rPr>
          <w:rFonts w:ascii="Arial" w:eastAsia="Cambria" w:hAnsi="Arial" w:cs="Arial"/>
          <w:color w:val="010202"/>
          <w:sz w:val="20"/>
          <w:szCs w:val="20"/>
        </w:rPr>
        <w:t xml:space="preserve">* A BP reading is a data record which may include a systolic BP, a diastolic BP or both. </w:t>
      </w:r>
    </w:p>
    <w:p w:rsidR="009732C5" w:rsidRPr="009732C5" w:rsidRDefault="009732C5" w:rsidP="00A82CD0">
      <w:pPr>
        <w:spacing w:after="0" w:line="240" w:lineRule="auto"/>
        <w:rPr>
          <w:rFonts w:ascii="Arial" w:eastAsia="Cambria" w:hAnsi="Arial" w:cs="Arial"/>
          <w:color w:val="010202"/>
          <w:sz w:val="20"/>
          <w:szCs w:val="20"/>
        </w:rPr>
      </w:pPr>
      <w:r w:rsidRPr="009732C5">
        <w:rPr>
          <w:rFonts w:ascii="Arial" w:eastAsia="Cambria" w:hAnsi="Arial" w:cs="Arial"/>
          <w:color w:val="010202"/>
          <w:sz w:val="20"/>
          <w:szCs w:val="20"/>
        </w:rPr>
        <w:t>** Based on editing criteria of Stergiou 1998</w:t>
      </w:r>
      <w:r w:rsidR="00A04D24">
        <w:rPr>
          <w:rFonts w:ascii="Arial" w:eastAsia="Cambria" w:hAnsi="Arial" w:cs="Arial"/>
          <w:color w:val="010202"/>
          <w:sz w:val="20"/>
          <w:szCs w:val="20"/>
        </w:rPr>
        <w:t>:</w:t>
      </w:r>
      <w:r w:rsidRPr="009732C5">
        <w:rPr>
          <w:rFonts w:ascii="Arial" w:eastAsia="Cambria" w:hAnsi="Arial" w:cs="Arial"/>
          <w:color w:val="010202"/>
          <w:sz w:val="20"/>
          <w:szCs w:val="20"/>
        </w:rPr>
        <w:t xml:space="preserve"> </w:t>
      </w:r>
      <w:r w:rsidR="00A04D24">
        <w:rPr>
          <w:rFonts w:ascii="Arial" w:eastAsia="Cambria" w:hAnsi="Arial" w:cs="Arial"/>
          <w:color w:val="010202"/>
          <w:sz w:val="20"/>
          <w:szCs w:val="20"/>
        </w:rPr>
        <w:t>n</w:t>
      </w:r>
      <w:r w:rsidRPr="009732C5">
        <w:rPr>
          <w:rFonts w:ascii="Arial" w:eastAsia="Cambria" w:hAnsi="Arial" w:cs="Arial"/>
          <w:color w:val="010202"/>
          <w:sz w:val="20"/>
          <w:szCs w:val="20"/>
        </w:rPr>
        <w:t xml:space="preserve">o home BP readings were excluded for </w:t>
      </w:r>
      <w:r w:rsidR="004863B1">
        <w:rPr>
          <w:rFonts w:ascii="Arial" w:eastAsia="Cambria" w:hAnsi="Arial" w:cs="Arial"/>
          <w:color w:val="010202"/>
          <w:sz w:val="20"/>
          <w:szCs w:val="20"/>
        </w:rPr>
        <w:t>having</w:t>
      </w:r>
      <w:r w:rsidRPr="009732C5">
        <w:rPr>
          <w:rFonts w:ascii="Arial" w:eastAsia="Cambria" w:hAnsi="Arial" w:cs="Arial"/>
          <w:color w:val="010202"/>
          <w:sz w:val="20"/>
          <w:szCs w:val="20"/>
        </w:rPr>
        <w:t xml:space="preserve"> less than 4 days of home readings</w:t>
      </w:r>
      <w:r w:rsidR="00A04D24">
        <w:rPr>
          <w:rFonts w:ascii="Arial" w:eastAsia="Cambria" w:hAnsi="Arial" w:cs="Arial"/>
          <w:color w:val="010202"/>
          <w:sz w:val="20"/>
          <w:szCs w:val="20"/>
        </w:rPr>
        <w:t>. T</w:t>
      </w:r>
      <w:r w:rsidRPr="009732C5">
        <w:rPr>
          <w:rFonts w:ascii="Arial" w:eastAsia="Cambria" w:hAnsi="Arial" w:cs="Arial"/>
          <w:color w:val="010202"/>
          <w:sz w:val="20"/>
          <w:szCs w:val="20"/>
        </w:rPr>
        <w:t>esting for implausible drops in BP (&gt;50% decrease in successive readings)</w:t>
      </w:r>
      <w:r w:rsidR="00A04D24">
        <w:rPr>
          <w:rFonts w:ascii="Arial" w:eastAsia="Cambria" w:hAnsi="Arial" w:cs="Arial"/>
          <w:color w:val="010202"/>
          <w:sz w:val="20"/>
          <w:szCs w:val="20"/>
        </w:rPr>
        <w:t xml:space="preserve"> resulted in the exclusion of </w:t>
      </w:r>
      <w:r w:rsidRPr="009732C5">
        <w:rPr>
          <w:rFonts w:ascii="Arial" w:eastAsia="Cambria" w:hAnsi="Arial" w:cs="Arial"/>
          <w:color w:val="010202"/>
          <w:sz w:val="20"/>
          <w:szCs w:val="20"/>
        </w:rPr>
        <w:t>7 systolic BPs and 144 diastolic BPs</w:t>
      </w:r>
      <w:r w:rsidR="004863B1">
        <w:rPr>
          <w:rFonts w:ascii="Arial" w:eastAsia="Cambria" w:hAnsi="Arial" w:cs="Arial"/>
          <w:color w:val="010202"/>
          <w:sz w:val="20"/>
          <w:szCs w:val="20"/>
        </w:rPr>
        <w:t>,</w:t>
      </w:r>
      <w:r w:rsidRPr="009732C5">
        <w:rPr>
          <w:rFonts w:ascii="Arial" w:eastAsia="Cambria" w:hAnsi="Arial" w:cs="Arial"/>
          <w:color w:val="010202"/>
          <w:sz w:val="20"/>
          <w:szCs w:val="20"/>
        </w:rPr>
        <w:t xml:space="preserve"> but there were no readings where both systolic and diastolic BPs were excluded. </w:t>
      </w:r>
    </w:p>
    <w:p w:rsidR="009732C5" w:rsidRPr="009732C5" w:rsidRDefault="009732C5" w:rsidP="00A82CD0">
      <w:pPr>
        <w:spacing w:after="0" w:line="240" w:lineRule="auto"/>
        <w:rPr>
          <w:rFonts w:ascii="Arial" w:eastAsia="Cambria" w:hAnsi="Arial" w:cs="Arial"/>
          <w:color w:val="010202"/>
          <w:sz w:val="20"/>
          <w:szCs w:val="20"/>
        </w:rPr>
      </w:pPr>
      <w:r w:rsidRPr="009732C5">
        <w:rPr>
          <w:rFonts w:ascii="Arial" w:eastAsia="Cambria" w:hAnsi="Arial" w:cs="Arial"/>
          <w:color w:val="010202"/>
          <w:sz w:val="20"/>
          <w:szCs w:val="20"/>
        </w:rPr>
        <w:t xml:space="preserve">† Time of </w:t>
      </w:r>
      <w:r w:rsidR="00A04D24">
        <w:rPr>
          <w:rFonts w:ascii="Arial" w:eastAsia="Cambria" w:hAnsi="Arial" w:cs="Arial"/>
          <w:color w:val="010202"/>
          <w:sz w:val="20"/>
          <w:szCs w:val="20"/>
        </w:rPr>
        <w:t xml:space="preserve">BP </w:t>
      </w:r>
      <w:r w:rsidRPr="009732C5">
        <w:rPr>
          <w:rFonts w:ascii="Arial" w:eastAsia="Cambria" w:hAnsi="Arial" w:cs="Arial"/>
          <w:color w:val="010202"/>
          <w:sz w:val="20"/>
          <w:szCs w:val="20"/>
        </w:rPr>
        <w:t xml:space="preserve">readings was recorded to the nearest minute. </w:t>
      </w:r>
      <w:r w:rsidR="00A04D24">
        <w:rPr>
          <w:rFonts w:ascii="Arial" w:eastAsia="Cambria" w:hAnsi="Arial" w:cs="Arial"/>
          <w:color w:val="010202"/>
          <w:sz w:val="20"/>
          <w:szCs w:val="20"/>
        </w:rPr>
        <w:t>BP r</w:t>
      </w:r>
      <w:r w:rsidRPr="009732C5">
        <w:rPr>
          <w:rFonts w:ascii="Arial" w:eastAsia="Cambria" w:hAnsi="Arial" w:cs="Arial"/>
          <w:color w:val="010202"/>
          <w:sz w:val="20"/>
          <w:szCs w:val="20"/>
        </w:rPr>
        <w:t xml:space="preserve">eadings that had the same time were averaged. </w:t>
      </w:r>
    </w:p>
    <w:p w:rsidR="009732C5" w:rsidRPr="009732C5" w:rsidRDefault="00E53AF3" w:rsidP="00A82CD0">
      <w:pPr>
        <w:spacing w:after="0" w:line="240" w:lineRule="auto"/>
        <w:rPr>
          <w:rFonts w:ascii="Arial" w:eastAsia="Cambria" w:hAnsi="Arial" w:cs="Arial"/>
          <w:color w:val="010202"/>
          <w:sz w:val="20"/>
          <w:szCs w:val="20"/>
        </w:rPr>
      </w:pPr>
      <w:r>
        <w:rPr>
          <w:rFonts w:ascii="Calibri" w:eastAsia="Cambria" w:hAnsi="Calibri" w:cs="Arial"/>
          <w:color w:val="010202"/>
          <w:sz w:val="20"/>
          <w:szCs w:val="20"/>
        </w:rPr>
        <w:t>‡</w:t>
      </w:r>
      <w:r>
        <w:rPr>
          <w:rFonts w:ascii="Arial" w:eastAsia="Cambria" w:hAnsi="Arial" w:cs="Arial"/>
          <w:color w:val="010202"/>
          <w:sz w:val="20"/>
          <w:szCs w:val="20"/>
        </w:rPr>
        <w:t xml:space="preserve"> </w:t>
      </w:r>
      <w:r w:rsidR="009732C5" w:rsidRPr="009732C5">
        <w:rPr>
          <w:rFonts w:ascii="Arial" w:eastAsia="Cambria" w:hAnsi="Arial" w:cs="Arial"/>
          <w:color w:val="010202"/>
          <w:sz w:val="20"/>
          <w:szCs w:val="20"/>
        </w:rPr>
        <w:t xml:space="preserve">Testing for implausible BP readings (systolic BP&lt;70 or &gt;250mmHg and diastolic BP&lt;40 or &gt;150 mmHg) excluded 7 systolic BPs and 54 diastolic BPs, and there was only one reading where both the systolic and diastolic BPs were excluded. </w:t>
      </w:r>
    </w:p>
    <w:p w:rsidR="003B049F" w:rsidRPr="009732C5" w:rsidRDefault="00E53AF3" w:rsidP="00A82CD0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>
        <w:rPr>
          <w:rFonts w:ascii="Calibri" w:eastAsia="Cambria" w:hAnsi="Calibri" w:cs="Arial"/>
          <w:sz w:val="20"/>
          <w:szCs w:val="20"/>
        </w:rPr>
        <w:t xml:space="preserve">§ </w:t>
      </w:r>
      <w:r w:rsidR="009732C5" w:rsidRPr="009732C5">
        <w:rPr>
          <w:rFonts w:ascii="Arial" w:eastAsia="Cambria" w:hAnsi="Arial" w:cs="Arial"/>
          <w:color w:val="010202"/>
          <w:sz w:val="20"/>
          <w:szCs w:val="20"/>
        </w:rPr>
        <w:t>Women were asked to measure blood pressure on two occasions</w:t>
      </w:r>
      <w:r w:rsidR="004863B1">
        <w:rPr>
          <w:rFonts w:ascii="Arial" w:eastAsia="Cambria" w:hAnsi="Arial" w:cs="Arial"/>
          <w:color w:val="010202"/>
          <w:sz w:val="20"/>
          <w:szCs w:val="20"/>
        </w:rPr>
        <w:t>,</w:t>
      </w:r>
      <w:r w:rsidR="009732C5" w:rsidRPr="009732C5">
        <w:rPr>
          <w:rFonts w:ascii="Arial" w:eastAsia="Cambria" w:hAnsi="Arial" w:cs="Arial"/>
          <w:color w:val="010202"/>
          <w:sz w:val="20"/>
          <w:szCs w:val="20"/>
        </w:rPr>
        <w:t xml:space="preserve"> twice daily for three days per week and to act on the second blood pressure reading on each occasion (see supplementary Fig 2)</w:t>
      </w:r>
      <w:r w:rsidR="009732C5" w:rsidRPr="009732C5">
        <w:rPr>
          <w:rFonts w:ascii="Arial" w:eastAsia="Cambria" w:hAnsi="Arial" w:cs="Arial"/>
          <w:sz w:val="20"/>
          <w:szCs w:val="20"/>
        </w:rPr>
        <w:t xml:space="preserve"> </w:t>
      </w:r>
    </w:p>
    <w:sectPr w:rsidR="003B049F" w:rsidRPr="009732C5" w:rsidSect="00187D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D5" w:rsidRDefault="00746DD5">
      <w:pPr>
        <w:spacing w:after="0" w:line="240" w:lineRule="auto"/>
      </w:pPr>
      <w:r>
        <w:separator/>
      </w:r>
    </w:p>
  </w:endnote>
  <w:endnote w:type="continuationSeparator" w:id="0">
    <w:p w:rsidR="00746DD5" w:rsidRDefault="0074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524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E40" w:rsidRDefault="00BD4C60">
        <w:pPr>
          <w:pStyle w:val="Footer"/>
          <w:jc w:val="right"/>
        </w:pPr>
        <w:r>
          <w:fldChar w:fldCharType="begin"/>
        </w:r>
        <w:r w:rsidR="009732C5">
          <w:instrText xml:space="preserve"> PAGE   \* MERGEFORMAT </w:instrText>
        </w:r>
        <w:r>
          <w:fldChar w:fldCharType="separate"/>
        </w:r>
        <w:r w:rsidR="00022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E40" w:rsidRDefault="00746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D5" w:rsidRDefault="00746DD5">
      <w:pPr>
        <w:spacing w:after="0" w:line="240" w:lineRule="auto"/>
      </w:pPr>
      <w:r>
        <w:separator/>
      </w:r>
    </w:p>
  </w:footnote>
  <w:footnote w:type="continuationSeparator" w:id="0">
    <w:p w:rsidR="00746DD5" w:rsidRDefault="00746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0"/>
  </w:docVars>
  <w:rsids>
    <w:rsidRoot w:val="009732C5"/>
    <w:rsid w:val="00022021"/>
    <w:rsid w:val="00110942"/>
    <w:rsid w:val="00164B0D"/>
    <w:rsid w:val="001F3D96"/>
    <w:rsid w:val="003E5BC8"/>
    <w:rsid w:val="004863B1"/>
    <w:rsid w:val="00592191"/>
    <w:rsid w:val="005E1C29"/>
    <w:rsid w:val="00746DD5"/>
    <w:rsid w:val="0079047D"/>
    <w:rsid w:val="007F776D"/>
    <w:rsid w:val="008512CA"/>
    <w:rsid w:val="009732C5"/>
    <w:rsid w:val="009A66AF"/>
    <w:rsid w:val="00A04D24"/>
    <w:rsid w:val="00A82CD0"/>
    <w:rsid w:val="00AA3817"/>
    <w:rsid w:val="00BD4C60"/>
    <w:rsid w:val="00D45531"/>
    <w:rsid w:val="00E53AF3"/>
    <w:rsid w:val="00E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2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C5"/>
  </w:style>
  <w:style w:type="paragraph" w:styleId="BalloonText">
    <w:name w:val="Balloon Text"/>
    <w:basedOn w:val="Normal"/>
    <w:link w:val="BalloonTextChar"/>
    <w:uiPriority w:val="99"/>
    <w:semiHidden/>
    <w:unhideWhenUsed/>
    <w:rsid w:val="000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851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Louise Tucker</dc:creator>
  <cp:keywords/>
  <dc:description/>
  <cp:lastModifiedBy>AVILAR</cp:lastModifiedBy>
  <cp:revision>4</cp:revision>
  <dcterms:created xsi:type="dcterms:W3CDTF">2017-02-09T10:54:00Z</dcterms:created>
  <dcterms:modified xsi:type="dcterms:W3CDTF">2017-12-02T11:12:00Z</dcterms:modified>
</cp:coreProperties>
</file>