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A8" w:rsidRPr="0097238C" w:rsidRDefault="00F414A8" w:rsidP="00F414A8">
      <w:r w:rsidRPr="0097238C">
        <w:t>Supplemental Table 5 Crude and adjusted ORs of maternal education, psychological distress, and household income without 2-y outcomes</w:t>
      </w:r>
    </w:p>
    <w:tbl>
      <w:tblPr>
        <w:tblW w:w="5000" w:type="pct"/>
        <w:tblCellMar>
          <w:left w:w="99" w:type="dxa"/>
          <w:right w:w="99" w:type="dxa"/>
        </w:tblCellMar>
        <w:tblLook w:val="04A0" w:firstRow="1" w:lastRow="0" w:firstColumn="1" w:lastColumn="0" w:noHBand="0" w:noVBand="1"/>
      </w:tblPr>
      <w:tblGrid>
        <w:gridCol w:w="2116"/>
        <w:gridCol w:w="843"/>
        <w:gridCol w:w="431"/>
        <w:gridCol w:w="432"/>
        <w:gridCol w:w="239"/>
        <w:gridCol w:w="432"/>
        <w:gridCol w:w="498"/>
        <w:gridCol w:w="202"/>
        <w:gridCol w:w="432"/>
        <w:gridCol w:w="529"/>
        <w:gridCol w:w="239"/>
        <w:gridCol w:w="432"/>
        <w:gridCol w:w="498"/>
        <w:gridCol w:w="202"/>
        <w:gridCol w:w="432"/>
        <w:gridCol w:w="432"/>
        <w:gridCol w:w="239"/>
        <w:gridCol w:w="432"/>
        <w:gridCol w:w="498"/>
      </w:tblGrid>
      <w:tr w:rsidR="00F414A8" w:rsidRPr="0097238C" w:rsidTr="00F414A8">
        <w:trPr>
          <w:trHeight w:val="375"/>
        </w:trPr>
        <w:tc>
          <w:tcPr>
            <w:tcW w:w="687" w:type="pct"/>
            <w:tcBorders>
              <w:top w:val="single" w:sz="4" w:space="0" w:color="auto"/>
              <w:left w:val="nil"/>
              <w:bottom w:val="nil"/>
              <w:right w:val="nil"/>
            </w:tcBorders>
            <w:shd w:val="clear" w:color="auto" w:fill="auto"/>
            <w:noWrap/>
            <w:vAlign w:val="center"/>
            <w:hideMark/>
          </w:tcPr>
          <w:p w:rsidR="00F414A8" w:rsidRPr="0097238C" w:rsidRDefault="00F414A8" w:rsidP="005D43BF">
            <w:pPr>
              <w:rPr>
                <w:rFonts w:eastAsia="游ゴシック"/>
              </w:rPr>
            </w:pPr>
            <w:bookmarkStart w:id="0" w:name="_GoBack"/>
            <w:r w:rsidRPr="0097238C">
              <w:rPr>
                <w:rFonts w:eastAsia="游ゴシック"/>
              </w:rPr>
              <w:t xml:space="preserve">　</w:t>
            </w:r>
          </w:p>
        </w:tc>
        <w:tc>
          <w:tcPr>
            <w:tcW w:w="438" w:type="pct"/>
            <w:tcBorders>
              <w:top w:val="single" w:sz="4" w:space="0" w:color="auto"/>
              <w:left w:val="nil"/>
              <w:bottom w:val="nil"/>
              <w:right w:val="nil"/>
            </w:tcBorders>
            <w:shd w:val="clear" w:color="auto" w:fill="auto"/>
            <w:noWrap/>
            <w:vAlign w:val="center"/>
            <w:hideMark/>
          </w:tcPr>
          <w:p w:rsidR="00F414A8" w:rsidRPr="0097238C" w:rsidRDefault="00F414A8" w:rsidP="005D43BF">
            <w:pPr>
              <w:rPr>
                <w:rFonts w:eastAsia="游ゴシック"/>
              </w:rPr>
            </w:pPr>
            <w:r w:rsidRPr="0097238C">
              <w:rPr>
                <w:rFonts w:eastAsia="游ゴシック"/>
              </w:rPr>
              <w:t xml:space="preserve">　</w:t>
            </w:r>
          </w:p>
        </w:tc>
        <w:tc>
          <w:tcPr>
            <w:tcW w:w="1232" w:type="pct"/>
            <w:gridSpan w:val="5"/>
            <w:tcBorders>
              <w:top w:val="single" w:sz="4" w:space="0" w:color="auto"/>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Crude</w:t>
            </w:r>
          </w:p>
        </w:tc>
        <w:tc>
          <w:tcPr>
            <w:tcW w:w="77" w:type="pct"/>
            <w:tcBorders>
              <w:top w:val="single" w:sz="4" w:space="0" w:color="auto"/>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　</w:t>
            </w:r>
          </w:p>
        </w:tc>
        <w:tc>
          <w:tcPr>
            <w:tcW w:w="1236" w:type="pct"/>
            <w:gridSpan w:val="5"/>
            <w:tcBorders>
              <w:top w:val="single" w:sz="4" w:space="0" w:color="auto"/>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Model 1</w:t>
            </w:r>
          </w:p>
        </w:tc>
        <w:tc>
          <w:tcPr>
            <w:tcW w:w="77" w:type="pct"/>
            <w:tcBorders>
              <w:top w:val="single" w:sz="4" w:space="0" w:color="auto"/>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　</w:t>
            </w:r>
          </w:p>
        </w:tc>
        <w:tc>
          <w:tcPr>
            <w:tcW w:w="1253" w:type="pct"/>
            <w:gridSpan w:val="5"/>
            <w:tcBorders>
              <w:top w:val="single" w:sz="4" w:space="0" w:color="auto"/>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Model 2</w:t>
            </w:r>
          </w:p>
        </w:tc>
      </w:tr>
      <w:tr w:rsidR="00F414A8" w:rsidRPr="0097238C" w:rsidTr="00F414A8">
        <w:trPr>
          <w:trHeight w:val="375"/>
        </w:trPr>
        <w:tc>
          <w:tcPr>
            <w:tcW w:w="687" w:type="pct"/>
            <w:tcBorders>
              <w:top w:val="single" w:sz="4" w:space="0" w:color="auto"/>
              <w:left w:val="nil"/>
              <w:bottom w:val="single" w:sz="4" w:space="0" w:color="auto"/>
              <w:right w:val="nil"/>
            </w:tcBorders>
            <w:shd w:val="clear" w:color="auto" w:fill="auto"/>
            <w:noWrap/>
            <w:vAlign w:val="center"/>
            <w:hideMark/>
          </w:tcPr>
          <w:p w:rsidR="00F414A8" w:rsidRPr="0097238C" w:rsidRDefault="00F414A8" w:rsidP="005D43BF">
            <w:pPr>
              <w:rPr>
                <w:rFonts w:eastAsia="游ゴシック"/>
              </w:rPr>
            </w:pPr>
            <w:r w:rsidRPr="0097238C">
              <w:rPr>
                <w:rFonts w:eastAsia="游ゴシック"/>
              </w:rPr>
              <w:t xml:space="preserve">　</w:t>
            </w:r>
          </w:p>
        </w:tc>
        <w:tc>
          <w:tcPr>
            <w:tcW w:w="438" w:type="pct"/>
            <w:tcBorders>
              <w:top w:val="single" w:sz="4" w:space="0" w:color="auto"/>
              <w:left w:val="nil"/>
              <w:bottom w:val="single" w:sz="4" w:space="0" w:color="auto"/>
              <w:right w:val="nil"/>
            </w:tcBorders>
            <w:shd w:val="clear" w:color="auto" w:fill="auto"/>
            <w:noWrap/>
            <w:vAlign w:val="center"/>
            <w:hideMark/>
          </w:tcPr>
          <w:p w:rsidR="00F414A8" w:rsidRPr="0097238C" w:rsidRDefault="00F414A8" w:rsidP="005D43BF">
            <w:pPr>
              <w:rPr>
                <w:rFonts w:eastAsia="游ゴシック"/>
              </w:rPr>
            </w:pPr>
            <w:r w:rsidRPr="0097238C">
              <w:rPr>
                <w:rFonts w:eastAsia="游ゴシック"/>
              </w:rPr>
              <w:t>Proportion*</w:t>
            </w:r>
          </w:p>
        </w:tc>
        <w:tc>
          <w:tcPr>
            <w:tcW w:w="271"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OR</w:t>
            </w:r>
          </w:p>
        </w:tc>
        <w:tc>
          <w:tcPr>
            <w:tcW w:w="618" w:type="pct"/>
            <w:gridSpan w:val="3"/>
            <w:tcBorders>
              <w:top w:val="single" w:sz="4" w:space="0" w:color="auto"/>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95%CI</w:t>
            </w:r>
          </w:p>
        </w:tc>
        <w:tc>
          <w:tcPr>
            <w:tcW w:w="343"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P</w:t>
            </w:r>
          </w:p>
        </w:tc>
        <w:tc>
          <w:tcPr>
            <w:tcW w:w="77"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　</w:t>
            </w:r>
          </w:p>
        </w:tc>
        <w:tc>
          <w:tcPr>
            <w:tcW w:w="236"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OR</w:t>
            </w:r>
          </w:p>
        </w:tc>
        <w:tc>
          <w:tcPr>
            <w:tcW w:w="379"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95%CI</w:t>
            </w:r>
          </w:p>
        </w:tc>
        <w:tc>
          <w:tcPr>
            <w:tcW w:w="77"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　</w:t>
            </w:r>
          </w:p>
        </w:tc>
        <w:tc>
          <w:tcPr>
            <w:tcW w:w="241"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　</w:t>
            </w:r>
          </w:p>
        </w:tc>
        <w:tc>
          <w:tcPr>
            <w:tcW w:w="304"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P</w:t>
            </w:r>
          </w:p>
        </w:tc>
        <w:tc>
          <w:tcPr>
            <w:tcW w:w="77"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　</w:t>
            </w:r>
          </w:p>
        </w:tc>
        <w:tc>
          <w:tcPr>
            <w:tcW w:w="276"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OR</w:t>
            </w:r>
          </w:p>
        </w:tc>
        <w:tc>
          <w:tcPr>
            <w:tcW w:w="628" w:type="pct"/>
            <w:gridSpan w:val="3"/>
            <w:tcBorders>
              <w:top w:val="single" w:sz="4" w:space="0" w:color="auto"/>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95%CI</w:t>
            </w:r>
          </w:p>
        </w:tc>
        <w:tc>
          <w:tcPr>
            <w:tcW w:w="349"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P</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5D43BF">
            <w:pPr>
              <w:rPr>
                <w:rFonts w:eastAsia="游ゴシック"/>
              </w:rPr>
            </w:pPr>
            <w:r w:rsidRPr="0097238C">
              <w:rPr>
                <w:rFonts w:eastAsia="游ゴシック"/>
              </w:rPr>
              <w:t>Mother’s education</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rPr>
                <w:rFonts w:eastAsia="游ゴシック"/>
              </w:rPr>
            </w:pPr>
          </w:p>
        </w:tc>
        <w:tc>
          <w:tcPr>
            <w:tcW w:w="271" w:type="pct"/>
            <w:tcBorders>
              <w:top w:val="nil"/>
              <w:left w:val="nil"/>
              <w:bottom w:val="nil"/>
              <w:right w:val="nil"/>
            </w:tcBorders>
            <w:shd w:val="clear" w:color="auto" w:fill="auto"/>
            <w:noWrap/>
            <w:vAlign w:val="center"/>
            <w:hideMark/>
          </w:tcPr>
          <w:p w:rsidR="00F414A8" w:rsidRPr="0097238C" w:rsidRDefault="00F414A8" w:rsidP="005D43BF"/>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pP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EDC1</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4.9%</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1.24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0.92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1.67 </w:t>
            </w: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0.164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1.08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0.76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1.54 </w:t>
            </w: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0.657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1.08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0.76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1.53 </w:t>
            </w: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0.668 </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EDC2</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31.5%</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0.99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0.83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1.19 </w:t>
            </w: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0.935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0.90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0.73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1.11 </w:t>
            </w: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0.334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0.90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0.73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1.11 </w:t>
            </w: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0.332 </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EDC3</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42.0%</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0.85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1.18 </w:t>
            </w: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1.000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0.96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0.80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1.15 </w:t>
            </w: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0.665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0.96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0.80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1.15 </w:t>
            </w: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0.666 </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EDC4</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21.7%</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pPr>
          </w:p>
        </w:tc>
      </w:tr>
      <w:tr w:rsidR="00F414A8" w:rsidRPr="0097238C" w:rsidTr="00F414A8">
        <w:trPr>
          <w:trHeight w:val="375"/>
        </w:trPr>
        <w:tc>
          <w:tcPr>
            <w:tcW w:w="1396" w:type="pct"/>
            <w:gridSpan w:val="3"/>
            <w:tcBorders>
              <w:top w:val="nil"/>
              <w:left w:val="nil"/>
              <w:bottom w:val="nil"/>
              <w:right w:val="nil"/>
            </w:tcBorders>
            <w:shd w:val="clear" w:color="auto" w:fill="auto"/>
            <w:noWrap/>
            <w:vAlign w:val="center"/>
            <w:hideMark/>
          </w:tcPr>
          <w:p w:rsidR="00F414A8" w:rsidRPr="0097238C" w:rsidRDefault="00F414A8" w:rsidP="005D43BF">
            <w:pPr>
              <w:rPr>
                <w:rFonts w:eastAsia="游ゴシック"/>
              </w:rPr>
            </w:pPr>
            <w:r w:rsidRPr="0097238C">
              <w:rPr>
                <w:rFonts w:eastAsia="游ゴシック"/>
              </w:rPr>
              <w:t>Household income (10 thousand yen/year)</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pP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-199</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5.9%</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0.98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0.66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1.45 </w:t>
            </w: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0.918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0.93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0.61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1.41 </w:t>
            </w: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0.728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0.93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0.61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1.41 </w:t>
            </w: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0.725 </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200-399</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35.0%</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0.91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0.67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1.24 </w:t>
            </w: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0.548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0.93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0.67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1.29 </w:t>
            </w: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0.661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0.93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0.67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1.29 </w:t>
            </w: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0.659 </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400-599</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32.7%</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0.86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0.63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1.17 </w:t>
            </w: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0.337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0.89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0.65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1.22 </w:t>
            </w: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0.472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0.89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0.65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1.22 </w:t>
            </w: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0.473 </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600-799</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15.7%</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0.85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0.61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1.20 </w:t>
            </w: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0.364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0.88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0.63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1.24 </w:t>
            </w: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0.466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0.88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0.63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1.24 </w:t>
            </w: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0.468 </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800-999</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6.5%</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0.72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0.48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1.08 </w:t>
            </w: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0.116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0.74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0.50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1.11 </w:t>
            </w: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0.149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0.74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0.50 </w:t>
            </w: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1.11 </w:t>
            </w: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0.150 </w:t>
            </w: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1000-</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4.2%</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pP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5D43BF">
            <w:pPr>
              <w:rPr>
                <w:rFonts w:eastAsia="游ゴシック"/>
              </w:rPr>
            </w:pPr>
            <w:r w:rsidRPr="0097238C">
              <w:rPr>
                <w:rFonts w:eastAsia="游ゴシック"/>
              </w:rPr>
              <w:t>Psychological distress in the mother</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rPr>
                <w:rFonts w:eastAsia="游ゴシック"/>
              </w:rPr>
            </w:pP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pPr>
          </w:p>
        </w:tc>
      </w:tr>
      <w:tr w:rsidR="00F414A8" w:rsidRPr="0097238C" w:rsidTr="00F414A8">
        <w:trPr>
          <w:trHeight w:val="375"/>
        </w:trPr>
        <w:tc>
          <w:tcPr>
            <w:tcW w:w="687" w:type="pct"/>
            <w:tcBorders>
              <w:top w:val="nil"/>
              <w:left w:val="nil"/>
              <w:bottom w:val="nil"/>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No</w:t>
            </w:r>
          </w:p>
        </w:tc>
        <w:tc>
          <w:tcPr>
            <w:tcW w:w="438"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96.4%</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3"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3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379"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41"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04"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 xml:space="preserve">1.00 </w:t>
            </w: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rPr>
                <w:rFonts w:eastAsia="游ゴシック"/>
              </w:rPr>
            </w:pPr>
          </w:p>
        </w:tc>
        <w:tc>
          <w:tcPr>
            <w:tcW w:w="77"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276" w:type="pct"/>
            <w:tcBorders>
              <w:top w:val="nil"/>
              <w:left w:val="nil"/>
              <w:bottom w:val="nil"/>
              <w:right w:val="nil"/>
            </w:tcBorders>
            <w:shd w:val="clear" w:color="auto" w:fill="auto"/>
            <w:noWrap/>
            <w:vAlign w:val="center"/>
            <w:hideMark/>
          </w:tcPr>
          <w:p w:rsidR="00F414A8" w:rsidRPr="0097238C" w:rsidRDefault="00F414A8" w:rsidP="005D43BF">
            <w:pPr>
              <w:jc w:val="center"/>
            </w:pPr>
          </w:p>
        </w:tc>
        <w:tc>
          <w:tcPr>
            <w:tcW w:w="349" w:type="pct"/>
            <w:tcBorders>
              <w:top w:val="nil"/>
              <w:left w:val="nil"/>
              <w:bottom w:val="nil"/>
              <w:right w:val="nil"/>
            </w:tcBorders>
            <w:shd w:val="clear" w:color="auto" w:fill="auto"/>
            <w:noWrap/>
            <w:vAlign w:val="center"/>
            <w:hideMark/>
          </w:tcPr>
          <w:p w:rsidR="00F414A8" w:rsidRPr="0097238C" w:rsidRDefault="00F414A8" w:rsidP="005D43BF">
            <w:pPr>
              <w:jc w:val="center"/>
            </w:pPr>
          </w:p>
        </w:tc>
      </w:tr>
      <w:tr w:rsidR="00F414A8" w:rsidRPr="0097238C" w:rsidTr="00F414A8">
        <w:trPr>
          <w:trHeight w:val="265"/>
        </w:trPr>
        <w:tc>
          <w:tcPr>
            <w:tcW w:w="687" w:type="pct"/>
            <w:tcBorders>
              <w:top w:val="nil"/>
              <w:left w:val="nil"/>
              <w:bottom w:val="single" w:sz="4" w:space="0" w:color="auto"/>
              <w:right w:val="nil"/>
            </w:tcBorders>
            <w:shd w:val="clear" w:color="auto" w:fill="auto"/>
            <w:noWrap/>
            <w:vAlign w:val="center"/>
            <w:hideMark/>
          </w:tcPr>
          <w:p w:rsidR="00F414A8" w:rsidRPr="0097238C" w:rsidRDefault="00F414A8" w:rsidP="00F414A8">
            <w:pPr>
              <w:ind w:firstLineChars="100" w:firstLine="220"/>
              <w:rPr>
                <w:rFonts w:eastAsia="游ゴシック"/>
              </w:rPr>
            </w:pPr>
            <w:r w:rsidRPr="0097238C">
              <w:rPr>
                <w:rFonts w:eastAsia="游ゴシック"/>
              </w:rPr>
              <w:t>Yes</w:t>
            </w:r>
          </w:p>
        </w:tc>
        <w:tc>
          <w:tcPr>
            <w:tcW w:w="438"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3.6%</w:t>
            </w:r>
          </w:p>
        </w:tc>
        <w:tc>
          <w:tcPr>
            <w:tcW w:w="271"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1.</w:t>
            </w:r>
            <w:r w:rsidRPr="0097238C">
              <w:rPr>
                <w:rFonts w:eastAsia="游ゴシック"/>
              </w:rPr>
              <w:lastRenderedPageBreak/>
              <w:t>39</w:t>
            </w:r>
          </w:p>
        </w:tc>
        <w:tc>
          <w:tcPr>
            <w:tcW w:w="271"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lastRenderedPageBreak/>
              <w:t>1.</w:t>
            </w:r>
            <w:r w:rsidRPr="0097238C">
              <w:rPr>
                <w:rFonts w:eastAsia="游ゴシック"/>
              </w:rPr>
              <w:lastRenderedPageBreak/>
              <w:t>03</w:t>
            </w:r>
          </w:p>
        </w:tc>
        <w:tc>
          <w:tcPr>
            <w:tcW w:w="77" w:type="pct"/>
            <w:tcBorders>
              <w:top w:val="nil"/>
              <w:left w:val="nil"/>
              <w:bottom w:val="single" w:sz="4" w:space="0" w:color="auto"/>
              <w:right w:val="nil"/>
            </w:tcBorders>
            <w:shd w:val="clear" w:color="auto" w:fill="auto"/>
            <w:noWrap/>
            <w:vAlign w:val="center"/>
          </w:tcPr>
          <w:p w:rsidR="00F414A8" w:rsidRPr="0097238C" w:rsidRDefault="00F414A8" w:rsidP="005D43BF">
            <w:pPr>
              <w:rPr>
                <w:rFonts w:eastAsia="游ゴシック"/>
              </w:rPr>
            </w:pPr>
            <w:r w:rsidRPr="0097238C">
              <w:rPr>
                <w:rFonts w:eastAsia="游ゴシック"/>
              </w:rPr>
              <w:lastRenderedPageBreak/>
              <w:t>-</w:t>
            </w:r>
          </w:p>
        </w:tc>
        <w:tc>
          <w:tcPr>
            <w:tcW w:w="271"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1.</w:t>
            </w:r>
            <w:r w:rsidRPr="0097238C">
              <w:rPr>
                <w:rFonts w:eastAsia="游ゴシック"/>
              </w:rPr>
              <w:lastRenderedPageBreak/>
              <w:t>87</w:t>
            </w:r>
          </w:p>
        </w:tc>
        <w:tc>
          <w:tcPr>
            <w:tcW w:w="343"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lastRenderedPageBreak/>
              <w:t>0.0</w:t>
            </w:r>
            <w:r w:rsidRPr="0097238C">
              <w:rPr>
                <w:rFonts w:eastAsia="游ゴシック"/>
              </w:rPr>
              <w:lastRenderedPageBreak/>
              <w:t>29</w:t>
            </w:r>
          </w:p>
        </w:tc>
        <w:tc>
          <w:tcPr>
            <w:tcW w:w="77"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p>
        </w:tc>
        <w:tc>
          <w:tcPr>
            <w:tcW w:w="236"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1.</w:t>
            </w:r>
            <w:r w:rsidRPr="0097238C">
              <w:rPr>
                <w:rFonts w:eastAsia="游ゴシック"/>
              </w:rPr>
              <w:lastRenderedPageBreak/>
              <w:t>32</w:t>
            </w:r>
          </w:p>
        </w:tc>
        <w:tc>
          <w:tcPr>
            <w:tcW w:w="379"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lastRenderedPageBreak/>
              <w:t>0.9</w:t>
            </w:r>
            <w:r w:rsidRPr="0097238C">
              <w:rPr>
                <w:rFonts w:eastAsia="游ゴシック"/>
              </w:rPr>
              <w:lastRenderedPageBreak/>
              <w:t xml:space="preserve">8 </w:t>
            </w:r>
          </w:p>
        </w:tc>
        <w:tc>
          <w:tcPr>
            <w:tcW w:w="77"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lastRenderedPageBreak/>
              <w:t>-</w:t>
            </w:r>
          </w:p>
        </w:tc>
        <w:tc>
          <w:tcPr>
            <w:tcW w:w="241"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1.</w:t>
            </w:r>
            <w:r w:rsidRPr="0097238C">
              <w:rPr>
                <w:rFonts w:eastAsia="游ゴシック"/>
              </w:rPr>
              <w:lastRenderedPageBreak/>
              <w:t xml:space="preserve">79 </w:t>
            </w:r>
          </w:p>
        </w:tc>
        <w:tc>
          <w:tcPr>
            <w:tcW w:w="304"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lastRenderedPageBreak/>
              <w:t>0.0</w:t>
            </w:r>
            <w:r w:rsidRPr="0097238C">
              <w:rPr>
                <w:rFonts w:eastAsia="游ゴシック"/>
              </w:rPr>
              <w:lastRenderedPageBreak/>
              <w:t>66</w:t>
            </w:r>
          </w:p>
        </w:tc>
        <w:tc>
          <w:tcPr>
            <w:tcW w:w="77"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p>
        </w:tc>
        <w:tc>
          <w:tcPr>
            <w:tcW w:w="276"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1.</w:t>
            </w:r>
            <w:r w:rsidRPr="0097238C">
              <w:rPr>
                <w:rFonts w:eastAsia="游ゴシック"/>
              </w:rPr>
              <w:lastRenderedPageBreak/>
              <w:t>31</w:t>
            </w:r>
          </w:p>
        </w:tc>
        <w:tc>
          <w:tcPr>
            <w:tcW w:w="276"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lastRenderedPageBreak/>
              <w:t>0.</w:t>
            </w:r>
            <w:r w:rsidRPr="0097238C">
              <w:rPr>
                <w:rFonts w:eastAsia="游ゴシック"/>
              </w:rPr>
              <w:lastRenderedPageBreak/>
              <w:t>97</w:t>
            </w:r>
          </w:p>
        </w:tc>
        <w:tc>
          <w:tcPr>
            <w:tcW w:w="77"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lastRenderedPageBreak/>
              <w:t>-</w:t>
            </w:r>
          </w:p>
        </w:tc>
        <w:tc>
          <w:tcPr>
            <w:tcW w:w="276"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t>1.</w:t>
            </w:r>
            <w:r w:rsidRPr="0097238C">
              <w:rPr>
                <w:rFonts w:eastAsia="游ゴシック"/>
              </w:rPr>
              <w:lastRenderedPageBreak/>
              <w:t xml:space="preserve">77 </w:t>
            </w:r>
          </w:p>
        </w:tc>
        <w:tc>
          <w:tcPr>
            <w:tcW w:w="349" w:type="pct"/>
            <w:tcBorders>
              <w:top w:val="nil"/>
              <w:left w:val="nil"/>
              <w:bottom w:val="single" w:sz="4" w:space="0" w:color="auto"/>
              <w:right w:val="nil"/>
            </w:tcBorders>
            <w:shd w:val="clear" w:color="auto" w:fill="auto"/>
            <w:noWrap/>
            <w:vAlign w:val="center"/>
            <w:hideMark/>
          </w:tcPr>
          <w:p w:rsidR="00F414A8" w:rsidRPr="0097238C" w:rsidRDefault="00F414A8" w:rsidP="005D43BF">
            <w:pPr>
              <w:jc w:val="center"/>
              <w:rPr>
                <w:rFonts w:eastAsia="游ゴシック"/>
              </w:rPr>
            </w:pPr>
            <w:r w:rsidRPr="0097238C">
              <w:rPr>
                <w:rFonts w:eastAsia="游ゴシック"/>
              </w:rPr>
              <w:lastRenderedPageBreak/>
              <w:t>0.0</w:t>
            </w:r>
            <w:r w:rsidRPr="0097238C">
              <w:rPr>
                <w:rFonts w:eastAsia="游ゴシック"/>
              </w:rPr>
              <w:lastRenderedPageBreak/>
              <w:t xml:space="preserve">80 </w:t>
            </w:r>
          </w:p>
        </w:tc>
      </w:tr>
    </w:tbl>
    <w:bookmarkEnd w:id="0"/>
    <w:p w:rsidR="00F414A8" w:rsidRPr="0097238C" w:rsidRDefault="00F414A8" w:rsidP="00F414A8">
      <w:pPr>
        <w:adjustRightInd w:val="0"/>
        <w:snapToGrid w:val="0"/>
      </w:pPr>
      <w:r w:rsidRPr="0097238C">
        <w:lastRenderedPageBreak/>
        <w:t>EDC1: junior high school, EDC2: high school, EDC3: technical junior college, technical/vocational college, or EDC4: associate degree bachelor’s degree or postgraduate degree.</w:t>
      </w:r>
    </w:p>
    <w:p w:rsidR="00F414A8" w:rsidRPr="0097238C" w:rsidRDefault="00F414A8" w:rsidP="00F414A8">
      <w:pPr>
        <w:adjustRightInd w:val="0"/>
        <w:snapToGrid w:val="0"/>
      </w:pPr>
      <w:r w:rsidRPr="0097238C">
        <w:t>(Multiple imputation, N=93,269)</w:t>
      </w:r>
      <w:r w:rsidRPr="0097238C">
        <w:tab/>
      </w:r>
      <w:r w:rsidRPr="0097238C">
        <w:tab/>
      </w:r>
    </w:p>
    <w:p w:rsidR="00F414A8" w:rsidRPr="0097238C" w:rsidRDefault="00F414A8" w:rsidP="00F414A8">
      <w:r w:rsidRPr="0097238C">
        <w:t xml:space="preserve">*Mean proportion of each category in </w:t>
      </w:r>
      <w:r w:rsidRPr="0097238C">
        <w:rPr>
          <w:rFonts w:eastAsia="MS Mincho"/>
        </w:rPr>
        <w:t xml:space="preserve">the imputed 25 </w:t>
      </w:r>
      <w:r w:rsidRPr="0097238C">
        <w:t>datasets</w:t>
      </w:r>
    </w:p>
    <w:p w:rsidR="00F414A8" w:rsidRPr="0097238C" w:rsidRDefault="00F414A8" w:rsidP="00F414A8">
      <w:r w:rsidRPr="0097238C">
        <w:t>Model 1: All listed variables, maternal age, mother BMI, father education, marital status, mother drinking habit, mother smoking, paternal smoking, parity, infant sex, plurality, fertility treatment, hypertensive disorder during pregnancy, thyroid diseases during pregnancy, diabetes mellitus/gestational diabetes during pregnancy, folic acid supplementation during early pregnancy, and mother congenital heart diseases are introduced.</w:t>
      </w:r>
      <w:r w:rsidRPr="0097238C">
        <w:tab/>
      </w:r>
      <w:r w:rsidRPr="0097238C">
        <w:tab/>
      </w:r>
    </w:p>
    <w:p w:rsidR="00F414A8" w:rsidRPr="0097238C" w:rsidRDefault="00F414A8" w:rsidP="00F414A8">
      <w:r w:rsidRPr="0097238C">
        <w:t>Model 2: All the variables in Model 1 and anti-depressant intake are introduced.</w:t>
      </w:r>
    </w:p>
    <w:p w:rsidR="009D6D5B" w:rsidRPr="00F414A8" w:rsidRDefault="009D6D5B" w:rsidP="00F414A8"/>
    <w:sectPr w:rsidR="009D6D5B" w:rsidRPr="00F4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charset w:val="80"/>
    <w:family w:val="modern"/>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F3"/>
    <w:rsid w:val="00010D2A"/>
    <w:rsid w:val="00014FEB"/>
    <w:rsid w:val="00017705"/>
    <w:rsid w:val="000210C9"/>
    <w:rsid w:val="00023218"/>
    <w:rsid w:val="00031558"/>
    <w:rsid w:val="0005288D"/>
    <w:rsid w:val="00057C5F"/>
    <w:rsid w:val="00057D60"/>
    <w:rsid w:val="00070E28"/>
    <w:rsid w:val="00076F62"/>
    <w:rsid w:val="00080E1C"/>
    <w:rsid w:val="000922CE"/>
    <w:rsid w:val="0009796D"/>
    <w:rsid w:val="000A05AE"/>
    <w:rsid w:val="000A2561"/>
    <w:rsid w:val="000A2F21"/>
    <w:rsid w:val="000B0D1D"/>
    <w:rsid w:val="000B1FDE"/>
    <w:rsid w:val="000C2EA4"/>
    <w:rsid w:val="000C3EF8"/>
    <w:rsid w:val="000C4464"/>
    <w:rsid w:val="000C7B5C"/>
    <w:rsid w:val="000D2810"/>
    <w:rsid w:val="000E0C40"/>
    <w:rsid w:val="000E373E"/>
    <w:rsid w:val="000F1854"/>
    <w:rsid w:val="000F25F5"/>
    <w:rsid w:val="0010038B"/>
    <w:rsid w:val="001070AB"/>
    <w:rsid w:val="00115D2A"/>
    <w:rsid w:val="00120E28"/>
    <w:rsid w:val="0012435D"/>
    <w:rsid w:val="00136906"/>
    <w:rsid w:val="0015464C"/>
    <w:rsid w:val="00156775"/>
    <w:rsid w:val="001602DB"/>
    <w:rsid w:val="0016163E"/>
    <w:rsid w:val="001655DA"/>
    <w:rsid w:val="00175618"/>
    <w:rsid w:val="0018240C"/>
    <w:rsid w:val="00191E11"/>
    <w:rsid w:val="001A57FA"/>
    <w:rsid w:val="001B13F0"/>
    <w:rsid w:val="001C396E"/>
    <w:rsid w:val="001C54ED"/>
    <w:rsid w:val="001C65A3"/>
    <w:rsid w:val="001E2071"/>
    <w:rsid w:val="001E74AB"/>
    <w:rsid w:val="001F63AF"/>
    <w:rsid w:val="00204FEA"/>
    <w:rsid w:val="00206BD2"/>
    <w:rsid w:val="00227A3D"/>
    <w:rsid w:val="00237794"/>
    <w:rsid w:val="00241735"/>
    <w:rsid w:val="00243385"/>
    <w:rsid w:val="0026380E"/>
    <w:rsid w:val="0026695A"/>
    <w:rsid w:val="00272AA8"/>
    <w:rsid w:val="00283D84"/>
    <w:rsid w:val="0029397B"/>
    <w:rsid w:val="00297F91"/>
    <w:rsid w:val="002A2D82"/>
    <w:rsid w:val="002A3E8B"/>
    <w:rsid w:val="002B2C94"/>
    <w:rsid w:val="002C26AB"/>
    <w:rsid w:val="002C706B"/>
    <w:rsid w:val="002C7D6B"/>
    <w:rsid w:val="002D39CF"/>
    <w:rsid w:val="002E0048"/>
    <w:rsid w:val="002E2D57"/>
    <w:rsid w:val="002E6388"/>
    <w:rsid w:val="002E66F0"/>
    <w:rsid w:val="002F381F"/>
    <w:rsid w:val="00302C43"/>
    <w:rsid w:val="00304939"/>
    <w:rsid w:val="00305723"/>
    <w:rsid w:val="00314B7E"/>
    <w:rsid w:val="00330774"/>
    <w:rsid w:val="00334813"/>
    <w:rsid w:val="00336069"/>
    <w:rsid w:val="00344E32"/>
    <w:rsid w:val="0034546F"/>
    <w:rsid w:val="003576E1"/>
    <w:rsid w:val="0037308B"/>
    <w:rsid w:val="00376045"/>
    <w:rsid w:val="00377973"/>
    <w:rsid w:val="00381058"/>
    <w:rsid w:val="00384B8B"/>
    <w:rsid w:val="003A57E8"/>
    <w:rsid w:val="003A720D"/>
    <w:rsid w:val="003C0C24"/>
    <w:rsid w:val="003D0A90"/>
    <w:rsid w:val="003F1477"/>
    <w:rsid w:val="003F4F4E"/>
    <w:rsid w:val="00403B1A"/>
    <w:rsid w:val="004050F8"/>
    <w:rsid w:val="00405540"/>
    <w:rsid w:val="004067CE"/>
    <w:rsid w:val="00406BA7"/>
    <w:rsid w:val="004339B5"/>
    <w:rsid w:val="00436EA6"/>
    <w:rsid w:val="0044409A"/>
    <w:rsid w:val="00445EB1"/>
    <w:rsid w:val="00463ECB"/>
    <w:rsid w:val="004724CD"/>
    <w:rsid w:val="0048341F"/>
    <w:rsid w:val="00491CB8"/>
    <w:rsid w:val="004930A0"/>
    <w:rsid w:val="004A0A5F"/>
    <w:rsid w:val="004A4072"/>
    <w:rsid w:val="004B1563"/>
    <w:rsid w:val="004B1669"/>
    <w:rsid w:val="004B3DE4"/>
    <w:rsid w:val="004C1DD8"/>
    <w:rsid w:val="004C7268"/>
    <w:rsid w:val="004D7A16"/>
    <w:rsid w:val="004E1C1B"/>
    <w:rsid w:val="004E55B7"/>
    <w:rsid w:val="004F134C"/>
    <w:rsid w:val="004F1594"/>
    <w:rsid w:val="004F3F38"/>
    <w:rsid w:val="005003DC"/>
    <w:rsid w:val="005164DF"/>
    <w:rsid w:val="00517B81"/>
    <w:rsid w:val="00523873"/>
    <w:rsid w:val="00524CFA"/>
    <w:rsid w:val="005346C6"/>
    <w:rsid w:val="00554597"/>
    <w:rsid w:val="00554E99"/>
    <w:rsid w:val="00564AA6"/>
    <w:rsid w:val="00570E72"/>
    <w:rsid w:val="00575921"/>
    <w:rsid w:val="00596162"/>
    <w:rsid w:val="005A60F3"/>
    <w:rsid w:val="005B4964"/>
    <w:rsid w:val="005B5418"/>
    <w:rsid w:val="005B5D08"/>
    <w:rsid w:val="005C1BFB"/>
    <w:rsid w:val="005C535A"/>
    <w:rsid w:val="005E3D26"/>
    <w:rsid w:val="005E517A"/>
    <w:rsid w:val="005F3893"/>
    <w:rsid w:val="005F5D0B"/>
    <w:rsid w:val="005F74F6"/>
    <w:rsid w:val="00602DA1"/>
    <w:rsid w:val="006042C5"/>
    <w:rsid w:val="00605CE4"/>
    <w:rsid w:val="00614A53"/>
    <w:rsid w:val="00621E3B"/>
    <w:rsid w:val="006255A4"/>
    <w:rsid w:val="00636B1D"/>
    <w:rsid w:val="006370F4"/>
    <w:rsid w:val="006412EA"/>
    <w:rsid w:val="00650549"/>
    <w:rsid w:val="00657029"/>
    <w:rsid w:val="006675EB"/>
    <w:rsid w:val="00676B35"/>
    <w:rsid w:val="006810F1"/>
    <w:rsid w:val="006A4BC0"/>
    <w:rsid w:val="006C13C8"/>
    <w:rsid w:val="006C2284"/>
    <w:rsid w:val="006E31D2"/>
    <w:rsid w:val="006E5B7D"/>
    <w:rsid w:val="006E617F"/>
    <w:rsid w:val="006F63FB"/>
    <w:rsid w:val="00700842"/>
    <w:rsid w:val="00704485"/>
    <w:rsid w:val="007212A9"/>
    <w:rsid w:val="00722DC2"/>
    <w:rsid w:val="00727D0B"/>
    <w:rsid w:val="00734C72"/>
    <w:rsid w:val="00740600"/>
    <w:rsid w:val="00741A35"/>
    <w:rsid w:val="007432FC"/>
    <w:rsid w:val="00745A53"/>
    <w:rsid w:val="0075036C"/>
    <w:rsid w:val="00755183"/>
    <w:rsid w:val="00755286"/>
    <w:rsid w:val="00760E0E"/>
    <w:rsid w:val="00764EA7"/>
    <w:rsid w:val="00766BEA"/>
    <w:rsid w:val="0077214F"/>
    <w:rsid w:val="00777513"/>
    <w:rsid w:val="00780F58"/>
    <w:rsid w:val="007870DE"/>
    <w:rsid w:val="007944CC"/>
    <w:rsid w:val="00795F2B"/>
    <w:rsid w:val="007B53CD"/>
    <w:rsid w:val="007B5C27"/>
    <w:rsid w:val="007D1D48"/>
    <w:rsid w:val="007E0109"/>
    <w:rsid w:val="007E2FA3"/>
    <w:rsid w:val="007E7432"/>
    <w:rsid w:val="007E7718"/>
    <w:rsid w:val="007F0B8C"/>
    <w:rsid w:val="00810C5A"/>
    <w:rsid w:val="008525DD"/>
    <w:rsid w:val="008540BE"/>
    <w:rsid w:val="00861FF1"/>
    <w:rsid w:val="008644DA"/>
    <w:rsid w:val="00864E69"/>
    <w:rsid w:val="008831DD"/>
    <w:rsid w:val="008A077F"/>
    <w:rsid w:val="008A087D"/>
    <w:rsid w:val="008A713C"/>
    <w:rsid w:val="008C033E"/>
    <w:rsid w:val="008C4ACB"/>
    <w:rsid w:val="008C62FC"/>
    <w:rsid w:val="008E37D2"/>
    <w:rsid w:val="008E5AD0"/>
    <w:rsid w:val="008F6F2B"/>
    <w:rsid w:val="00911200"/>
    <w:rsid w:val="00914A5B"/>
    <w:rsid w:val="00915312"/>
    <w:rsid w:val="00922DC0"/>
    <w:rsid w:val="009313C1"/>
    <w:rsid w:val="0093578F"/>
    <w:rsid w:val="00936B82"/>
    <w:rsid w:val="00936D71"/>
    <w:rsid w:val="00951F43"/>
    <w:rsid w:val="00965CCB"/>
    <w:rsid w:val="00977358"/>
    <w:rsid w:val="00980F87"/>
    <w:rsid w:val="00982B69"/>
    <w:rsid w:val="00982E78"/>
    <w:rsid w:val="009833F8"/>
    <w:rsid w:val="0099098B"/>
    <w:rsid w:val="00992720"/>
    <w:rsid w:val="00997B3D"/>
    <w:rsid w:val="009A78D8"/>
    <w:rsid w:val="009B71C9"/>
    <w:rsid w:val="009C3D3D"/>
    <w:rsid w:val="009C765F"/>
    <w:rsid w:val="009D2BF6"/>
    <w:rsid w:val="009D6D5B"/>
    <w:rsid w:val="009E0A83"/>
    <w:rsid w:val="009E3856"/>
    <w:rsid w:val="009F1AB6"/>
    <w:rsid w:val="009F5304"/>
    <w:rsid w:val="00A0021B"/>
    <w:rsid w:val="00A01220"/>
    <w:rsid w:val="00A05B5B"/>
    <w:rsid w:val="00A2132A"/>
    <w:rsid w:val="00A23811"/>
    <w:rsid w:val="00A244CD"/>
    <w:rsid w:val="00A40C84"/>
    <w:rsid w:val="00A44D21"/>
    <w:rsid w:val="00A45F77"/>
    <w:rsid w:val="00A46656"/>
    <w:rsid w:val="00A47C2A"/>
    <w:rsid w:val="00A5083D"/>
    <w:rsid w:val="00A53C71"/>
    <w:rsid w:val="00A850E6"/>
    <w:rsid w:val="00A97E95"/>
    <w:rsid w:val="00AA5D38"/>
    <w:rsid w:val="00AB2884"/>
    <w:rsid w:val="00AB420D"/>
    <w:rsid w:val="00AB6E88"/>
    <w:rsid w:val="00AC00A5"/>
    <w:rsid w:val="00AC4F53"/>
    <w:rsid w:val="00AD00C8"/>
    <w:rsid w:val="00AD2424"/>
    <w:rsid w:val="00AE00F3"/>
    <w:rsid w:val="00AF7470"/>
    <w:rsid w:val="00B06DCB"/>
    <w:rsid w:val="00B13C4C"/>
    <w:rsid w:val="00B23569"/>
    <w:rsid w:val="00B2563D"/>
    <w:rsid w:val="00B40B2D"/>
    <w:rsid w:val="00B444E1"/>
    <w:rsid w:val="00B45F3E"/>
    <w:rsid w:val="00B61658"/>
    <w:rsid w:val="00B62F79"/>
    <w:rsid w:val="00B66689"/>
    <w:rsid w:val="00B67812"/>
    <w:rsid w:val="00B83F14"/>
    <w:rsid w:val="00B87FE0"/>
    <w:rsid w:val="00B91FD8"/>
    <w:rsid w:val="00BB5968"/>
    <w:rsid w:val="00BB5988"/>
    <w:rsid w:val="00BC02F4"/>
    <w:rsid w:val="00BC66E5"/>
    <w:rsid w:val="00BE4306"/>
    <w:rsid w:val="00BE799C"/>
    <w:rsid w:val="00BF3C40"/>
    <w:rsid w:val="00C00CC4"/>
    <w:rsid w:val="00C0463C"/>
    <w:rsid w:val="00C06EA0"/>
    <w:rsid w:val="00C1253D"/>
    <w:rsid w:val="00C15247"/>
    <w:rsid w:val="00C27B9E"/>
    <w:rsid w:val="00C326DB"/>
    <w:rsid w:val="00C356B1"/>
    <w:rsid w:val="00C50B12"/>
    <w:rsid w:val="00C57B01"/>
    <w:rsid w:val="00C60A3B"/>
    <w:rsid w:val="00C634ED"/>
    <w:rsid w:val="00C664EE"/>
    <w:rsid w:val="00C719E9"/>
    <w:rsid w:val="00C85B47"/>
    <w:rsid w:val="00CA1C86"/>
    <w:rsid w:val="00CA2078"/>
    <w:rsid w:val="00CB1B75"/>
    <w:rsid w:val="00CB23FD"/>
    <w:rsid w:val="00CC5CE0"/>
    <w:rsid w:val="00CD2794"/>
    <w:rsid w:val="00CD2CBC"/>
    <w:rsid w:val="00CD6D1A"/>
    <w:rsid w:val="00D00F67"/>
    <w:rsid w:val="00D072C6"/>
    <w:rsid w:val="00D114D1"/>
    <w:rsid w:val="00D23EC6"/>
    <w:rsid w:val="00D31FBB"/>
    <w:rsid w:val="00D40783"/>
    <w:rsid w:val="00D450B0"/>
    <w:rsid w:val="00DA40A9"/>
    <w:rsid w:val="00DA5A8F"/>
    <w:rsid w:val="00DA68AF"/>
    <w:rsid w:val="00DA7E47"/>
    <w:rsid w:val="00DB2124"/>
    <w:rsid w:val="00DB5577"/>
    <w:rsid w:val="00DB6E8F"/>
    <w:rsid w:val="00DC49B3"/>
    <w:rsid w:val="00DD0B72"/>
    <w:rsid w:val="00DE6DF6"/>
    <w:rsid w:val="00DE7074"/>
    <w:rsid w:val="00DF6EC9"/>
    <w:rsid w:val="00E32A7B"/>
    <w:rsid w:val="00E50C29"/>
    <w:rsid w:val="00E64F9E"/>
    <w:rsid w:val="00E83BFC"/>
    <w:rsid w:val="00E96D19"/>
    <w:rsid w:val="00EA43DA"/>
    <w:rsid w:val="00EB2568"/>
    <w:rsid w:val="00EB3386"/>
    <w:rsid w:val="00EB58D4"/>
    <w:rsid w:val="00EC3D88"/>
    <w:rsid w:val="00ED446D"/>
    <w:rsid w:val="00ED697C"/>
    <w:rsid w:val="00EE075E"/>
    <w:rsid w:val="00EE1DF1"/>
    <w:rsid w:val="00EE7715"/>
    <w:rsid w:val="00EF12AE"/>
    <w:rsid w:val="00EF2147"/>
    <w:rsid w:val="00F00C9D"/>
    <w:rsid w:val="00F02A74"/>
    <w:rsid w:val="00F05DBB"/>
    <w:rsid w:val="00F0711C"/>
    <w:rsid w:val="00F0745E"/>
    <w:rsid w:val="00F16143"/>
    <w:rsid w:val="00F1745F"/>
    <w:rsid w:val="00F31188"/>
    <w:rsid w:val="00F320E7"/>
    <w:rsid w:val="00F34FA5"/>
    <w:rsid w:val="00F3696D"/>
    <w:rsid w:val="00F4083F"/>
    <w:rsid w:val="00F414A8"/>
    <w:rsid w:val="00F41853"/>
    <w:rsid w:val="00F42A30"/>
    <w:rsid w:val="00F44E5B"/>
    <w:rsid w:val="00F5152B"/>
    <w:rsid w:val="00F57BB6"/>
    <w:rsid w:val="00F61C13"/>
    <w:rsid w:val="00F66410"/>
    <w:rsid w:val="00F75E78"/>
    <w:rsid w:val="00F85B03"/>
    <w:rsid w:val="00F92A90"/>
    <w:rsid w:val="00F96562"/>
    <w:rsid w:val="00FA4E1F"/>
    <w:rsid w:val="00FA6E77"/>
    <w:rsid w:val="00FB746E"/>
    <w:rsid w:val="00FD284A"/>
    <w:rsid w:val="00FE2D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7A"/>
  </w:style>
  <w:style w:type="paragraph" w:styleId="Heading1">
    <w:name w:val="heading 1"/>
    <w:basedOn w:val="Normal"/>
    <w:next w:val="Normal"/>
    <w:link w:val="Heading1Char"/>
    <w:uiPriority w:val="9"/>
    <w:qFormat/>
    <w:rsid w:val="005E51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E517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E517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E517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E517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E517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E51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1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51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17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5E517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E517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E517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E517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E517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E51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1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51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17A"/>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5E517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17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17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E517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E517A"/>
    <w:rPr>
      <w:b/>
      <w:bCs/>
    </w:rPr>
  </w:style>
  <w:style w:type="character" w:styleId="Emphasis">
    <w:name w:val="Emphasis"/>
    <w:basedOn w:val="DefaultParagraphFont"/>
    <w:uiPriority w:val="20"/>
    <w:qFormat/>
    <w:rsid w:val="005E517A"/>
    <w:rPr>
      <w:i/>
      <w:iCs/>
    </w:rPr>
  </w:style>
  <w:style w:type="paragraph" w:styleId="NoSpacing">
    <w:name w:val="No Spacing"/>
    <w:uiPriority w:val="1"/>
    <w:qFormat/>
    <w:rsid w:val="005E517A"/>
    <w:pPr>
      <w:spacing w:after="0" w:line="240" w:lineRule="auto"/>
    </w:pPr>
  </w:style>
  <w:style w:type="paragraph" w:styleId="ListParagraph">
    <w:name w:val="List Paragraph"/>
    <w:basedOn w:val="Normal"/>
    <w:uiPriority w:val="34"/>
    <w:qFormat/>
    <w:rsid w:val="005E517A"/>
    <w:pPr>
      <w:spacing w:after="200" w:line="276" w:lineRule="auto"/>
      <w:ind w:left="720"/>
      <w:contextualSpacing/>
    </w:pPr>
  </w:style>
  <w:style w:type="paragraph" w:styleId="Quote">
    <w:name w:val="Quote"/>
    <w:basedOn w:val="Normal"/>
    <w:next w:val="Normal"/>
    <w:link w:val="QuoteChar"/>
    <w:uiPriority w:val="29"/>
    <w:qFormat/>
    <w:rsid w:val="005E517A"/>
    <w:rPr>
      <w:i/>
      <w:iCs/>
      <w:color w:val="000000" w:themeColor="text1"/>
    </w:rPr>
  </w:style>
  <w:style w:type="character" w:customStyle="1" w:styleId="QuoteChar">
    <w:name w:val="Quote Char"/>
    <w:basedOn w:val="DefaultParagraphFont"/>
    <w:link w:val="Quote"/>
    <w:uiPriority w:val="29"/>
    <w:rsid w:val="005E517A"/>
    <w:rPr>
      <w:i/>
      <w:iCs/>
      <w:color w:val="000000" w:themeColor="text1"/>
    </w:rPr>
  </w:style>
  <w:style w:type="paragraph" w:styleId="IntenseQuote">
    <w:name w:val="Intense Quote"/>
    <w:basedOn w:val="Normal"/>
    <w:next w:val="Normal"/>
    <w:link w:val="IntenseQuoteChar"/>
    <w:uiPriority w:val="30"/>
    <w:qFormat/>
    <w:rsid w:val="005E517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E517A"/>
    <w:rPr>
      <w:b/>
      <w:bCs/>
      <w:i/>
      <w:iCs/>
      <w:color w:val="5B9BD5" w:themeColor="accent1"/>
    </w:rPr>
  </w:style>
  <w:style w:type="character" w:styleId="SubtleEmphasis">
    <w:name w:val="Subtle Emphasis"/>
    <w:basedOn w:val="DefaultParagraphFont"/>
    <w:uiPriority w:val="19"/>
    <w:qFormat/>
    <w:rsid w:val="005E517A"/>
    <w:rPr>
      <w:i/>
      <w:iCs/>
      <w:color w:val="808080" w:themeColor="text1" w:themeTint="7F"/>
    </w:rPr>
  </w:style>
  <w:style w:type="character" w:styleId="IntenseEmphasis">
    <w:name w:val="Intense Emphasis"/>
    <w:basedOn w:val="DefaultParagraphFont"/>
    <w:uiPriority w:val="21"/>
    <w:qFormat/>
    <w:rsid w:val="005E517A"/>
    <w:rPr>
      <w:b/>
      <w:bCs/>
      <w:i/>
      <w:iCs/>
      <w:color w:val="5B9BD5" w:themeColor="accent1"/>
    </w:rPr>
  </w:style>
  <w:style w:type="character" w:styleId="SubtleReference">
    <w:name w:val="Subtle Reference"/>
    <w:basedOn w:val="DefaultParagraphFont"/>
    <w:uiPriority w:val="31"/>
    <w:qFormat/>
    <w:rsid w:val="005E517A"/>
    <w:rPr>
      <w:smallCaps/>
      <w:color w:val="ED7D31" w:themeColor="accent2"/>
      <w:u w:val="single"/>
    </w:rPr>
  </w:style>
  <w:style w:type="character" w:styleId="IntenseReference">
    <w:name w:val="Intense Reference"/>
    <w:basedOn w:val="DefaultParagraphFont"/>
    <w:uiPriority w:val="32"/>
    <w:qFormat/>
    <w:rsid w:val="005E517A"/>
    <w:rPr>
      <w:b/>
      <w:bCs/>
      <w:smallCaps/>
      <w:color w:val="ED7D31" w:themeColor="accent2"/>
      <w:spacing w:val="5"/>
      <w:u w:val="single"/>
    </w:rPr>
  </w:style>
  <w:style w:type="character" w:styleId="BookTitle">
    <w:name w:val="Book Title"/>
    <w:basedOn w:val="DefaultParagraphFont"/>
    <w:uiPriority w:val="33"/>
    <w:qFormat/>
    <w:rsid w:val="005E517A"/>
    <w:rPr>
      <w:b/>
      <w:bCs/>
      <w:smallCaps/>
      <w:spacing w:val="5"/>
    </w:rPr>
  </w:style>
  <w:style w:type="paragraph" w:styleId="TOCHeading">
    <w:name w:val="TOC Heading"/>
    <w:basedOn w:val="Heading1"/>
    <w:next w:val="Normal"/>
    <w:uiPriority w:val="39"/>
    <w:semiHidden/>
    <w:unhideWhenUsed/>
    <w:qFormat/>
    <w:rsid w:val="005E517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7A"/>
  </w:style>
  <w:style w:type="paragraph" w:styleId="Heading1">
    <w:name w:val="heading 1"/>
    <w:basedOn w:val="Normal"/>
    <w:next w:val="Normal"/>
    <w:link w:val="Heading1Char"/>
    <w:uiPriority w:val="9"/>
    <w:qFormat/>
    <w:rsid w:val="005E51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E517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E517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E517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E517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E517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E51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1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51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17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5E517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E517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E517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E517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E517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E51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1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51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17A"/>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5E517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17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17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E517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E517A"/>
    <w:rPr>
      <w:b/>
      <w:bCs/>
    </w:rPr>
  </w:style>
  <w:style w:type="character" w:styleId="Emphasis">
    <w:name w:val="Emphasis"/>
    <w:basedOn w:val="DefaultParagraphFont"/>
    <w:uiPriority w:val="20"/>
    <w:qFormat/>
    <w:rsid w:val="005E517A"/>
    <w:rPr>
      <w:i/>
      <w:iCs/>
    </w:rPr>
  </w:style>
  <w:style w:type="paragraph" w:styleId="NoSpacing">
    <w:name w:val="No Spacing"/>
    <w:uiPriority w:val="1"/>
    <w:qFormat/>
    <w:rsid w:val="005E517A"/>
    <w:pPr>
      <w:spacing w:after="0" w:line="240" w:lineRule="auto"/>
    </w:pPr>
  </w:style>
  <w:style w:type="paragraph" w:styleId="ListParagraph">
    <w:name w:val="List Paragraph"/>
    <w:basedOn w:val="Normal"/>
    <w:uiPriority w:val="34"/>
    <w:qFormat/>
    <w:rsid w:val="005E517A"/>
    <w:pPr>
      <w:spacing w:after="200" w:line="276" w:lineRule="auto"/>
      <w:ind w:left="720"/>
      <w:contextualSpacing/>
    </w:pPr>
  </w:style>
  <w:style w:type="paragraph" w:styleId="Quote">
    <w:name w:val="Quote"/>
    <w:basedOn w:val="Normal"/>
    <w:next w:val="Normal"/>
    <w:link w:val="QuoteChar"/>
    <w:uiPriority w:val="29"/>
    <w:qFormat/>
    <w:rsid w:val="005E517A"/>
    <w:rPr>
      <w:i/>
      <w:iCs/>
      <w:color w:val="000000" w:themeColor="text1"/>
    </w:rPr>
  </w:style>
  <w:style w:type="character" w:customStyle="1" w:styleId="QuoteChar">
    <w:name w:val="Quote Char"/>
    <w:basedOn w:val="DefaultParagraphFont"/>
    <w:link w:val="Quote"/>
    <w:uiPriority w:val="29"/>
    <w:rsid w:val="005E517A"/>
    <w:rPr>
      <w:i/>
      <w:iCs/>
      <w:color w:val="000000" w:themeColor="text1"/>
    </w:rPr>
  </w:style>
  <w:style w:type="paragraph" w:styleId="IntenseQuote">
    <w:name w:val="Intense Quote"/>
    <w:basedOn w:val="Normal"/>
    <w:next w:val="Normal"/>
    <w:link w:val="IntenseQuoteChar"/>
    <w:uiPriority w:val="30"/>
    <w:qFormat/>
    <w:rsid w:val="005E517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E517A"/>
    <w:rPr>
      <w:b/>
      <w:bCs/>
      <w:i/>
      <w:iCs/>
      <w:color w:val="5B9BD5" w:themeColor="accent1"/>
    </w:rPr>
  </w:style>
  <w:style w:type="character" w:styleId="SubtleEmphasis">
    <w:name w:val="Subtle Emphasis"/>
    <w:basedOn w:val="DefaultParagraphFont"/>
    <w:uiPriority w:val="19"/>
    <w:qFormat/>
    <w:rsid w:val="005E517A"/>
    <w:rPr>
      <w:i/>
      <w:iCs/>
      <w:color w:val="808080" w:themeColor="text1" w:themeTint="7F"/>
    </w:rPr>
  </w:style>
  <w:style w:type="character" w:styleId="IntenseEmphasis">
    <w:name w:val="Intense Emphasis"/>
    <w:basedOn w:val="DefaultParagraphFont"/>
    <w:uiPriority w:val="21"/>
    <w:qFormat/>
    <w:rsid w:val="005E517A"/>
    <w:rPr>
      <w:b/>
      <w:bCs/>
      <w:i/>
      <w:iCs/>
      <w:color w:val="5B9BD5" w:themeColor="accent1"/>
    </w:rPr>
  </w:style>
  <w:style w:type="character" w:styleId="SubtleReference">
    <w:name w:val="Subtle Reference"/>
    <w:basedOn w:val="DefaultParagraphFont"/>
    <w:uiPriority w:val="31"/>
    <w:qFormat/>
    <w:rsid w:val="005E517A"/>
    <w:rPr>
      <w:smallCaps/>
      <w:color w:val="ED7D31" w:themeColor="accent2"/>
      <w:u w:val="single"/>
    </w:rPr>
  </w:style>
  <w:style w:type="character" w:styleId="IntenseReference">
    <w:name w:val="Intense Reference"/>
    <w:basedOn w:val="DefaultParagraphFont"/>
    <w:uiPriority w:val="32"/>
    <w:qFormat/>
    <w:rsid w:val="005E517A"/>
    <w:rPr>
      <w:b/>
      <w:bCs/>
      <w:smallCaps/>
      <w:color w:val="ED7D31" w:themeColor="accent2"/>
      <w:spacing w:val="5"/>
      <w:u w:val="single"/>
    </w:rPr>
  </w:style>
  <w:style w:type="character" w:styleId="BookTitle">
    <w:name w:val="Book Title"/>
    <w:basedOn w:val="DefaultParagraphFont"/>
    <w:uiPriority w:val="33"/>
    <w:qFormat/>
    <w:rsid w:val="005E517A"/>
    <w:rPr>
      <w:b/>
      <w:bCs/>
      <w:smallCaps/>
      <w:spacing w:val="5"/>
    </w:rPr>
  </w:style>
  <w:style w:type="paragraph" w:styleId="TOCHeading">
    <w:name w:val="TOC Heading"/>
    <w:basedOn w:val="Heading1"/>
    <w:next w:val="Normal"/>
    <w:uiPriority w:val="39"/>
    <w:semiHidden/>
    <w:unhideWhenUsed/>
    <w:qFormat/>
    <w:rsid w:val="005E51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1804</Characters>
  <Application>Microsoft Office Word</Application>
  <DocSecurity>0</DocSecurity>
  <Lines>360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GCREDO</dc:creator>
  <cp:lastModifiedBy>GCREDO</cp:lastModifiedBy>
  <cp:revision>2</cp:revision>
  <dcterms:created xsi:type="dcterms:W3CDTF">2021-07-16T19:47:00Z</dcterms:created>
  <dcterms:modified xsi:type="dcterms:W3CDTF">2021-07-16T19:47:00Z</dcterms:modified>
</cp:coreProperties>
</file>