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6AF5" w14:textId="3CD38DC0" w:rsidR="000156C3" w:rsidRPr="004E6D43" w:rsidRDefault="000156C3" w:rsidP="002521D1">
      <w:pPr>
        <w:pStyle w:val="Heading1"/>
        <w:numPr>
          <w:ilvl w:val="0"/>
          <w:numId w:val="2"/>
        </w:numPr>
        <w:ind w:left="284" w:hanging="284"/>
        <w:rPr>
          <w:rFonts w:asciiTheme="minorHAnsi" w:hAnsiTheme="minorHAnsi" w:cs="Calibri"/>
          <w:b/>
          <w:color w:val="auto"/>
          <w:sz w:val="22"/>
          <w:szCs w:val="22"/>
        </w:rPr>
      </w:pPr>
      <w:r w:rsidRPr="001E1BC5">
        <w:rPr>
          <w:rFonts w:asciiTheme="minorHAnsi" w:hAnsiTheme="minorHAnsi" w:cstheme="minorHAnsi"/>
          <w:b/>
          <w:color w:val="auto"/>
          <w:sz w:val="20"/>
          <w:szCs w:val="20"/>
        </w:rPr>
        <w:t>Correlation</w:t>
      </w:r>
      <w:r w:rsidRPr="003450B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450B5">
        <w:rPr>
          <w:rFonts w:asciiTheme="minorHAnsi" w:hAnsiTheme="minorHAnsi" w:cs="Calibri"/>
          <w:b/>
          <w:color w:val="auto"/>
          <w:sz w:val="22"/>
          <w:szCs w:val="22"/>
        </w:rPr>
        <w:t>of heaping in birthweight (BW) by coverage of birthweight measurement from data source</w:t>
      </w:r>
      <w:r>
        <w:rPr>
          <w:rFonts w:asciiTheme="minorHAnsi" w:hAnsiTheme="minorHAnsi" w:cs="Calibri"/>
          <w:b/>
          <w:color w:val="auto"/>
          <w:sz w:val="22"/>
          <w:szCs w:val="22"/>
        </w:rPr>
        <w:t xml:space="preserve"> for India, </w:t>
      </w:r>
      <w:r w:rsidRPr="004E6D43">
        <w:rPr>
          <w:rFonts w:asciiTheme="minorHAnsi" w:hAnsiTheme="minorHAnsi" w:cs="Calibri"/>
          <w:b/>
          <w:color w:val="auto"/>
          <w:sz w:val="22"/>
          <w:szCs w:val="22"/>
        </w:rPr>
        <w:t>NFHS 5 (2019-21)</w:t>
      </w:r>
    </w:p>
    <w:p w14:paraId="4E74FE63" w14:textId="77777777" w:rsidR="000156C3" w:rsidRDefault="000156C3" w:rsidP="000156C3">
      <w:pPr>
        <w:spacing w:after="80"/>
        <w:rPr>
          <w:rFonts w:asciiTheme="minorHAnsi" w:hAnsiTheme="minorHAnsi" w:cstheme="minorHAnsi"/>
          <w:b/>
          <w:sz w:val="20"/>
          <w:szCs w:val="20"/>
        </w:rPr>
      </w:pPr>
    </w:p>
    <w:p w14:paraId="794FFD72" w14:textId="331B2B4D" w:rsidR="000156C3" w:rsidRDefault="002521D1" w:rsidP="002521D1">
      <w:pPr>
        <w:spacing w:after="80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</w:rPr>
        <w:drawing>
          <wp:inline distT="0" distB="0" distL="0" distR="0" wp14:anchorId="3458FE78" wp14:editId="241FDC7A">
            <wp:extent cx="5765800" cy="3378200"/>
            <wp:effectExtent l="0" t="0" r="6350" b="1270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8DC1EDB-8C7D-4EDC-80B6-59C8622147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CBAE452" w14:textId="56A42B31" w:rsidR="000156C3" w:rsidRDefault="000156C3" w:rsidP="000156C3">
      <w:pPr>
        <w:spacing w:after="80"/>
        <w:ind w:left="709"/>
        <w:rPr>
          <w:rFonts w:asciiTheme="minorHAnsi" w:hAnsiTheme="minorHAnsi" w:cstheme="minorHAnsi"/>
          <w:b/>
          <w:sz w:val="20"/>
          <w:szCs w:val="20"/>
        </w:rPr>
      </w:pPr>
    </w:p>
    <w:p w14:paraId="53171377" w14:textId="77777777" w:rsidR="000F2D2F" w:rsidRDefault="000F2D2F"/>
    <w:sectPr w:rsidR="000F2D2F" w:rsidSect="00252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48EC"/>
    <w:multiLevelType w:val="hybridMultilevel"/>
    <w:tmpl w:val="9CF4C980"/>
    <w:lvl w:ilvl="0" w:tplc="11D47818">
      <w:start w:val="6"/>
      <w:numFmt w:val="decimal"/>
      <w:lvlText w:val="%1."/>
      <w:lvlJc w:val="left"/>
      <w:pPr>
        <w:ind w:left="1080" w:hanging="360"/>
      </w:pPr>
      <w:rPr>
        <w:rFonts w:cstheme="minorHAnsi"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CA75EF"/>
    <w:multiLevelType w:val="hybridMultilevel"/>
    <w:tmpl w:val="FE7807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C3"/>
    <w:rsid w:val="000156C3"/>
    <w:rsid w:val="000F2D2F"/>
    <w:rsid w:val="0025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61F3C"/>
  <w15:chartTrackingRefBased/>
  <w15:docId w15:val="{259963B0-ACC3-4A50-A0C2-00ABD1D5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6C3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6C3"/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HFI_GD\BW\RD\230303_Tables%20and%20Figur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75972183421338E-2"/>
          <c:y val="4.2801556420233464E-2"/>
          <c:w val="0.86664835008377139"/>
          <c:h val="0.66874204121613989"/>
        </c:manualLayout>
      </c:layout>
      <c:scatterChart>
        <c:scatterStyle val="lineMarker"/>
        <c:varyColors val="0"/>
        <c:ser>
          <c:idx val="0"/>
          <c:order val="0"/>
          <c:tx>
            <c:strRef>
              <c:f>'Appendix 12_Final'!$C$1</c:f>
              <c:strCache>
                <c:ptCount val="1"/>
                <c:pt idx="0">
                  <c:v>% of heaping in health card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olid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0.10534402027159555"/>
                  <c:y val="-0.4324015120119554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900" b="1" i="0" baseline="0">
                        <a:solidFill>
                          <a:schemeClr val="accent1"/>
                        </a:solidFill>
                        <a:effectLst/>
                      </a:rPr>
                      <a:t>y = -0.446x + 74.421</a:t>
                    </a:r>
                    <a:br>
                      <a:rPr lang="en-US" sz="900" b="1" i="0" baseline="0">
                        <a:solidFill>
                          <a:schemeClr val="accent1"/>
                        </a:solidFill>
                        <a:effectLst/>
                      </a:rPr>
                    </a:br>
                    <a:r>
                      <a:rPr lang="en-US" sz="900" b="1" i="0" baseline="0">
                        <a:solidFill>
                          <a:schemeClr val="accent1"/>
                        </a:solidFill>
                        <a:effectLst/>
                      </a:rPr>
                      <a:t>R² = 0.145</a:t>
                    </a:r>
                    <a:endParaRPr lang="en-IN" sz="900">
                      <a:solidFill>
                        <a:schemeClr val="accent1"/>
                      </a:solidFill>
                      <a:effectLst/>
                    </a:endParaRPr>
                  </a:p>
                  <a:p>
                    <a:pPr>
                      <a:defRPr/>
                    </a:pPr>
                    <a:r>
                      <a:rPr lang="en-US" b="1" baseline="0">
                        <a:solidFill>
                          <a:schemeClr val="accent1"/>
                        </a:solidFill>
                      </a:rPr>
                      <a:t>r= 0.421, p=0.021</a:t>
                    </a:r>
                    <a:endParaRPr lang="en-US" b="1">
                      <a:solidFill>
                        <a:schemeClr val="accent1"/>
                      </a:solidFill>
                    </a:endParaRP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'Appendix 12_Final'!$B$2:$B$31</c:f>
              <c:numCache>
                <c:formatCode>_ * #,##0.0_ ;_ * \-#,##0.0_ ;_ * "-"??_ ;_ @_ </c:formatCode>
                <c:ptCount val="30"/>
                <c:pt idx="0">
                  <c:v>70.400000000000006</c:v>
                </c:pt>
                <c:pt idx="1">
                  <c:v>82.5</c:v>
                </c:pt>
                <c:pt idx="2">
                  <c:v>45.3</c:v>
                </c:pt>
                <c:pt idx="3">
                  <c:v>67</c:v>
                </c:pt>
                <c:pt idx="4">
                  <c:v>65.900000000000006</c:v>
                </c:pt>
                <c:pt idx="5">
                  <c:v>54.4</c:v>
                </c:pt>
                <c:pt idx="6">
                  <c:v>55.1</c:v>
                </c:pt>
                <c:pt idx="7">
                  <c:v>57</c:v>
                </c:pt>
                <c:pt idx="8">
                  <c:v>56.2</c:v>
                </c:pt>
                <c:pt idx="9">
                  <c:v>60.5</c:v>
                </c:pt>
                <c:pt idx="10">
                  <c:v>73.3</c:v>
                </c:pt>
                <c:pt idx="11">
                  <c:v>54.6</c:v>
                </c:pt>
                <c:pt idx="12">
                  <c:v>68.900000000000006</c:v>
                </c:pt>
                <c:pt idx="13">
                  <c:v>59.1</c:v>
                </c:pt>
                <c:pt idx="14">
                  <c:v>51.6</c:v>
                </c:pt>
                <c:pt idx="15">
                  <c:v>48.6</c:v>
                </c:pt>
                <c:pt idx="16">
                  <c:v>45.8</c:v>
                </c:pt>
                <c:pt idx="17">
                  <c:v>39.200000000000003</c:v>
                </c:pt>
                <c:pt idx="18">
                  <c:v>68.3</c:v>
                </c:pt>
                <c:pt idx="19">
                  <c:v>61.7</c:v>
                </c:pt>
                <c:pt idx="20">
                  <c:v>44.6</c:v>
                </c:pt>
                <c:pt idx="21">
                  <c:v>68.599999999999994</c:v>
                </c:pt>
                <c:pt idx="22">
                  <c:v>81.3</c:v>
                </c:pt>
                <c:pt idx="23">
                  <c:v>69.8</c:v>
                </c:pt>
                <c:pt idx="24">
                  <c:v>72.900000000000006</c:v>
                </c:pt>
                <c:pt idx="25">
                  <c:v>58.9</c:v>
                </c:pt>
                <c:pt idx="26">
                  <c:v>49.4</c:v>
                </c:pt>
                <c:pt idx="27">
                  <c:v>67.5</c:v>
                </c:pt>
                <c:pt idx="28">
                  <c:v>53.4</c:v>
                </c:pt>
                <c:pt idx="29">
                  <c:v>82.5</c:v>
                </c:pt>
              </c:numCache>
            </c:numRef>
          </c:xVal>
          <c:yVal>
            <c:numRef>
              <c:f>'Appendix 12_Final'!$C$2:$C$31</c:f>
              <c:numCache>
                <c:formatCode>_ * #,##0.0_ ;_ * \-#,##0.0_ ;_ * "-"??_ ;_ @_ </c:formatCode>
                <c:ptCount val="30"/>
                <c:pt idx="0">
                  <c:v>39.200000000000003</c:v>
                </c:pt>
                <c:pt idx="1">
                  <c:v>42.1</c:v>
                </c:pt>
                <c:pt idx="2">
                  <c:v>53.8</c:v>
                </c:pt>
                <c:pt idx="3">
                  <c:v>62.1</c:v>
                </c:pt>
                <c:pt idx="4">
                  <c:v>54.3</c:v>
                </c:pt>
                <c:pt idx="5">
                  <c:v>55</c:v>
                </c:pt>
                <c:pt idx="6">
                  <c:v>41.8</c:v>
                </c:pt>
                <c:pt idx="7">
                  <c:v>30.4</c:v>
                </c:pt>
                <c:pt idx="8">
                  <c:v>31.1</c:v>
                </c:pt>
                <c:pt idx="9">
                  <c:v>55.8</c:v>
                </c:pt>
                <c:pt idx="10">
                  <c:v>31.2</c:v>
                </c:pt>
                <c:pt idx="11">
                  <c:v>52.8</c:v>
                </c:pt>
                <c:pt idx="12">
                  <c:v>32.1</c:v>
                </c:pt>
                <c:pt idx="13">
                  <c:v>36.700000000000003</c:v>
                </c:pt>
                <c:pt idx="14">
                  <c:v>59.6</c:v>
                </c:pt>
                <c:pt idx="15">
                  <c:v>64.7</c:v>
                </c:pt>
                <c:pt idx="16">
                  <c:v>69.400000000000006</c:v>
                </c:pt>
                <c:pt idx="17">
                  <c:v>38.1</c:v>
                </c:pt>
                <c:pt idx="18">
                  <c:v>34.799999999999997</c:v>
                </c:pt>
                <c:pt idx="19">
                  <c:v>42.9</c:v>
                </c:pt>
                <c:pt idx="20">
                  <c:v>52.9</c:v>
                </c:pt>
                <c:pt idx="21">
                  <c:v>44.7</c:v>
                </c:pt>
                <c:pt idx="22">
                  <c:v>61.8</c:v>
                </c:pt>
                <c:pt idx="23">
                  <c:v>57.7</c:v>
                </c:pt>
                <c:pt idx="24">
                  <c:v>19.3</c:v>
                </c:pt>
                <c:pt idx="25">
                  <c:v>59.7</c:v>
                </c:pt>
                <c:pt idx="26">
                  <c:v>60.6</c:v>
                </c:pt>
                <c:pt idx="27">
                  <c:v>29</c:v>
                </c:pt>
                <c:pt idx="28">
                  <c:v>67.099999999999994</c:v>
                </c:pt>
                <c:pt idx="29">
                  <c:v>33.799999999999997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DCB-4B05-8A0F-451E438B1E9E}"/>
            </c:ext>
          </c:extLst>
        </c:ser>
        <c:ser>
          <c:idx val="1"/>
          <c:order val="1"/>
          <c:tx>
            <c:strRef>
              <c:f>'Appendix 12_Final'!$E$1</c:f>
              <c:strCache>
                <c:ptCount val="1"/>
                <c:pt idx="0">
                  <c:v>% of heaping in mother’s recall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C00000"/>
              </a:solidFill>
              <a:ln w="9525">
                <a:solidFill>
                  <a:srgbClr val="C00000"/>
                </a:solidFill>
              </a:ln>
              <a:effectLst/>
            </c:spPr>
          </c:marker>
          <c:trendline>
            <c:spPr>
              <a:ln w="19050" cap="rnd">
                <a:solidFill>
                  <a:srgbClr val="C00000"/>
                </a:solidFill>
                <a:prstDash val="solid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0.26386087937280478"/>
                  <c:y val="-0.27263839634549497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900" b="1" i="0" baseline="0">
                        <a:solidFill>
                          <a:srgbClr val="FF0000"/>
                        </a:solidFill>
                        <a:effectLst/>
                      </a:rPr>
                      <a:t>y = 0.454x + 32.187</a:t>
                    </a:r>
                    <a:br>
                      <a:rPr lang="en-US" sz="900" b="1" i="0" baseline="0">
                        <a:solidFill>
                          <a:srgbClr val="FF0000"/>
                        </a:solidFill>
                        <a:effectLst/>
                      </a:rPr>
                    </a:br>
                    <a:r>
                      <a:rPr lang="en-US" sz="900" b="1" i="0" baseline="0">
                        <a:solidFill>
                          <a:srgbClr val="FF0000"/>
                        </a:solidFill>
                        <a:effectLst/>
                      </a:rPr>
                      <a:t>R² = 0.177</a:t>
                    </a:r>
                    <a:endParaRPr lang="en-IN" sz="900">
                      <a:solidFill>
                        <a:srgbClr val="FF0000"/>
                      </a:solidFill>
                      <a:effectLst/>
                    </a:endParaRPr>
                  </a:p>
                  <a:p>
                    <a:pPr>
                      <a:defRPr/>
                    </a:pPr>
                    <a:r>
                      <a:rPr lang="en-US" sz="900" b="1" baseline="0">
                        <a:solidFill>
                          <a:srgbClr val="FF0000"/>
                        </a:solidFill>
                      </a:rPr>
                      <a:t>r= - 0.381, p=0.038</a:t>
                    </a:r>
                    <a:endParaRPr lang="en-US" sz="900" b="1">
                      <a:solidFill>
                        <a:srgbClr val="FF0000"/>
                      </a:solidFill>
                    </a:endParaRP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'Appendix 12_Final'!$D$2:$D$31</c:f>
              <c:numCache>
                <c:formatCode>_ * #,##0.0_ ;_ * \-#,##0.0_ ;_ * "-"??_ ;_ @_ </c:formatCode>
                <c:ptCount val="30"/>
                <c:pt idx="0">
                  <c:v>29.6</c:v>
                </c:pt>
                <c:pt idx="1">
                  <c:v>17.5</c:v>
                </c:pt>
                <c:pt idx="2">
                  <c:v>54.7</c:v>
                </c:pt>
                <c:pt idx="3">
                  <c:v>33</c:v>
                </c:pt>
                <c:pt idx="4">
                  <c:v>34.1</c:v>
                </c:pt>
                <c:pt idx="5">
                  <c:v>45.6</c:v>
                </c:pt>
                <c:pt idx="6">
                  <c:v>44.9</c:v>
                </c:pt>
                <c:pt idx="7">
                  <c:v>43</c:v>
                </c:pt>
                <c:pt idx="8">
                  <c:v>43.8</c:v>
                </c:pt>
                <c:pt idx="9">
                  <c:v>39.5</c:v>
                </c:pt>
                <c:pt idx="10">
                  <c:v>26.7</c:v>
                </c:pt>
                <c:pt idx="11">
                  <c:v>45.4</c:v>
                </c:pt>
                <c:pt idx="12">
                  <c:v>31.1</c:v>
                </c:pt>
                <c:pt idx="13">
                  <c:v>40.9</c:v>
                </c:pt>
                <c:pt idx="14">
                  <c:v>48.4</c:v>
                </c:pt>
                <c:pt idx="15">
                  <c:v>51.4</c:v>
                </c:pt>
                <c:pt idx="16">
                  <c:v>54.2</c:v>
                </c:pt>
                <c:pt idx="17">
                  <c:v>60.8</c:v>
                </c:pt>
                <c:pt idx="18">
                  <c:v>31.7</c:v>
                </c:pt>
                <c:pt idx="19">
                  <c:v>38.299999999999997</c:v>
                </c:pt>
                <c:pt idx="20">
                  <c:v>55.4</c:v>
                </c:pt>
                <c:pt idx="21">
                  <c:v>31.4</c:v>
                </c:pt>
                <c:pt idx="22">
                  <c:v>18.7</c:v>
                </c:pt>
                <c:pt idx="23">
                  <c:v>30.2</c:v>
                </c:pt>
                <c:pt idx="24">
                  <c:v>27.1</c:v>
                </c:pt>
                <c:pt idx="25">
                  <c:v>41.1</c:v>
                </c:pt>
                <c:pt idx="26">
                  <c:v>50.6</c:v>
                </c:pt>
                <c:pt idx="27">
                  <c:v>32.5</c:v>
                </c:pt>
                <c:pt idx="28">
                  <c:v>46.6</c:v>
                </c:pt>
                <c:pt idx="29">
                  <c:v>17.5</c:v>
                </c:pt>
              </c:numCache>
            </c:numRef>
          </c:xVal>
          <c:yVal>
            <c:numRef>
              <c:f>'Appendix 12_Final'!$E$2:$E$31</c:f>
              <c:numCache>
                <c:formatCode>_ * #,##0.0_ ;_ * \-#,##0.0_ ;_ * "-"??_ ;_ @_ </c:formatCode>
                <c:ptCount val="30"/>
                <c:pt idx="0">
                  <c:v>41.2</c:v>
                </c:pt>
                <c:pt idx="1">
                  <c:v>37.1</c:v>
                </c:pt>
                <c:pt idx="2">
                  <c:v>59.7</c:v>
                </c:pt>
                <c:pt idx="3">
                  <c:v>64.900000000000006</c:v>
                </c:pt>
                <c:pt idx="4">
                  <c:v>58.8</c:v>
                </c:pt>
                <c:pt idx="5">
                  <c:v>58.7</c:v>
                </c:pt>
                <c:pt idx="6">
                  <c:v>43.2</c:v>
                </c:pt>
                <c:pt idx="7">
                  <c:v>33.299999999999997</c:v>
                </c:pt>
                <c:pt idx="8">
                  <c:v>30.6</c:v>
                </c:pt>
                <c:pt idx="9">
                  <c:v>58.3</c:v>
                </c:pt>
                <c:pt idx="10">
                  <c:v>31.4</c:v>
                </c:pt>
                <c:pt idx="11">
                  <c:v>55.2</c:v>
                </c:pt>
                <c:pt idx="12">
                  <c:v>38.1</c:v>
                </c:pt>
                <c:pt idx="13">
                  <c:v>39.6</c:v>
                </c:pt>
                <c:pt idx="14">
                  <c:v>61</c:v>
                </c:pt>
                <c:pt idx="15">
                  <c:v>65</c:v>
                </c:pt>
                <c:pt idx="16">
                  <c:v>64.8</c:v>
                </c:pt>
                <c:pt idx="17">
                  <c:v>46.2</c:v>
                </c:pt>
                <c:pt idx="18">
                  <c:v>46.6</c:v>
                </c:pt>
                <c:pt idx="19">
                  <c:v>54.2</c:v>
                </c:pt>
                <c:pt idx="20">
                  <c:v>53.6</c:v>
                </c:pt>
                <c:pt idx="21">
                  <c:v>52</c:v>
                </c:pt>
                <c:pt idx="22">
                  <c:v>61.4</c:v>
                </c:pt>
                <c:pt idx="23">
                  <c:v>57.5</c:v>
                </c:pt>
                <c:pt idx="24">
                  <c:v>25.2</c:v>
                </c:pt>
                <c:pt idx="25">
                  <c:v>57.6</c:v>
                </c:pt>
                <c:pt idx="26">
                  <c:v>62.7</c:v>
                </c:pt>
                <c:pt idx="27">
                  <c:v>32.799999999999997</c:v>
                </c:pt>
                <c:pt idx="28">
                  <c:v>67.400000000000006</c:v>
                </c:pt>
                <c:pt idx="29">
                  <c:v>36.6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0DCB-4B05-8A0F-451E438B1E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67326272"/>
        <c:axId val="1444304880"/>
      </c:scatterChart>
      <c:valAx>
        <c:axId val="12673262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/>
                  <a:t>Percent of BW</a:t>
                </a:r>
                <a:r>
                  <a:rPr lang="en-IN" baseline="0"/>
                  <a:t> measurement documented </a:t>
                </a:r>
                <a:endParaRPr lang="en-I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4304880"/>
        <c:crosses val="autoZero"/>
        <c:crossBetween val="midCat"/>
      </c:valAx>
      <c:valAx>
        <c:axId val="1444304880"/>
        <c:scaling>
          <c:orientation val="minMax"/>
          <c:max val="1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/>
                  <a:t>Percent of heaping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732627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Parijat Singh</dc:creator>
  <cp:keywords/>
  <dc:description/>
  <cp:lastModifiedBy>Rakhi Dandona</cp:lastModifiedBy>
  <cp:revision>2</cp:revision>
  <dcterms:created xsi:type="dcterms:W3CDTF">2023-03-21T05:44:00Z</dcterms:created>
  <dcterms:modified xsi:type="dcterms:W3CDTF">2023-03-21T09:33:00Z</dcterms:modified>
</cp:coreProperties>
</file>