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06" w:rsidRDefault="00133E06" w:rsidP="00133E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b/>
          <w:sz w:val="22"/>
        </w:rPr>
        <w:t>Table S</w:t>
      </w:r>
      <w:r>
        <w:rPr>
          <w:rFonts w:ascii="Times New Roman" w:hAnsi="Times New Roman" w:cs="Times New Roman"/>
          <w:b/>
          <w:sz w:val="22"/>
        </w:rPr>
        <w:t>7</w:t>
      </w:r>
      <w:r>
        <w:rPr>
          <w:rFonts w:ascii="Times New Roman" w:hAnsi="Times New Roman" w:cs="Times New Roman" w:hint="eastAsia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>The set of total 39 genes for enri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>chment analysis</w:t>
      </w:r>
    </w:p>
    <w:tbl>
      <w:tblPr>
        <w:tblStyle w:val="a3"/>
        <w:tblpPr w:leftFromText="142" w:rightFromText="142" w:vertAnchor="text" w:tblpY="1"/>
        <w:tblOverlap w:val="never"/>
        <w:tblW w:w="4260" w:type="pct"/>
        <w:tblLook w:val="04A0" w:firstRow="1" w:lastRow="0" w:firstColumn="1" w:lastColumn="0" w:noHBand="0" w:noVBand="1"/>
      </w:tblPr>
      <w:tblGrid>
        <w:gridCol w:w="1453"/>
        <w:gridCol w:w="1599"/>
        <w:gridCol w:w="6747"/>
        <w:gridCol w:w="1862"/>
      </w:tblGrid>
      <w:tr w:rsidR="00133E06" w:rsidRPr="00E641E3" w:rsidTr="007159A3">
        <w:trPr>
          <w:trHeight w:val="197"/>
        </w:trPr>
        <w:tc>
          <w:tcPr>
            <w:tcW w:w="0" w:type="auto"/>
            <w:tcBorders>
              <w:bottom w:val="single" w:sz="8" w:space="0" w:color="auto"/>
            </w:tcBorders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  <w:t>UserID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  <w:t>Gene Symbol</w:t>
            </w:r>
          </w:p>
        </w:tc>
        <w:tc>
          <w:tcPr>
            <w:tcW w:w="2893" w:type="pct"/>
            <w:tcBorders>
              <w:bottom w:val="single" w:sz="8" w:space="0" w:color="auto"/>
            </w:tcBorders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  <w:t xml:space="preserve">Gene </w:t>
            </w:r>
            <w:r w:rsidRPr="00F367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  <w:t>n</w:t>
            </w:r>
            <w:r w:rsidRPr="00E641E3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  <w:t>ame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33E06" w:rsidRPr="00F367C7" w:rsidRDefault="00133E06" w:rsidP="007159A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8"/>
              </w:rPr>
            </w:pPr>
            <w:r w:rsidRPr="00F367C7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16"/>
                <w:szCs w:val="18"/>
              </w:rPr>
              <w:t>Mutation Type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tcBorders>
              <w:top w:val="single" w:sz="8" w:space="0" w:color="auto"/>
            </w:tcBorders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ONECUT1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ONECUT1</w:t>
            </w:r>
          </w:p>
        </w:tc>
        <w:tc>
          <w:tcPr>
            <w:tcW w:w="2893" w:type="pct"/>
            <w:tcBorders>
              <w:top w:val="single" w:sz="8" w:space="0" w:color="auto"/>
            </w:tcBorders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one cut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homeobox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1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HLA-DQB1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HLA-DQB1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DQ beta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HLA-DRA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HLA-DRA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DR alpha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SPTA1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SPTA1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spectrin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, alpha,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erythrocytic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1 (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elliptocytosis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2)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CTBS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CTBS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chitobiase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, di-N-acetyl-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Transcript fusion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HLA-DQB2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HLA-DQB2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DQ beta 2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TAP2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TAP2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transporter 2, ATP-binding cassette, sub-family B (MDR/TAP)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GPR112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GPR112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G protein-coupled receptor 112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CASKIN1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CASKIN1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CASK interacting protein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GPSM3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GPSM3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G-protein signaling modulator 3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SEL1L2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SEL1L2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sel-1 suppressor of lin-12-like 2 (C.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elegans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ZBTB34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ZBTB34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zinc finger and BTB domain containing 34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APH1A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APH1A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anterior pharynx defective 1 homolog A (C.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elegans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HLA-DRB1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HLA-DRB1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DR beta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NDRG1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NDRG1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N-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myc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downstream regulated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NOL6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NOL6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nucleolar protein family 6 (RNA-associated)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PBX2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PBX2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pre-B-cell leukemia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homeobox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2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HLA-DQA2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HLA-DQA2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DQ alpha 2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MYC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MYC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v-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myc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myelocytomatosis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viral oncogene homolog (avian)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WDR87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WDR87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WD repeat domain 87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HLA-DRB5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HLA-DRB5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DR beta 5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RNASEL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RNASEL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ribonuclease L (2',5'-oligoisoadenylate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synthetase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-dependent)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HLA-DOB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HLA-DOB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DO beta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TGFB2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TGFB2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transforming growth factor, beta 2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GNG5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GNG5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guanine nucleotide binding protein (G protein), gamma 5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Transcript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fusion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FABP2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FABP2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fatty acid binding protein 2, intestinal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Transcript fusion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MAFA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MAFA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v-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maf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musculoaponeurotic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fibrosarcoma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oncogene homolog A (avian)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BTNL2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BTNL2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butyrophilin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-like 2 (MHC class II associated)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TP53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TP53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tumor protein p53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MCM4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MCM4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minichromosome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 maintenance complex component 4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 xml:space="preserve">ene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fusion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PEG10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PEG10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paternally expressed 10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GPR124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GPR124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G protein-coupled receptor 124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HLA-DQA1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HLA-DQA1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major histocompatibility complex, class II, DQ alpha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NOTCH4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NOTCH4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notch 4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MUC16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MUC16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mucin 16, cell surface associated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SCNA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SNTB1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SNTB1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syntrophin</w:t>
            </w:r>
            <w:proofErr w:type="spellEnd"/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, beta 1 (dystrophin-associated protein A1, 59kDa, basic component 1)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Gene fusion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TNFSF15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TNFSF15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tumor necrosis factor (ligand) superfamily, member 15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SNV</w:t>
            </w:r>
          </w:p>
        </w:tc>
      </w:tr>
      <w:tr w:rsidR="00133E06" w:rsidRPr="00E641E3" w:rsidTr="007159A3">
        <w:trPr>
          <w:trHeight w:val="197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GZF1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GZF1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GDNF-inducible zinc finger protein 1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18"/>
              </w:rPr>
              <w:t>SMV</w:t>
            </w:r>
          </w:p>
        </w:tc>
      </w:tr>
      <w:tr w:rsidR="00133E06" w:rsidRPr="00E641E3" w:rsidTr="007159A3">
        <w:trPr>
          <w:trHeight w:val="185"/>
        </w:trPr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FAT1</w:t>
            </w:r>
          </w:p>
        </w:tc>
        <w:tc>
          <w:tcPr>
            <w:tcW w:w="0" w:type="auto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FAT1</w:t>
            </w:r>
          </w:p>
        </w:tc>
        <w:tc>
          <w:tcPr>
            <w:tcW w:w="2893" w:type="pct"/>
            <w:hideMark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r w:rsidRPr="00E641E3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 xml:space="preserve">FAT tumor suppressor homolog 1 (Drosophila) </w:t>
            </w:r>
          </w:p>
        </w:tc>
        <w:tc>
          <w:tcPr>
            <w:tcW w:w="0" w:type="auto"/>
          </w:tcPr>
          <w:p w:rsidR="00133E06" w:rsidRPr="00E641E3" w:rsidRDefault="00133E06" w:rsidP="007159A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8"/>
              </w:rPr>
              <w:t>Indel</w:t>
            </w:r>
            <w:proofErr w:type="spellEnd"/>
          </w:p>
        </w:tc>
      </w:tr>
    </w:tbl>
    <w:p w:rsidR="003A11B4" w:rsidRDefault="00133E06">
      <w:r w:rsidRPr="00CB413D">
        <w:rPr>
          <w:rFonts w:ascii="Times New Roman" w:hAnsi="Times New Roman" w:cs="Times New Roman"/>
          <w:szCs w:val="20"/>
        </w:rPr>
        <w:br w:type="textWrapping" w:clear="all"/>
      </w:r>
    </w:p>
    <w:sectPr w:rsidR="003A11B4" w:rsidSect="00133E0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6"/>
    <w:rsid w:val="00133E06"/>
    <w:rsid w:val="003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492E-FA3C-42E5-9EAF-C36BC7B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2017-04-10T15:59:00Z</dcterms:created>
  <dcterms:modified xsi:type="dcterms:W3CDTF">2017-04-10T16:00:00Z</dcterms:modified>
</cp:coreProperties>
</file>