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12" w:rsidRPr="00302D12" w:rsidRDefault="00302D12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  <w:r w:rsidRPr="00302D12">
        <w:rPr>
          <w:rFonts w:ascii="Times New Roman" w:hAnsi="Times New Roman" w:cs="Times New Roman" w:hint="eastAsia"/>
          <w:b/>
          <w:sz w:val="28"/>
          <w:szCs w:val="28"/>
        </w:rPr>
        <w:t>Supplemental</w:t>
      </w:r>
      <w:r w:rsidRPr="00302D12">
        <w:rPr>
          <w:rFonts w:ascii="Times New Roman" w:hAnsi="Times New Roman" w:cs="Times New Roman"/>
          <w:b/>
          <w:sz w:val="28"/>
          <w:szCs w:val="28"/>
        </w:rPr>
        <w:t xml:space="preserve"> Data</w:t>
      </w:r>
    </w:p>
    <w:p w:rsidR="00302D12" w:rsidRDefault="00302D12" w:rsidP="00302D12">
      <w:pPr>
        <w:rPr>
          <w:rFonts w:ascii="Times New Roman" w:hAnsi="Times New Roman" w:cs="Times New Roman"/>
          <w:bCs/>
          <w:sz w:val="24"/>
          <w:szCs w:val="24"/>
        </w:rPr>
      </w:pPr>
    </w:p>
    <w:p w:rsidR="00302D12" w:rsidRPr="00302D12" w:rsidRDefault="00302D12" w:rsidP="00302D1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02D12">
        <w:rPr>
          <w:rFonts w:ascii="Times New Roman" w:hAnsi="Times New Roman" w:cs="Times New Roman"/>
          <w:bCs/>
          <w:sz w:val="28"/>
          <w:szCs w:val="28"/>
        </w:rPr>
        <w:t xml:space="preserve">Risk and outcome of </w:t>
      </w:r>
      <w:r w:rsidR="00DC452A">
        <w:rPr>
          <w:rFonts w:ascii="Times New Roman" w:hAnsi="Times New Roman" w:cs="Times New Roman" w:hint="eastAsia"/>
          <w:bCs/>
          <w:sz w:val="28"/>
          <w:szCs w:val="28"/>
        </w:rPr>
        <w:t>subsequent</w:t>
      </w:r>
      <w:r w:rsidRPr="00302D12">
        <w:rPr>
          <w:rFonts w:ascii="Times New Roman" w:hAnsi="Times New Roman" w:cs="Times New Roman"/>
          <w:bCs/>
          <w:sz w:val="28"/>
          <w:szCs w:val="28"/>
        </w:rPr>
        <w:t xml:space="preserve"> malignancies after radioactive iodine treatment in differentiated thyroid cancer patients</w:t>
      </w:r>
    </w:p>
    <w:p w:rsidR="00302D12" w:rsidRDefault="00302D12" w:rsidP="00302D12">
      <w:pPr>
        <w:rPr>
          <w:rFonts w:ascii="Times New Roman" w:hAnsi="Times New Roman" w:cs="Times New Roman"/>
          <w:bCs/>
          <w:sz w:val="24"/>
          <w:szCs w:val="24"/>
        </w:rPr>
      </w:pPr>
    </w:p>
    <w:p w:rsidR="00302D12" w:rsidRPr="00D66F9E" w:rsidRDefault="00AF36E1" w:rsidP="00302D1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Xiaoran Mei, Xiaoqin</w:t>
      </w:r>
      <w:r w:rsidR="00302D12">
        <w:rPr>
          <w:rFonts w:ascii="Times New Roman" w:hAnsi="Times New Roman" w:cs="Times New Roman"/>
          <w:bCs/>
          <w:sz w:val="24"/>
          <w:szCs w:val="24"/>
        </w:rPr>
        <w:t xml:space="preserve"> Yao, Fang Feng, Weiwei Cheng, Hui Wang </w:t>
      </w:r>
    </w:p>
    <w:p w:rsidR="00302D12" w:rsidRPr="00302D12" w:rsidRDefault="00302D12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994CB3" w:rsidRDefault="00DC452A" w:rsidP="00842C2B">
      <w:pPr>
        <w:rPr>
          <w:rFonts w:ascii="Times New Roman" w:hAnsi="Times New Roman" w:cs="Times New Roman"/>
          <w:sz w:val="28"/>
          <w:szCs w:val="28"/>
        </w:rPr>
      </w:pPr>
      <w:r w:rsidRPr="00DC45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7147E1" wp14:editId="66DF7B98">
            <wp:extent cx="5274310" cy="3759327"/>
            <wp:effectExtent l="0" t="0" r="0" b="0"/>
            <wp:docPr id="2" name="图片 2" descr="C:\Users\User\Desktop\Radiation therapy and SPM\manuscripts\BMC cancer\revision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diation therapy and SPM\manuscripts\BMC cancer\revision\Figure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CB3">
        <w:rPr>
          <w:rFonts w:ascii="Times New Roman" w:hAnsi="Times New Roman" w:cs="Times New Roman" w:hint="eastAsia"/>
          <w:sz w:val="28"/>
          <w:szCs w:val="28"/>
        </w:rPr>
        <w:t>Figure</w:t>
      </w:r>
      <w:r w:rsidR="00994CB3">
        <w:rPr>
          <w:rFonts w:ascii="Times New Roman" w:hAnsi="Times New Roman" w:cs="Times New Roman"/>
          <w:sz w:val="28"/>
          <w:szCs w:val="28"/>
        </w:rPr>
        <w:t xml:space="preserve"> </w:t>
      </w:r>
      <w:r w:rsidR="00994CB3">
        <w:rPr>
          <w:rFonts w:ascii="Times New Roman" w:hAnsi="Times New Roman" w:cs="Times New Roman" w:hint="eastAsia"/>
          <w:sz w:val="28"/>
          <w:szCs w:val="28"/>
        </w:rPr>
        <w:t>S1.</w:t>
      </w:r>
      <w:r w:rsidR="00994CB3">
        <w:rPr>
          <w:rFonts w:ascii="Times New Roman" w:hAnsi="Times New Roman" w:cs="Times New Roman"/>
          <w:sz w:val="28"/>
          <w:szCs w:val="28"/>
        </w:rPr>
        <w:t xml:space="preserve"> </w:t>
      </w:r>
      <w:r w:rsidR="00994CB3">
        <w:rPr>
          <w:rFonts w:ascii="Times New Roman" w:hAnsi="Times New Roman" w:cs="Times New Roman" w:hint="eastAsia"/>
          <w:sz w:val="28"/>
          <w:szCs w:val="28"/>
        </w:rPr>
        <w:t>The</w:t>
      </w:r>
      <w:r w:rsidR="00994CB3">
        <w:rPr>
          <w:rFonts w:ascii="Times New Roman" w:hAnsi="Times New Roman" w:cs="Times New Roman"/>
          <w:sz w:val="28"/>
          <w:szCs w:val="28"/>
        </w:rPr>
        <w:t xml:space="preserve"> spectrum of S</w:t>
      </w:r>
      <w:r w:rsidR="00364F6C">
        <w:rPr>
          <w:rFonts w:ascii="Times New Roman" w:hAnsi="Times New Roman" w:cs="Times New Roman"/>
          <w:sz w:val="28"/>
          <w:szCs w:val="28"/>
        </w:rPr>
        <w:t>M</w:t>
      </w:r>
      <w:r w:rsidR="00994CB3">
        <w:rPr>
          <w:rFonts w:ascii="Times New Roman" w:hAnsi="Times New Roman" w:cs="Times New Roman"/>
          <w:sz w:val="28"/>
          <w:szCs w:val="28"/>
        </w:rPr>
        <w:t xml:space="preserve">s in patients treated with and without RAI. </w:t>
      </w:r>
      <w:r w:rsidR="00CA4ADA">
        <w:rPr>
          <w:rFonts w:ascii="Times New Roman" w:hAnsi="Times New Roman" w:cs="Times New Roman"/>
          <w:sz w:val="28"/>
          <w:szCs w:val="28"/>
        </w:rPr>
        <w:t>The x axis shows different cancer types by their site while y axis shows the percentage of different SMs among all cancer combined. Except for cancers of digestive and hematologic system, the spectrum of different SMs in the two groups (blue line: treated with RAI; red line: not treated with RAI) are overally similar.</w:t>
      </w:r>
    </w:p>
    <w:p w:rsidR="00994CB3" w:rsidRDefault="00994CB3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6260" w:type="dxa"/>
        <w:tblLook w:val="04A0" w:firstRow="1" w:lastRow="0" w:firstColumn="1" w:lastColumn="0" w:noHBand="0" w:noVBand="1"/>
      </w:tblPr>
      <w:tblGrid>
        <w:gridCol w:w="2040"/>
        <w:gridCol w:w="1520"/>
        <w:gridCol w:w="1350"/>
        <w:gridCol w:w="1350"/>
      </w:tblGrid>
      <w:tr w:rsidR="00994CB3" w:rsidRPr="00994CB3" w:rsidTr="00994CB3">
        <w:trPr>
          <w:trHeight w:val="516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Incidence in all DTC survivors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patients, n(%)</w:t>
            </w:r>
          </w:p>
        </w:tc>
      </w:tr>
      <w:tr w:rsidR="00994CB3" w:rsidRPr="00994CB3" w:rsidTr="00994CB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left"/>
              <w:rPr>
                <w:rFonts w:ascii="Times New Roman" w:eastAsia="等线" w:hAnsi="Times New Roman" w:cs="Times New Roman"/>
                <w:color w:val="80808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80808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4CB3" w:rsidRPr="00994CB3" w:rsidRDefault="00994CB3" w:rsidP="00994C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+RAI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-RAI</w:t>
            </w:r>
          </w:p>
        </w:tc>
      </w:tr>
      <w:tr w:rsidR="00994CB3" w:rsidRPr="00994CB3" w:rsidTr="00994CB3">
        <w:trPr>
          <w:trHeight w:val="276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All cancer combined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4.4</w:t>
            </w:r>
            <w:r w:rsidR="008972D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2"/>
              </w:rPr>
              <w:t>7</w:t>
            </w:r>
            <w:r w:rsidRPr="00994CB3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2289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2339</w:t>
            </w:r>
          </w:p>
        </w:tc>
      </w:tr>
      <w:tr w:rsidR="00994CB3" w:rsidRPr="00994CB3" w:rsidTr="00994CB3">
        <w:trPr>
          <w:trHeight w:val="5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Oral Cavity and Pharynx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  <w:r w:rsidR="008972D6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56(2.4%)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51(2.2%)</w:t>
            </w:r>
          </w:p>
        </w:tc>
      </w:tr>
      <w:tr w:rsidR="00994CB3" w:rsidRPr="00994CB3" w:rsidTr="00994CB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Digestive System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</w:t>
            </w:r>
            <w:r w:rsidR="008972D6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319(13.9%)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356(15.2%)</w:t>
            </w:r>
          </w:p>
        </w:tc>
      </w:tr>
      <w:tr w:rsidR="00994CB3" w:rsidRPr="00994CB3" w:rsidTr="00994CB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Respiratory System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</w:t>
            </w:r>
            <w:r w:rsidR="008972D6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48</w:t>
            </w: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247(10.8%)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254(10.9%)</w:t>
            </w:r>
          </w:p>
        </w:tc>
      </w:tr>
      <w:tr w:rsidR="00994CB3" w:rsidRPr="00994CB3" w:rsidTr="00994CB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Skin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</w:t>
            </w:r>
            <w:r w:rsidR="008972D6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27</w:t>
            </w: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138(6.0%)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137(5.9%)</w:t>
            </w:r>
          </w:p>
        </w:tc>
      </w:tr>
      <w:tr w:rsidR="00994CB3" w:rsidRPr="00994CB3" w:rsidTr="00994CB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Breast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</w:t>
            </w:r>
            <w:r w:rsidR="008972D6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07</w:t>
            </w: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547(23.9%)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574(24.5%)</w:t>
            </w:r>
          </w:p>
        </w:tc>
      </w:tr>
      <w:tr w:rsidR="00994CB3" w:rsidRPr="00994CB3" w:rsidTr="00994CB3">
        <w:trPr>
          <w:trHeight w:val="5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 Genital System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</w:t>
            </w:r>
            <w:r w:rsidR="008972D6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35</w:t>
            </w: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179(7.8%)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206(8.8%)</w:t>
            </w:r>
          </w:p>
        </w:tc>
      </w:tr>
      <w:tr w:rsidR="00994CB3" w:rsidRPr="00994CB3" w:rsidTr="00994CB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 Genital System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</w:t>
            </w:r>
            <w:r w:rsidR="008972D6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46</w:t>
            </w: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237(10.4%)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233(10.0%)</w:t>
            </w:r>
          </w:p>
        </w:tc>
      </w:tr>
      <w:tr w:rsidR="00994CB3" w:rsidRPr="00994CB3" w:rsidTr="00994CB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Urinary System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</w:t>
            </w:r>
            <w:r w:rsidR="008972D6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37</w:t>
            </w: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194(8.5%)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191(8.2%)</w:t>
            </w:r>
          </w:p>
        </w:tc>
      </w:tr>
      <w:tr w:rsidR="00994CB3" w:rsidRPr="00994CB3" w:rsidTr="00994CB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Nervous System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</w:t>
            </w:r>
            <w:r w:rsidR="008972D6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06</w:t>
            </w: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30(1.3%)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36(1.5%)</w:t>
            </w:r>
          </w:p>
        </w:tc>
      </w:tr>
      <w:tr w:rsidR="00994CB3" w:rsidRPr="00994CB3" w:rsidTr="00994CB3">
        <w:trPr>
          <w:trHeight w:val="2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Hematologic System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</w:t>
            </w:r>
            <w:r w:rsidR="008972D6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261(11.4%)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215(9.2%)</w:t>
            </w:r>
          </w:p>
        </w:tc>
      </w:tr>
    </w:tbl>
    <w:p w:rsidR="0004709E" w:rsidRDefault="00994CB3" w:rsidP="00994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S1.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incidence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SMs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DTC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survivors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the proportion of each system of SMs by their site. </w:t>
      </w:r>
      <w:r w:rsidR="0004709E">
        <w:rPr>
          <w:rFonts w:ascii="Times New Roman" w:hAnsi="Times New Roman" w:cs="Times New Roman"/>
          <w:sz w:val="28"/>
          <w:szCs w:val="28"/>
        </w:rPr>
        <w:t>The</w:t>
      </w:r>
      <w:r w:rsidR="0004709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04709E">
        <w:rPr>
          <w:rFonts w:ascii="Times New Roman" w:hAnsi="Times New Roman" w:cs="Times New Roman"/>
          <w:sz w:val="28"/>
          <w:szCs w:val="28"/>
        </w:rPr>
        <w:t xml:space="preserve">second column (Incidence in all DTC survivors) shows the incidence of different SMs among all DTC survivors (104,026 patients in total), the third and </w:t>
      </w:r>
      <w:r w:rsidR="00DC452A">
        <w:rPr>
          <w:rFonts w:ascii="Times New Roman" w:hAnsi="Times New Roman" w:cs="Times New Roman"/>
          <w:sz w:val="28"/>
          <w:szCs w:val="28"/>
        </w:rPr>
        <w:t>fourth</w:t>
      </w:r>
      <w:r w:rsidR="0004709E">
        <w:rPr>
          <w:rFonts w:ascii="Times New Roman" w:hAnsi="Times New Roman" w:cs="Times New Roman"/>
          <w:sz w:val="28"/>
          <w:szCs w:val="28"/>
        </w:rPr>
        <w:t xml:space="preserve"> column shows the number (proportion in all SMs) of different SMs by their site.  </w:t>
      </w:r>
    </w:p>
    <w:p w:rsidR="00994CB3" w:rsidRDefault="00994CB3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200" w:type="dxa"/>
        <w:tblLook w:val="04A0" w:firstRow="1" w:lastRow="0" w:firstColumn="1" w:lastColumn="0" w:noHBand="0" w:noVBand="1"/>
      </w:tblPr>
      <w:tblGrid>
        <w:gridCol w:w="2400"/>
        <w:gridCol w:w="1640"/>
        <w:gridCol w:w="1160"/>
      </w:tblGrid>
      <w:tr w:rsidR="00994CB3" w:rsidRPr="00994CB3" w:rsidTr="00994CB3">
        <w:trPr>
          <w:trHeight w:val="5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Crude RR   (95% CI)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  <w:t>P value</w:t>
            </w:r>
          </w:p>
        </w:tc>
      </w:tr>
      <w:tr w:rsidR="00994CB3" w:rsidRPr="00994CB3" w:rsidTr="00994CB3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All cancer combined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1.01(0.95-1.07)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0.749</w:t>
            </w:r>
          </w:p>
        </w:tc>
      </w:tr>
      <w:tr w:rsidR="00994CB3" w:rsidRPr="00994CB3" w:rsidTr="00994CB3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Oral Cavity and Pharynx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1.13(0.78-1.66)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0.520</w:t>
            </w:r>
          </w:p>
        </w:tc>
      </w:tr>
      <w:tr w:rsidR="00994CB3" w:rsidRPr="00994CB3" w:rsidTr="00994CB3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Digestive System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0.92(0.79-1.08)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0.310</w:t>
            </w:r>
          </w:p>
        </w:tc>
      </w:tr>
      <w:tr w:rsidR="00994CB3" w:rsidRPr="00994CB3" w:rsidTr="00994CB3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Respiratory System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1.00(0.84-1.20)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0.971</w:t>
            </w:r>
          </w:p>
        </w:tc>
      </w:tr>
      <w:tr w:rsidR="00994CB3" w:rsidRPr="00994CB3" w:rsidTr="00994CB3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Skin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1.04(0.82-1.31)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0.750</w:t>
            </w:r>
          </w:p>
        </w:tc>
      </w:tr>
      <w:tr w:rsidR="00994CB3" w:rsidRPr="00994CB3" w:rsidTr="00994CB3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Breast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0.98(0.87-1.11)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0.778</w:t>
            </w:r>
          </w:p>
        </w:tc>
      </w:tr>
      <w:tr w:rsidR="00994CB3" w:rsidRPr="00994CB3" w:rsidTr="00994CB3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Female Genital System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0.90(0.73-1.10)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0.286</w:t>
            </w:r>
          </w:p>
        </w:tc>
      </w:tr>
      <w:tr w:rsidR="00994CB3" w:rsidRPr="00994CB3" w:rsidTr="00994CB3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Male Genital System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1.05(0.88-1.26)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0.602</w:t>
            </w:r>
          </w:p>
        </w:tc>
      </w:tr>
      <w:tr w:rsidR="00994CB3" w:rsidRPr="00994CB3" w:rsidTr="00994CB3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Urinary System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1.05(0.86-1.28)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0.647</w:t>
            </w:r>
          </w:p>
        </w:tc>
      </w:tr>
      <w:tr w:rsidR="00994CB3" w:rsidRPr="00994CB3" w:rsidTr="00994CB3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Nervous System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0.86(0.53-1.40)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0.541</w:t>
            </w:r>
          </w:p>
        </w:tc>
      </w:tr>
      <w:tr w:rsidR="00994CB3" w:rsidRPr="00994CB3" w:rsidTr="00994CB3">
        <w:trPr>
          <w:trHeight w:val="27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Hematologic System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kern w:val="0"/>
                <w:sz w:val="22"/>
              </w:rPr>
              <w:t>1.25(1.05-1.50)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B3" w:rsidRPr="00994CB3" w:rsidRDefault="00994CB3" w:rsidP="00994CB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994CB3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0.015</w:t>
            </w:r>
          </w:p>
        </w:tc>
      </w:tr>
    </w:tbl>
    <w:p w:rsidR="00994CB3" w:rsidRDefault="00994CB3" w:rsidP="00994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able S2</w:t>
      </w:r>
      <w:r>
        <w:rPr>
          <w:rFonts w:ascii="Times New Roman" w:hAnsi="Times New Roman" w:cs="Times New Roman" w:hint="eastAsia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crude relative risk of SMs associated with RAI treatment </w:t>
      </w:r>
      <w:r w:rsidRPr="000B19DE">
        <w:rPr>
          <w:rFonts w:ascii="Times New Roman" w:hAnsi="Times New Roman" w:cs="Times New Roman"/>
          <w:sz w:val="28"/>
          <w:szCs w:val="28"/>
        </w:rPr>
        <w:t>by the site</w:t>
      </w:r>
      <w:r>
        <w:rPr>
          <w:rFonts w:ascii="Times New Roman" w:hAnsi="Times New Roman" w:cs="Times New Roman"/>
          <w:sz w:val="28"/>
          <w:szCs w:val="28"/>
        </w:rPr>
        <w:t xml:space="preserve"> of SMs.</w:t>
      </w:r>
    </w:p>
    <w:p w:rsidR="00F817B3" w:rsidRPr="00994CB3" w:rsidRDefault="00F817B3">
      <w:bookmarkStart w:id="0" w:name="_GoBack"/>
      <w:bookmarkEnd w:id="0"/>
    </w:p>
    <w:sectPr w:rsidR="00F817B3" w:rsidRPr="00994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D1" w:rsidRDefault="003329D1" w:rsidP="00AF36E1">
      <w:r>
        <w:separator/>
      </w:r>
    </w:p>
  </w:endnote>
  <w:endnote w:type="continuationSeparator" w:id="0">
    <w:p w:rsidR="003329D1" w:rsidRDefault="003329D1" w:rsidP="00AF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D1" w:rsidRDefault="003329D1" w:rsidP="00AF36E1">
      <w:r>
        <w:separator/>
      </w:r>
    </w:p>
  </w:footnote>
  <w:footnote w:type="continuationSeparator" w:id="0">
    <w:p w:rsidR="003329D1" w:rsidRDefault="003329D1" w:rsidP="00AF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1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CA"/>
    <w:rsid w:val="0004709E"/>
    <w:rsid w:val="002B5D4F"/>
    <w:rsid w:val="002F0387"/>
    <w:rsid w:val="00302D12"/>
    <w:rsid w:val="003329D1"/>
    <w:rsid w:val="00364F6C"/>
    <w:rsid w:val="003947EE"/>
    <w:rsid w:val="00604FF2"/>
    <w:rsid w:val="00842C2B"/>
    <w:rsid w:val="008972D6"/>
    <w:rsid w:val="00994CB3"/>
    <w:rsid w:val="00AF36E1"/>
    <w:rsid w:val="00CA4ADA"/>
    <w:rsid w:val="00DC452A"/>
    <w:rsid w:val="00E61945"/>
    <w:rsid w:val="00E76BCA"/>
    <w:rsid w:val="00EE38EB"/>
    <w:rsid w:val="00EF01AA"/>
    <w:rsid w:val="00F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472E77-F2D6-4AD1-BC16-04F07039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36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3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36E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F038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F03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307</Words>
  <Characters>1753</Characters>
  <Application>Microsoft Office Word</Application>
  <DocSecurity>0</DocSecurity>
  <Lines>14</Lines>
  <Paragraphs>4</Paragraphs>
  <ScaleCrop>false</ScaleCrop>
  <Company>上海交通大学医学院附属新华医院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2020-06-05T06:42:00Z</dcterms:created>
  <dcterms:modified xsi:type="dcterms:W3CDTF">2021-04-29T00:20:00Z</dcterms:modified>
</cp:coreProperties>
</file>