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="1" w:tblpY="811"/>
        <w:tblW w:w="105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2"/>
        <w:gridCol w:w="1037"/>
        <w:gridCol w:w="1449"/>
        <w:gridCol w:w="1408"/>
        <w:gridCol w:w="1064"/>
        <w:gridCol w:w="77"/>
        <w:gridCol w:w="1285"/>
        <w:gridCol w:w="1285"/>
        <w:gridCol w:w="11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586" w:type="dxa"/>
            <w:gridSpan w:val="9"/>
            <w:tcBorders>
              <w:top w:val="single" w:color="FFFFFF" w:themeColor="background1" w:sz="12" w:space="0"/>
              <w:left w:val="nil"/>
              <w:bottom w:val="single" w:color="000000" w:themeColor="text1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等线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 xml:space="preserve">Supplement 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</w:rPr>
              <w:t xml:space="preserve">Table </w:t>
            </w:r>
            <w:r>
              <w:rPr>
                <w:rFonts w:hint="eastAsia" w:eastAsia="等线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Clinicop</w:t>
            </w:r>
            <w:r>
              <w:rPr>
                <w:rFonts w:hint="default" w:ascii="Times New Roman" w:hAnsi="Times New Roman" w:eastAsia="等线" w:cs="Times New Roman"/>
                <w:b w:val="0"/>
                <w:bCs w:val="0"/>
                <w:color w:val="auto"/>
                <w:sz w:val="20"/>
                <w:szCs w:val="20"/>
              </w:rPr>
              <w:t>athological characteristics before and after PSM</w:t>
            </w:r>
            <w:r>
              <w:rPr>
                <w:rFonts w:hint="eastAsia" w:eastAsia="等线" w:cs="Times New Roman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 xml:space="preserve"> in the group of 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γ</w:t>
            </w:r>
            <w:r>
              <w:rPr>
                <w:rFonts w:hint="default" w:ascii="Times New Roman" w:hAnsi="Times New Roman" w:eastAsia="等线" w:cs="Times New Roman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-GT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≤54U/L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869" w:type="dxa"/>
            <w:gridSpan w:val="2"/>
            <w:vMerge w:val="restart"/>
            <w:tcBorders>
              <w:top w:val="single" w:color="000000" w:themeColor="text1" w:sz="12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</w:rPr>
              <w:t>Characteristic</w:t>
            </w:r>
          </w:p>
        </w:tc>
        <w:tc>
          <w:tcPr>
            <w:tcW w:w="3921" w:type="dxa"/>
            <w:gridSpan w:val="3"/>
            <w:tcBorders>
              <w:top w:val="single" w:color="000000" w:themeColor="text1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</w:rPr>
              <w:t>Before PSM</w:t>
            </w:r>
          </w:p>
        </w:tc>
        <w:tc>
          <w:tcPr>
            <w:tcW w:w="77" w:type="dxa"/>
            <w:tcBorders>
              <w:top w:val="single" w:color="000000" w:themeColor="text1" w:sz="12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</w:rPr>
              <w:t>　</w:t>
            </w:r>
          </w:p>
        </w:tc>
        <w:tc>
          <w:tcPr>
            <w:tcW w:w="3719" w:type="dxa"/>
            <w:gridSpan w:val="3"/>
            <w:tcBorders>
              <w:top w:val="single" w:color="000000" w:themeColor="text1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</w:rPr>
              <w:t>After PSM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869" w:type="dxa"/>
            <w:gridSpan w:val="2"/>
            <w:vMerge w:val="continue"/>
            <w:tcBorders>
              <w:top w:val="single" w:color="auto" w:sz="8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等线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等线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Non-TACE</w:t>
            </w: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（n=</w:t>
            </w:r>
            <w:r>
              <w:rPr>
                <w:rFonts w:hint="eastAsia" w:eastAsia="等线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707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1408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等线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PA-TACE</w:t>
            </w: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（n=</w:t>
            </w:r>
            <w:r>
              <w:rPr>
                <w:rFonts w:hint="eastAsia" w:eastAsia="等线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240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/>
                <w:iCs/>
                <w:color w:val="auto"/>
                <w:sz w:val="20"/>
                <w:szCs w:val="20"/>
              </w:rPr>
              <w:t>P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</w:rPr>
              <w:t>-value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等线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等线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Non-TACE</w:t>
            </w: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（n=</w:t>
            </w:r>
            <w:r>
              <w:rPr>
                <w:rFonts w:hint="eastAsia" w:eastAsia="等线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240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等线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PA-TACE</w:t>
            </w: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（n=</w:t>
            </w:r>
            <w:r>
              <w:rPr>
                <w:rFonts w:hint="eastAsia" w:eastAsia="等线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240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1149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/>
                <w:iCs/>
                <w:color w:val="auto"/>
                <w:sz w:val="20"/>
                <w:szCs w:val="20"/>
              </w:rPr>
              <w:t>P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</w:rPr>
              <w:t>-value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869" w:type="dxa"/>
            <w:gridSpan w:val="2"/>
            <w:vMerge w:val="continue"/>
            <w:tcBorders>
              <w:top w:val="single" w:color="auto" w:sz="8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49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49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tabs>
                <w:tab w:val="center" w:pos="806"/>
              </w:tabs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Age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(years)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Mean±SD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52.4(10.6)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52.0 (10.4)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0.624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51.9 (10.5)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52.0 (10.4)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eastAsia" w:eastAsia="宋体" w:cs="Times New Roman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0.896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等线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Sex</w:t>
            </w:r>
            <w:bookmarkStart w:id="0" w:name="_GoBack"/>
            <w:bookmarkEnd w:id="0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  <w:t>Female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139 (19.7%)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 xml:space="preserve"> (1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7.9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%)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0.619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44 (18.3%)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 xml:space="preserve"> (1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7.9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%)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eastAsia" w:eastAsia="等线" w:cs="Times New Roman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  <w:t>Male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568 (80.3%)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19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 xml:space="preserve"> (8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%)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200" w:firstLineChars="10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196 (81.7%)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19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 xml:space="preserve"> (8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%)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</w:rPr>
              <w:t>H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BV infection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108 (15.3%)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31 (12.9%)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ind w:firstLine="200" w:firstLineChars="10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0.431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27 (11.2%)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31 (12.9%)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0.674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Yes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599 (84.7%)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209 (87.1%)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200" w:firstLineChars="10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213 (88.8%)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209 (87.1%)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</w:rPr>
              <w:t>Cirrhosis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243 (34.4%)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72 (30.0%)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0.245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76 (31.7%)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72 (30.0%)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0.767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Yes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464 (65.6%)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16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 xml:space="preserve"> (68.3%)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200" w:firstLineChars="10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164 (68.3%)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16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 xml:space="preserve"> (68.3%)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TBil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μmol/L)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Mean±SD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14.0 (5.49)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14.8 (5.66)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0.05</w:t>
            </w:r>
            <w:r>
              <w:rPr>
                <w:rFonts w:hint="eastAsia" w:eastAsia="宋体" w:cs="Times New Roman"/>
                <w:color w:val="auto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200" w:firstLineChars="10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14.7 (5.62)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14.8 (5.66)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  <w:lang w:val="en-US" w:eastAsia="zh-CN"/>
              </w:rPr>
              <w:t>0.767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  <w:t xml:space="preserve">Child-pugh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692 (97.9%)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233 (97.1%)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0.647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200" w:firstLineChars="10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236 (98.3%)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233 (97.1%)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  <w:lang w:val="en-US" w:eastAsia="zh-CN"/>
              </w:rPr>
              <w:t>0.542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B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15 (2.1%)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7 (2.9%)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200" w:firstLineChars="10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4 (1.7%)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7 (2.9%)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</w:rPr>
              <w:t>AFP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(ng/ml)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≤400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498 (70.4%)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164 (68.3%)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ind w:firstLine="200" w:firstLineChars="10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0.594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162 (67.5%)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164 (68.3%)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0.922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&gt;400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209 (29.6%)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76 (31.7%)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200" w:firstLineChars="10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78 (32.5%)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76 (31.7%)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</w:rPr>
              <w:t>Transfusion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692 (97.9%)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234 (97.5%)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0.928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235 (97.9%)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234 (97.5%)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ind w:firstLine="400" w:firstLineChars="200"/>
              <w:jc w:val="both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Yes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15 (2.1%)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6 (2.5%)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200" w:firstLineChars="10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5 (2.1%)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6 (2.5%)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</w:rPr>
              <w:t>Tumor number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  <w:t>Single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614 (86.8%)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185 (77.1%)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eastAsia" w:eastAsia="宋体" w:cs="Times New Roman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&lt;0.001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186 (77.5%)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185 (77.1%)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eastAsia" w:eastAsia="等线" w:cs="Times New Roman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  <w:t>Multiple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93 (13.2%)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55 (22.9%)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200" w:firstLineChars="10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54 (22.5%)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55 (22.9%)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</w:rPr>
              <w:t xml:space="preserve">Tumor 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diameter</w:t>
            </w:r>
            <w:r>
              <w:rPr>
                <w:rFonts w:hint="default" w:ascii="Times New Roman" w:hAnsi="Times New Roman" w:eastAsia="等线" w:cs="Times New Roman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(cm)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Mean±SD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4.49 (2.60)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4.90 (2.72)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eastAsia" w:eastAsia="宋体" w:cs="Times New Roman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0.043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4.93 (2.91)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4.90 (2.72)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eastAsia" w:eastAsia="宋体" w:cs="Times New Roman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0.908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ES grading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I/II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75 (10.6%)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24 (10.0%)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0.885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26 (10.8%)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24 (10.0%)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0.881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III/IV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632 (89.4%)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216 (90.0%)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200" w:firstLineChars="10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214 (89.2%)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216 (90.0%)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</w:rPr>
              <w:t>Capsule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Present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572 (80.9%)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198 (82.5%)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eastAsia" w:eastAsia="宋体" w:cs="Times New Roman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0.651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186 (77.5%)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198 (82.5%)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eastAsia" w:eastAsia="宋体" w:cs="Times New Roman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0.209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Absent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135 (19.1%)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42 (17.5%)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200" w:firstLineChars="10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54 (22.5%)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42 (17.5%)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</w:rPr>
              <w:t>Satellite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441 (62.4%)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131 (54.6%)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 0.040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138 (57.5%)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131 (54.6%)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eastAsia" w:eastAsia="宋体" w:cs="Times New Roman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0.581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Yes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266 (37.6%)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109 (45.4%)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200" w:firstLineChars="10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102 (42.5%)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109 (45.4%)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BCLC stage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62 (8.8%)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17 (7.1%)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0.015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200" w:firstLineChars="10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24 (10.0%)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17 (7.1%)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ind w:firstLine="200" w:firstLineChars="100"/>
              <w:jc w:val="both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  <w:lang w:val="en-US" w:eastAsia="zh-CN"/>
              </w:rPr>
              <w:t>0.500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573 (81.0%)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182 (75.8%)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200" w:firstLineChars="10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174 (72.5%)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182 (75.8%)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B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72 (10.2%)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41 (17.1%)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200" w:firstLineChars="10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42 (17.5%)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41 (17.1%)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AJCC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  <w:lang w:val="en-US" w:eastAsia="zh-CN"/>
              </w:rPr>
              <w:t>Ia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62 (8.8%)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17 (7.1%)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0.032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200" w:firstLineChars="10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24 (10.0%)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17 (7.1%)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ind w:firstLine="200" w:firstLineChars="100"/>
              <w:jc w:val="both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0.369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  <w:lang w:val="en-US" w:eastAsia="zh-CN"/>
              </w:rPr>
              <w:t>Ib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386 (54.6%)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109 (45.4%)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200" w:firstLineChars="10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111 (46.2%)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109 (45.4%)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  <w:lang w:val="en-US" w:eastAsia="zh-CN"/>
              </w:rPr>
              <w:t>II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226 (32.0%)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96 (40.0%)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200" w:firstLineChars="10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84 (35.0%)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96 (40.0%)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  <w:lang w:val="en-US" w:eastAsia="zh-CN"/>
              </w:rPr>
              <w:t>IIIa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33 (4.7%)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18 (7.5%)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200" w:firstLineChars="10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21 (8.8%)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18 (7.5%)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CNLC stage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Ia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433 (61.2%)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116 (48.3%)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&lt;0.001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200" w:firstLineChars="10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112 (46.7%)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116 (48.3%)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ind w:firstLine="200" w:firstLineChars="100"/>
              <w:jc w:val="both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0.972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Ib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202 (28.6%)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83 (34.6%)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200" w:firstLineChars="10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86 (35.8%)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83 (34.6%)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IIa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60 (8.5%)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30 (12.5%)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200" w:firstLineChars="10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32 (13.3%)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30 (12.5%)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IIb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12 (1.7%)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11 (4.6%)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200" w:firstLineChars="10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10 (4.2%)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11 (4.6%)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0586" w:type="dxa"/>
            <w:gridSpan w:val="9"/>
            <w:tcBorders>
              <w:top w:val="single" w:color="000000" w:themeColor="text1" w:sz="12" w:space="0"/>
              <w:left w:val="nil"/>
              <w:bottom w:val="single" w:color="FFFFFF" w:themeColor="background1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sz w:val="22"/>
              </w:rPr>
              <w:t>Note:</w:t>
            </w:r>
            <w:r>
              <w:rPr>
                <w:rFonts w:hint="eastAsia" w:eastAsia="等线" w:cs="Times New Roman"/>
                <w:color w:val="auto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 xml:space="preserve">HBV, hepatitis B virus, TBil, total bilirubin; AFP, </w:t>
            </w:r>
            <w:r>
              <w:rPr>
                <w:rFonts w:hint="default" w:ascii="Times New Roman" w:hAnsi="Times New Roman" w:eastAsia="Book Antiqua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alpha-fetoprotein;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 xml:space="preserve">γ-GT, </w:t>
            </w:r>
            <w:r>
              <w:rPr>
                <w:rFonts w:hint="default" w:ascii="Times New Roman" w:hAnsi="Times New Roman" w:eastAsia="Arial Unicode MS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gamma-glutamyl transferase; </w:t>
            </w:r>
            <w:r>
              <w:rPr>
                <w:rFonts w:hint="default" w:ascii="Times New Roman" w:hAnsi="Times New Roman" w:eastAsia="Book Antiqua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ES, Edmondson-Steiner;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 xml:space="preserve">MVI, microvascular invasion;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PA-</w:t>
            </w:r>
            <w:r>
              <w:rPr>
                <w:rFonts w:hint="default" w:ascii="Times New Roman" w:hAnsi="Times New Roman" w:eastAsia="Book Antiqua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TACE, postoperative adjuvant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transarterial chemoembolization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 xml:space="preserve">;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 xml:space="preserve">AJCC, </w:t>
            </w:r>
            <w:r>
              <w:rPr>
                <w:rFonts w:hint="default" w:ascii="Times New Roman" w:hAnsi="Times New Roman" w:eastAsia="AdvOT5fcf1b24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according to the 8th American joint committee on cancer staging; CNLC, CNLC staging was defined according the Chinese guideline for HCC.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dvOT5fcf1b2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C3"/>
    <w:rsid w:val="00304F77"/>
    <w:rsid w:val="003B7535"/>
    <w:rsid w:val="004217C3"/>
    <w:rsid w:val="00527501"/>
    <w:rsid w:val="005D413D"/>
    <w:rsid w:val="0067666E"/>
    <w:rsid w:val="00721DF8"/>
    <w:rsid w:val="007D0F2D"/>
    <w:rsid w:val="00CD5DD5"/>
    <w:rsid w:val="00EA3725"/>
    <w:rsid w:val="00EE5F33"/>
    <w:rsid w:val="00F7723E"/>
    <w:rsid w:val="00FA603A"/>
    <w:rsid w:val="02A334C7"/>
    <w:rsid w:val="054D768E"/>
    <w:rsid w:val="05CC2AD6"/>
    <w:rsid w:val="06461830"/>
    <w:rsid w:val="07044717"/>
    <w:rsid w:val="0959789E"/>
    <w:rsid w:val="09F26BA4"/>
    <w:rsid w:val="102F4E8F"/>
    <w:rsid w:val="12660025"/>
    <w:rsid w:val="162B3231"/>
    <w:rsid w:val="1A8154F1"/>
    <w:rsid w:val="1D864CE1"/>
    <w:rsid w:val="2A811233"/>
    <w:rsid w:val="2B4238E7"/>
    <w:rsid w:val="34583E9F"/>
    <w:rsid w:val="3B944C1A"/>
    <w:rsid w:val="3F5005D9"/>
    <w:rsid w:val="46681855"/>
    <w:rsid w:val="4D7F314E"/>
    <w:rsid w:val="593A7A3B"/>
    <w:rsid w:val="5A967ADF"/>
    <w:rsid w:val="62387DA6"/>
    <w:rsid w:val="64071A99"/>
    <w:rsid w:val="64CB045F"/>
    <w:rsid w:val="733C461A"/>
    <w:rsid w:val="7F15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字符"/>
    <w:basedOn w:val="6"/>
    <w:link w:val="3"/>
    <w:qFormat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imes New Roman" w:hAnsi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436</Words>
  <Characters>2488</Characters>
  <Lines>20</Lines>
  <Paragraphs>5</Paragraphs>
  <TotalTime>0</TotalTime>
  <ScaleCrop>false</ScaleCrop>
  <LinksUpToDate>false</LinksUpToDate>
  <CharactersWithSpaces>2919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2019-08-07T09:45:00Z</dcterms:created>
  <dc:creator>Dr.D</dc:creator>
  <cp:lastModifiedBy>会痛的石头</cp:lastModifiedBy>
  <dcterms:modified xsi:type="dcterms:W3CDTF">2021-10-04T09:58:49Z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37D42D36C7B94E86BA312795862B55B9</vt:lpwstr>
  </property>
</Properties>
</file>