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2368" w14:textId="77777777" w:rsidR="00485D47" w:rsidRPr="00E4000E" w:rsidRDefault="00485D47" w:rsidP="00485D47">
      <w:pPr>
        <w:pStyle w:val="NoSpacing"/>
        <w:rPr>
          <w:rFonts w:ascii="Times New Roman" w:hAnsi="Times New Roman" w:cs="Times New Roman"/>
          <w:sz w:val="24"/>
        </w:rPr>
      </w:pPr>
      <w:r w:rsidRPr="00E4000E">
        <w:rPr>
          <w:rFonts w:ascii="Times New Roman" w:hAnsi="Times New Roman" w:cs="Times New Roman"/>
          <w:sz w:val="24"/>
        </w:rPr>
        <w:t>Supplemental Figure 1: Patient Selection</w:t>
      </w:r>
    </w:p>
    <w:p w14:paraId="0F2E2859" w14:textId="77777777" w:rsidR="00485D47" w:rsidRPr="00E4000E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78CE9075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2788C633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3A37EAD" wp14:editId="123FA74B">
            <wp:extent cx="5943600" cy="3796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8695F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3A5F28FE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6FB47D0D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7A2E4152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5B8CF2AE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4946DBD8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3E6CD71E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70857815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4B5CA3D5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3C05F2ED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4B45520D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3D69A267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18880F8E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36C96EA9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68A72C73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7061168F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57AB6389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651654B6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24BCB112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75E1C90A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71EA8C1A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4ABC4C53" w14:textId="77777777" w:rsidR="0060000F" w:rsidRDefault="0060000F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7D60F65D" w14:textId="15D941C1" w:rsidR="00485D47" w:rsidRPr="00E4000E" w:rsidRDefault="00485D47" w:rsidP="00485D47">
      <w:pPr>
        <w:pStyle w:val="NoSpacing"/>
        <w:rPr>
          <w:rFonts w:ascii="Times New Roman" w:hAnsi="Times New Roman" w:cs="Times New Roman"/>
          <w:sz w:val="24"/>
        </w:rPr>
      </w:pPr>
      <w:r w:rsidRPr="00E4000E">
        <w:rPr>
          <w:rFonts w:ascii="Times New Roman" w:hAnsi="Times New Roman" w:cs="Times New Roman"/>
          <w:sz w:val="24"/>
        </w:rPr>
        <w:lastRenderedPageBreak/>
        <w:t xml:space="preserve">Supplemental Table 1: Drug agents classified as immunotherapy according to the NCDB </w:t>
      </w:r>
    </w:p>
    <w:p w14:paraId="0BD84753" w14:textId="77777777" w:rsidR="00485D47" w:rsidRPr="00E4000E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5D47" w:rsidRPr="00E4000E" w14:paraId="36FE7CF5" w14:textId="77777777" w:rsidTr="00B32DAA">
        <w:tc>
          <w:tcPr>
            <w:tcW w:w="4675" w:type="dxa"/>
            <w:vAlign w:val="center"/>
          </w:tcPr>
          <w:p w14:paraId="0334E03F" w14:textId="77777777" w:rsidR="00485D47" w:rsidRPr="00E4000E" w:rsidRDefault="00485D47" w:rsidP="00B32D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Checkpoint Inhibitors</w:t>
            </w:r>
          </w:p>
          <w:p w14:paraId="1E8B80FE" w14:textId="77777777" w:rsidR="00485D47" w:rsidRPr="00E4000E" w:rsidRDefault="00485D47" w:rsidP="00B32D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8E05B47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Atezolizumab</w:t>
            </w:r>
          </w:p>
          <w:p w14:paraId="021A9CD2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Durvalumab</w:t>
            </w:r>
          </w:p>
          <w:p w14:paraId="51FED897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Ipilimumab</w:t>
            </w:r>
          </w:p>
          <w:p w14:paraId="38C7EA75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Nivolumab</w:t>
            </w:r>
          </w:p>
          <w:p w14:paraId="687A4D90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Pembrolizumab</w:t>
            </w:r>
          </w:p>
        </w:tc>
      </w:tr>
      <w:tr w:rsidR="00485D47" w:rsidRPr="00E4000E" w14:paraId="0ABC06EB" w14:textId="77777777" w:rsidTr="00B32DAA">
        <w:tc>
          <w:tcPr>
            <w:tcW w:w="4675" w:type="dxa"/>
            <w:vAlign w:val="center"/>
          </w:tcPr>
          <w:p w14:paraId="5C0C8F34" w14:textId="77777777" w:rsidR="00485D47" w:rsidRPr="00E4000E" w:rsidRDefault="00485D47" w:rsidP="00B32D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Anti-VEGF/ Angiogenesis inhibitor</w:t>
            </w:r>
          </w:p>
        </w:tc>
        <w:tc>
          <w:tcPr>
            <w:tcW w:w="4675" w:type="dxa"/>
          </w:tcPr>
          <w:p w14:paraId="68DEB3AD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Bevacizumab</w:t>
            </w:r>
          </w:p>
          <w:p w14:paraId="429FE25E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00E">
              <w:rPr>
                <w:rFonts w:ascii="Times New Roman" w:hAnsi="Times New Roman" w:cs="Times New Roman"/>
                <w:sz w:val="24"/>
              </w:rPr>
              <w:t>Cyramza</w:t>
            </w:r>
            <w:proofErr w:type="spellEnd"/>
          </w:p>
        </w:tc>
      </w:tr>
      <w:tr w:rsidR="00485D47" w:rsidRPr="00E4000E" w14:paraId="166BCBB3" w14:textId="77777777" w:rsidTr="00B32DAA">
        <w:tc>
          <w:tcPr>
            <w:tcW w:w="4675" w:type="dxa"/>
            <w:vAlign w:val="center"/>
          </w:tcPr>
          <w:p w14:paraId="6A6225E2" w14:textId="77777777" w:rsidR="00485D47" w:rsidRPr="00E4000E" w:rsidRDefault="00485D47" w:rsidP="00B32D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EGFR Antibody</w:t>
            </w:r>
          </w:p>
        </w:tc>
        <w:tc>
          <w:tcPr>
            <w:tcW w:w="4675" w:type="dxa"/>
          </w:tcPr>
          <w:p w14:paraId="52543800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Cetuximab</w:t>
            </w:r>
          </w:p>
          <w:p w14:paraId="03F53D3B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00E">
              <w:rPr>
                <w:rFonts w:ascii="Times New Roman" w:hAnsi="Times New Roman" w:cs="Times New Roman"/>
                <w:sz w:val="24"/>
              </w:rPr>
              <w:t>Dalotuzumab</w:t>
            </w:r>
            <w:proofErr w:type="spellEnd"/>
          </w:p>
          <w:p w14:paraId="723AC31E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Necitumumab</w:t>
            </w:r>
          </w:p>
          <w:p w14:paraId="535C4910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Panitumumab</w:t>
            </w:r>
          </w:p>
        </w:tc>
      </w:tr>
      <w:tr w:rsidR="00485D47" w:rsidRPr="00E4000E" w14:paraId="06725E4A" w14:textId="77777777" w:rsidTr="00B32DAA">
        <w:tc>
          <w:tcPr>
            <w:tcW w:w="4675" w:type="dxa"/>
            <w:vAlign w:val="center"/>
          </w:tcPr>
          <w:p w14:paraId="4072402F" w14:textId="77777777" w:rsidR="00485D47" w:rsidRPr="00E4000E" w:rsidRDefault="00485D47" w:rsidP="00B32D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Vaccines/ Adenoviral p53 Gene Therapy</w:t>
            </w:r>
          </w:p>
        </w:tc>
        <w:tc>
          <w:tcPr>
            <w:tcW w:w="4675" w:type="dxa"/>
          </w:tcPr>
          <w:p w14:paraId="7A1520B7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BLP25</w:t>
            </w:r>
          </w:p>
          <w:p w14:paraId="1794FDED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BMS-936558</w:t>
            </w:r>
          </w:p>
          <w:p w14:paraId="49DE20DF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CEA-Vac</w:t>
            </w:r>
          </w:p>
          <w:p w14:paraId="699FF88E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EC-2101</w:t>
            </w:r>
          </w:p>
          <w:p w14:paraId="390F4EDB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Dendritic cell-P53</w:t>
            </w:r>
          </w:p>
          <w:p w14:paraId="1B50F749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00E">
              <w:rPr>
                <w:rFonts w:ascii="Times New Roman" w:hAnsi="Times New Roman" w:cs="Times New Roman"/>
                <w:sz w:val="24"/>
              </w:rPr>
              <w:t>Egf</w:t>
            </w:r>
            <w:proofErr w:type="spellEnd"/>
            <w:r w:rsidRPr="00E4000E">
              <w:rPr>
                <w:rFonts w:ascii="Times New Roman" w:hAnsi="Times New Roman" w:cs="Times New Roman"/>
                <w:sz w:val="24"/>
              </w:rPr>
              <w:t xml:space="preserve"> Cancer Vaccine</w:t>
            </w:r>
          </w:p>
          <w:p w14:paraId="0C2B6930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00E">
              <w:rPr>
                <w:rFonts w:ascii="Times New Roman" w:hAnsi="Times New Roman" w:cs="Times New Roman"/>
                <w:sz w:val="24"/>
              </w:rPr>
              <w:t>Fowlpox</w:t>
            </w:r>
            <w:proofErr w:type="spellEnd"/>
            <w:r w:rsidRPr="00E4000E">
              <w:rPr>
                <w:rFonts w:ascii="Times New Roman" w:hAnsi="Times New Roman" w:cs="Times New Roman"/>
                <w:sz w:val="24"/>
              </w:rPr>
              <w:t>-CEA (6D)</w:t>
            </w:r>
          </w:p>
          <w:p w14:paraId="786F1CB8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GVAX Lung Cancer Vaccine</w:t>
            </w:r>
          </w:p>
          <w:p w14:paraId="59ADA738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INGN 201</w:t>
            </w:r>
          </w:p>
          <w:p w14:paraId="75F4EA3B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IV IL-2 Gene Medicine</w:t>
            </w:r>
          </w:p>
          <w:p w14:paraId="4FCABFEF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Lung Cancer Vaccine</w:t>
            </w:r>
          </w:p>
          <w:p w14:paraId="3032203F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MGV Vaccine</w:t>
            </w:r>
          </w:p>
          <w:p w14:paraId="0E0BE45C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MVA-Muc1-IL2</w:t>
            </w:r>
          </w:p>
          <w:p w14:paraId="79445E3B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P53 and RAS vaccine</w:t>
            </w:r>
          </w:p>
          <w:p w14:paraId="4EE00235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RAS 5-17 Peptide Vaccine</w:t>
            </w:r>
          </w:p>
          <w:p w14:paraId="02C18000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SB249553</w:t>
            </w:r>
          </w:p>
          <w:p w14:paraId="5458442F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TBC-CEA</w:t>
            </w:r>
          </w:p>
          <w:p w14:paraId="593CA427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Vaccinia-CEA</w:t>
            </w:r>
          </w:p>
        </w:tc>
      </w:tr>
      <w:tr w:rsidR="00485D47" w:rsidRPr="00E4000E" w14:paraId="48F77BD0" w14:textId="77777777" w:rsidTr="00B32DAA">
        <w:tc>
          <w:tcPr>
            <w:tcW w:w="4675" w:type="dxa"/>
            <w:vAlign w:val="center"/>
          </w:tcPr>
          <w:p w14:paraId="6C97E27F" w14:textId="77777777" w:rsidR="00485D47" w:rsidRPr="00E4000E" w:rsidRDefault="00485D47" w:rsidP="00B32D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Other</w:t>
            </w:r>
          </w:p>
        </w:tc>
        <w:tc>
          <w:tcPr>
            <w:tcW w:w="4675" w:type="dxa"/>
          </w:tcPr>
          <w:p w14:paraId="19D90306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Thalidomide</w:t>
            </w:r>
          </w:p>
          <w:p w14:paraId="3555AB69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 xml:space="preserve">Matrix </w:t>
            </w:r>
            <w:proofErr w:type="spellStart"/>
            <w:r w:rsidRPr="00E4000E">
              <w:rPr>
                <w:rFonts w:ascii="Times New Roman" w:hAnsi="Times New Roman" w:cs="Times New Roman"/>
                <w:sz w:val="24"/>
              </w:rPr>
              <w:t>Metalloproteinease</w:t>
            </w:r>
            <w:proofErr w:type="spellEnd"/>
            <w:r w:rsidRPr="00E4000E">
              <w:rPr>
                <w:rFonts w:ascii="Times New Roman" w:hAnsi="Times New Roman" w:cs="Times New Roman"/>
                <w:sz w:val="24"/>
              </w:rPr>
              <w:t xml:space="preserve"> Inhibitor</w:t>
            </w:r>
          </w:p>
          <w:p w14:paraId="329DB7C2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00E">
              <w:rPr>
                <w:rFonts w:ascii="Times New Roman" w:hAnsi="Times New Roman" w:cs="Times New Roman"/>
                <w:sz w:val="24"/>
              </w:rPr>
              <w:t>Advexin</w:t>
            </w:r>
            <w:proofErr w:type="spellEnd"/>
          </w:p>
          <w:p w14:paraId="679F546E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Interleukin-12</w:t>
            </w:r>
          </w:p>
          <w:p w14:paraId="667700B0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00E">
              <w:rPr>
                <w:rFonts w:ascii="Times New Roman" w:hAnsi="Times New Roman" w:cs="Times New Roman"/>
                <w:sz w:val="24"/>
              </w:rPr>
              <w:t>ProMune</w:t>
            </w:r>
            <w:proofErr w:type="spellEnd"/>
          </w:p>
          <w:p w14:paraId="7E623C05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RC-3095</w:t>
            </w:r>
          </w:p>
          <w:p w14:paraId="19A59516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Trastuzumab</w:t>
            </w:r>
          </w:p>
          <w:p w14:paraId="00553DD8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00E">
              <w:rPr>
                <w:rFonts w:ascii="Times New Roman" w:hAnsi="Times New Roman" w:cs="Times New Roman"/>
                <w:sz w:val="24"/>
              </w:rPr>
              <w:t>TriAb</w:t>
            </w:r>
            <w:proofErr w:type="spellEnd"/>
          </w:p>
          <w:p w14:paraId="61323A91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00E">
              <w:rPr>
                <w:rFonts w:ascii="Times New Roman" w:hAnsi="Times New Roman" w:cs="Times New Roman"/>
                <w:sz w:val="24"/>
              </w:rPr>
              <w:t>TriGem</w:t>
            </w:r>
            <w:proofErr w:type="spellEnd"/>
          </w:p>
          <w:p w14:paraId="5EFDC83C" w14:textId="77777777" w:rsidR="00485D47" w:rsidRPr="00E4000E" w:rsidRDefault="00485D47" w:rsidP="00B32D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4000E">
              <w:rPr>
                <w:rFonts w:ascii="Times New Roman" w:hAnsi="Times New Roman" w:cs="Times New Roman"/>
                <w:sz w:val="24"/>
              </w:rPr>
              <w:t>recMAGE-A3+AS15</w:t>
            </w:r>
          </w:p>
        </w:tc>
      </w:tr>
    </w:tbl>
    <w:p w14:paraId="4AF9026E" w14:textId="77777777" w:rsidR="00485D47" w:rsidRDefault="00485D47" w:rsidP="00485D47">
      <w:pPr>
        <w:pStyle w:val="NoSpacing"/>
        <w:rPr>
          <w:rFonts w:ascii="Times New Roman" w:hAnsi="Times New Roman" w:cs="Times New Roman"/>
          <w:sz w:val="24"/>
        </w:rPr>
      </w:pPr>
    </w:p>
    <w:p w14:paraId="02932FF5" w14:textId="34C8E35F" w:rsidR="00527C77" w:rsidRPr="0060000F" w:rsidRDefault="00485D47" w:rsidP="0060000F">
      <w:pPr>
        <w:pStyle w:val="NoSpacing"/>
        <w:rPr>
          <w:rFonts w:ascii="Times New Roman" w:hAnsi="Times New Roman" w:cs="Times New Roman"/>
          <w:sz w:val="24"/>
        </w:rPr>
      </w:pPr>
      <w:r w:rsidRPr="00E4000E">
        <w:rPr>
          <w:rFonts w:ascii="Times New Roman" w:hAnsi="Times New Roman" w:cs="Times New Roman"/>
          <w:sz w:val="24"/>
        </w:rPr>
        <w:t xml:space="preserve">* </w:t>
      </w:r>
      <w:proofErr w:type="gramStart"/>
      <w:r w:rsidRPr="00E4000E">
        <w:rPr>
          <w:rFonts w:ascii="Times New Roman" w:hAnsi="Times New Roman" w:cs="Times New Roman"/>
          <w:sz w:val="24"/>
        </w:rPr>
        <w:t>these</w:t>
      </w:r>
      <w:proofErr w:type="gramEnd"/>
      <w:r w:rsidRPr="00E4000E">
        <w:rPr>
          <w:rFonts w:ascii="Times New Roman" w:hAnsi="Times New Roman" w:cs="Times New Roman"/>
          <w:sz w:val="24"/>
        </w:rPr>
        <w:t xml:space="preserve"> agents are coded as approved for treatment of lung cancer, in clinical trial for lung cancer, or if lung is designated as a primary site of treatment according to the NCDB.  Patients should be coded as yes to receiving immunotherapy (variable name RX_SUMM_IMMUNOTHERAPY) if they have been administered any of these </w:t>
      </w:r>
      <w:proofErr w:type="gramStart"/>
      <w:r w:rsidRPr="00E4000E">
        <w:rPr>
          <w:rFonts w:ascii="Times New Roman" w:hAnsi="Times New Roman" w:cs="Times New Roman"/>
          <w:sz w:val="24"/>
        </w:rPr>
        <w:t>agents</w:t>
      </w:r>
      <w:proofErr w:type="gramEnd"/>
      <w:r w:rsidRPr="00E4000E">
        <w:rPr>
          <w:rFonts w:ascii="Times New Roman" w:hAnsi="Times New Roman" w:cs="Times New Roman"/>
          <w:sz w:val="24"/>
        </w:rPr>
        <w:t xml:space="preserve"> variable. </w:t>
      </w:r>
    </w:p>
    <w:sectPr w:rsidR="00527C77" w:rsidRPr="0060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47"/>
    <w:rsid w:val="00485D47"/>
    <w:rsid w:val="00527C77"/>
    <w:rsid w:val="0060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428B"/>
  <w15:chartTrackingRefBased/>
  <w15:docId w15:val="{399FAD0B-3F78-4E42-9DD9-328C36A3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D47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48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Health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Tuminello, Stephanie</dc:creator>
  <cp:keywords/>
  <dc:description/>
  <cp:lastModifiedBy>Stephanie Tuminello</cp:lastModifiedBy>
  <cp:revision>2</cp:revision>
  <dcterms:created xsi:type="dcterms:W3CDTF">2021-12-15T21:21:00Z</dcterms:created>
  <dcterms:modified xsi:type="dcterms:W3CDTF">2021-12-15T21:21:00Z</dcterms:modified>
</cp:coreProperties>
</file>