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1422" w14:textId="74BD6744" w:rsidR="001A56A0" w:rsidRDefault="001A56A0" w:rsidP="001A56A0">
      <w:pPr>
        <w:suppressAutoHyphens/>
        <w:spacing w:line="276" w:lineRule="auto"/>
        <w:rPr>
          <w:rFonts w:ascii="Times New Roman" w:eastAsia="等线" w:hAnsi="Times New Roman" w:cs="Times New Roman"/>
          <w:noProof/>
        </w:rPr>
      </w:pPr>
      <w:r>
        <w:rPr>
          <w:rFonts w:ascii="Times New Roman" w:eastAsia="等线" w:hAnsi="Times New Roman" w:cs="Times New Roman" w:hint="eastAsia"/>
          <w:b/>
          <w:bCs/>
          <w:noProof/>
        </w:rPr>
        <w:t>T</w:t>
      </w:r>
      <w:r>
        <w:rPr>
          <w:rFonts w:ascii="Times New Roman" w:eastAsia="等线" w:hAnsi="Times New Roman" w:cs="Times New Roman"/>
          <w:b/>
          <w:bCs/>
          <w:noProof/>
        </w:rPr>
        <w:t xml:space="preserve">itle: </w:t>
      </w:r>
      <w:r w:rsidRPr="00E35309">
        <w:rPr>
          <w:rFonts w:ascii="Times New Roman" w:eastAsia="等线" w:hAnsi="Times New Roman" w:cs="Times New Roman"/>
          <w:noProof/>
        </w:rPr>
        <w:t>Pre-diagnostic anti-EBV antibodies and</w:t>
      </w:r>
      <w:r w:rsidRPr="00E35309">
        <w:rPr>
          <w:rFonts w:ascii="Times New Roman" w:eastAsia="Times New Roman" w:hAnsi="Times New Roman" w:cs="Times New Roman"/>
          <w:noProof/>
          <w:lang w:eastAsia="sv-SE"/>
        </w:rPr>
        <w:t xml:space="preserve"> </w:t>
      </w:r>
      <w:r w:rsidRPr="00E35309">
        <w:rPr>
          <w:rFonts w:ascii="Times New Roman" w:eastAsia="等线" w:hAnsi="Times New Roman" w:cs="Times New Roman"/>
          <w:noProof/>
        </w:rPr>
        <w:t>primary liver cancer risk: a population-based nested case-control study in southern China</w:t>
      </w:r>
    </w:p>
    <w:p w14:paraId="2CBA4806" w14:textId="77777777" w:rsidR="001A56A0" w:rsidRDefault="001A56A0" w:rsidP="001A56A0">
      <w:pPr>
        <w:suppressAutoHyphens/>
        <w:spacing w:line="276" w:lineRule="auto"/>
        <w:rPr>
          <w:rFonts w:ascii="Times New Roman" w:eastAsia="等线" w:hAnsi="Times New Roman" w:cs="Times New Roman"/>
          <w:noProof/>
        </w:rPr>
      </w:pPr>
    </w:p>
    <w:p w14:paraId="0169E8C6" w14:textId="77777777" w:rsidR="001A56A0" w:rsidRDefault="001A56A0" w:rsidP="001A56A0">
      <w:pPr>
        <w:suppressAutoHyphens/>
        <w:spacing w:line="276" w:lineRule="auto"/>
        <w:rPr>
          <w:rFonts w:ascii="Times New Roman" w:eastAsia="等线" w:hAnsi="Times New Roman" w:cs="Times New Roman"/>
          <w:b/>
          <w:bCs/>
          <w:noProof/>
        </w:rPr>
      </w:pPr>
    </w:p>
    <w:p w14:paraId="57139832" w14:textId="25517D19" w:rsidR="001A56A0" w:rsidRPr="00FF0A03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  <w:shd w:val="clear" w:color="auto" w:fill="FFFFFF"/>
        </w:rPr>
      </w:pPr>
      <w:r w:rsidRPr="004B495D">
        <w:rPr>
          <w:rFonts w:cs="Times New Roman"/>
        </w:rPr>
        <w:t xml:space="preserve"> </w:t>
      </w:r>
      <w:r w:rsidRPr="004B495D">
        <w:rPr>
          <w:rFonts w:cs="Times New Roman"/>
          <w:sz w:val="22"/>
          <w:szCs w:val="22"/>
          <w:shd w:val="clear" w:color="auto" w:fill="FFFFFF"/>
        </w:rPr>
        <w:t>Yun Du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1, 2, ǂ</w:t>
      </w:r>
      <w:r w:rsidRPr="004B495D">
        <w:rPr>
          <w:rFonts w:cs="Times New Roman"/>
          <w:sz w:val="22"/>
          <w:szCs w:val="22"/>
          <w:shd w:val="clear" w:color="auto" w:fill="FFFFFF"/>
        </w:rPr>
        <w:t xml:space="preserve"> (0000-0001-8689-5375), Xia Yu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2, ǂ</w:t>
      </w:r>
      <w:r w:rsidRPr="004B495D">
        <w:rPr>
          <w:rFonts w:cs="Times New Roman"/>
          <w:sz w:val="22"/>
          <w:szCs w:val="22"/>
          <w:shd w:val="clear" w:color="auto" w:fill="FFFFFF"/>
        </w:rPr>
        <w:t>, Ellen T. Chang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3, ǂ</w:t>
      </w:r>
      <w:r w:rsidRPr="004B495D">
        <w:rPr>
          <w:rFonts w:cs="Times New Roman"/>
          <w:sz w:val="22"/>
          <w:szCs w:val="22"/>
          <w:shd w:val="clear" w:color="auto" w:fill="FFFFFF"/>
        </w:rPr>
        <w:t>, Shifeng Lian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4</w:t>
      </w:r>
      <w:r w:rsidRPr="004B495D">
        <w:rPr>
          <w:rFonts w:cs="Times New Roman"/>
          <w:sz w:val="22"/>
          <w:szCs w:val="22"/>
          <w:shd w:val="clear" w:color="auto" w:fill="FFFFFF"/>
        </w:rPr>
        <w:t>, Biaohua Wu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2</w:t>
      </w:r>
      <w:r w:rsidRPr="004B495D">
        <w:rPr>
          <w:rFonts w:cs="Times New Roman"/>
          <w:sz w:val="22"/>
          <w:szCs w:val="22"/>
          <w:shd w:val="clear" w:color="auto" w:fill="FFFFFF"/>
        </w:rPr>
        <w:t>, Fugui Li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2</w:t>
      </w:r>
      <w:r w:rsidRPr="004B495D">
        <w:rPr>
          <w:rFonts w:cs="Times New Roman"/>
          <w:sz w:val="22"/>
          <w:szCs w:val="22"/>
          <w:shd w:val="clear" w:color="auto" w:fill="FFFFFF"/>
        </w:rPr>
        <w:t>, Bing Chu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5</w:t>
      </w:r>
      <w:r w:rsidRPr="004B495D">
        <w:rPr>
          <w:rFonts w:cs="Times New Roman"/>
          <w:sz w:val="22"/>
          <w:szCs w:val="22"/>
          <w:shd w:val="clear" w:color="auto" w:fill="FFFFFF"/>
        </w:rPr>
        <w:t>, Kuangrong Wei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2</w:t>
      </w:r>
      <w:r w:rsidRPr="004B495D">
        <w:rPr>
          <w:rFonts w:cs="Times New Roman"/>
          <w:sz w:val="22"/>
          <w:szCs w:val="22"/>
          <w:shd w:val="clear" w:color="auto" w:fill="FFFFFF"/>
        </w:rPr>
        <w:t>,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FF0A03">
        <w:rPr>
          <w:rFonts w:cs="Times New Roman"/>
          <w:sz w:val="22"/>
          <w:szCs w:val="22"/>
          <w:shd w:val="clear" w:color="auto" w:fill="FFFFFF"/>
        </w:rPr>
        <w:t>Jiyun Zhan</w:t>
      </w:r>
      <w:r w:rsidRPr="00FF0A03">
        <w:rPr>
          <w:rFonts w:cs="Times New Roman"/>
          <w:sz w:val="22"/>
          <w:szCs w:val="22"/>
          <w:shd w:val="clear" w:color="auto" w:fill="FFFFFF"/>
          <w:vertAlign w:val="superscript"/>
        </w:rPr>
        <w:t>6</w:t>
      </w:r>
      <w:r w:rsidRPr="00FF0A03">
        <w:rPr>
          <w:rFonts w:cs="Times New Roman"/>
          <w:sz w:val="22"/>
          <w:szCs w:val="22"/>
          <w:shd w:val="clear" w:color="auto" w:fill="FFFFFF"/>
        </w:rPr>
        <w:t>,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FF0A03">
        <w:rPr>
          <w:rFonts w:cs="Times New Roman"/>
          <w:sz w:val="22"/>
          <w:szCs w:val="22"/>
          <w:shd w:val="clear" w:color="auto" w:fill="FFFFFF"/>
        </w:rPr>
        <w:t>Xuejun Liang</w:t>
      </w:r>
      <w:r w:rsidRPr="00FF0A03">
        <w:rPr>
          <w:rFonts w:cs="Times New Roman"/>
          <w:sz w:val="22"/>
          <w:szCs w:val="22"/>
          <w:shd w:val="clear" w:color="auto" w:fill="FFFFFF"/>
          <w:vertAlign w:val="superscript"/>
        </w:rPr>
        <w:t>6</w:t>
      </w:r>
      <w:r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4B495D">
        <w:rPr>
          <w:rFonts w:cs="Times New Roman"/>
          <w:sz w:val="22"/>
          <w:szCs w:val="22"/>
          <w:shd w:val="clear" w:color="auto" w:fill="FFFFFF"/>
        </w:rPr>
        <w:t>Weimin Ye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 xml:space="preserve">1, § </w:t>
      </w:r>
      <w:r w:rsidRPr="004B495D">
        <w:rPr>
          <w:rFonts w:cs="Times New Roman"/>
          <w:sz w:val="22"/>
          <w:szCs w:val="22"/>
          <w:shd w:val="clear" w:color="auto" w:fill="FFFFFF"/>
        </w:rPr>
        <w:t>(0000-0002-6859-4648), Mingfang Ji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2, §</w:t>
      </w:r>
      <w:r>
        <w:rPr>
          <w:rFonts w:cs="Times New Roman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cs="Times New Roman" w:hint="eastAsia"/>
          <w:sz w:val="22"/>
          <w:szCs w:val="22"/>
          <w:shd w:val="clear" w:color="auto" w:fill="FFFFFF"/>
        </w:rPr>
        <w:t>(0000-0003-4727-2858)</w:t>
      </w:r>
    </w:p>
    <w:p w14:paraId="25C28CB6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</w:rPr>
      </w:pPr>
    </w:p>
    <w:p w14:paraId="339CD931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4B495D">
        <w:rPr>
          <w:rFonts w:cs="Times New Roman"/>
          <w:sz w:val="20"/>
          <w:szCs w:val="20"/>
        </w:rPr>
        <w:t>1, Department of Medical Epidemiology and Biostatistics, Karolinska Institutet, Stockholm</w:t>
      </w:r>
      <w:r>
        <w:rPr>
          <w:rFonts w:cs="Times New Roman"/>
          <w:sz w:val="20"/>
          <w:szCs w:val="20"/>
        </w:rPr>
        <w:t xml:space="preserve"> 17177</w:t>
      </w:r>
      <w:r w:rsidRPr="004B495D">
        <w:rPr>
          <w:rFonts w:cs="Times New Roman"/>
          <w:sz w:val="20"/>
          <w:szCs w:val="20"/>
        </w:rPr>
        <w:t>, Sweden;</w:t>
      </w:r>
    </w:p>
    <w:p w14:paraId="2344F3AF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4B495D">
        <w:rPr>
          <w:rFonts w:cs="Times New Roman"/>
          <w:sz w:val="20"/>
          <w:szCs w:val="20"/>
        </w:rPr>
        <w:t xml:space="preserve">2, Cancer Research Institute of Zhongshan City, Zhongshan City People’s Hospital, </w:t>
      </w:r>
      <w:r>
        <w:rPr>
          <w:rFonts w:cs="Times New Roman"/>
          <w:sz w:val="20"/>
          <w:szCs w:val="20"/>
        </w:rPr>
        <w:t xml:space="preserve">Zhongshan </w:t>
      </w:r>
      <w:r w:rsidRPr="004B495D">
        <w:rPr>
          <w:rFonts w:cs="Times New Roman"/>
          <w:sz w:val="20"/>
          <w:szCs w:val="20"/>
        </w:rPr>
        <w:t>528400, People’s Republic of China;</w:t>
      </w:r>
    </w:p>
    <w:p w14:paraId="274553F9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4B495D">
        <w:rPr>
          <w:rFonts w:cs="Times New Roman"/>
          <w:sz w:val="20"/>
          <w:szCs w:val="20"/>
        </w:rPr>
        <w:t>3,</w:t>
      </w:r>
      <w:r>
        <w:rPr>
          <w:rFonts w:cs="Times New Roman"/>
          <w:sz w:val="20"/>
          <w:szCs w:val="20"/>
        </w:rPr>
        <w:t xml:space="preserve"> Department of Epidemiology and Biostatistics, University of California, San Francisco, United States</w:t>
      </w:r>
      <w:r w:rsidRPr="004B495D">
        <w:rPr>
          <w:rFonts w:cs="Times New Roman"/>
          <w:sz w:val="20"/>
          <w:szCs w:val="20"/>
        </w:rPr>
        <w:t>;</w:t>
      </w:r>
    </w:p>
    <w:p w14:paraId="29B3314E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4B495D">
        <w:rPr>
          <w:rFonts w:cs="Times New Roman"/>
          <w:sz w:val="20"/>
          <w:szCs w:val="20"/>
        </w:rPr>
        <w:t>4, Unit of Integrative Epidemiology, Institute of Environmental Medicine, Karolinska Institutet,</w:t>
      </w:r>
      <w:r>
        <w:rPr>
          <w:rFonts w:cs="Times New Roman"/>
          <w:sz w:val="20"/>
          <w:szCs w:val="20"/>
        </w:rPr>
        <w:t xml:space="preserve"> </w:t>
      </w:r>
      <w:r w:rsidRPr="004B495D">
        <w:rPr>
          <w:rFonts w:cs="Times New Roman"/>
          <w:sz w:val="20"/>
          <w:szCs w:val="20"/>
        </w:rPr>
        <w:t>Stockholm</w:t>
      </w:r>
      <w:r>
        <w:rPr>
          <w:rFonts w:cs="Times New Roman"/>
          <w:sz w:val="20"/>
          <w:szCs w:val="20"/>
        </w:rPr>
        <w:t xml:space="preserve"> 17177</w:t>
      </w:r>
      <w:r w:rsidRPr="004B495D">
        <w:rPr>
          <w:rFonts w:cs="Times New Roman"/>
          <w:sz w:val="20"/>
          <w:szCs w:val="20"/>
        </w:rPr>
        <w:t>, Sweden;</w:t>
      </w:r>
    </w:p>
    <w:p w14:paraId="5A773981" w14:textId="77777777" w:rsidR="001A56A0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4B495D">
        <w:rPr>
          <w:rFonts w:cs="Times New Roman"/>
          <w:sz w:val="20"/>
          <w:szCs w:val="20"/>
        </w:rPr>
        <w:t>5, Department of Pathology, Zhongshan City People’s Hospital, Zhongshan</w:t>
      </w:r>
      <w:r>
        <w:rPr>
          <w:rFonts w:cs="Times New Roman"/>
          <w:sz w:val="20"/>
          <w:szCs w:val="20"/>
        </w:rPr>
        <w:t xml:space="preserve"> </w:t>
      </w:r>
      <w:r w:rsidRPr="004B495D">
        <w:rPr>
          <w:rFonts w:cs="Times New Roman"/>
          <w:sz w:val="20"/>
          <w:szCs w:val="20"/>
        </w:rPr>
        <w:t>528400, People’s Republic of China;</w:t>
      </w:r>
    </w:p>
    <w:p w14:paraId="2AE5DE3C" w14:textId="77777777" w:rsidR="001A56A0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0"/>
          <w:szCs w:val="20"/>
        </w:rPr>
      </w:pPr>
      <w:r w:rsidRPr="00FF0A03">
        <w:rPr>
          <w:rFonts w:cs="Times New Roman"/>
          <w:sz w:val="20"/>
          <w:szCs w:val="20"/>
        </w:rPr>
        <w:t>6,</w:t>
      </w:r>
      <w:r>
        <w:rPr>
          <w:rFonts w:cs="Times New Roman"/>
          <w:sz w:val="20"/>
          <w:szCs w:val="20"/>
        </w:rPr>
        <w:t xml:space="preserve"> </w:t>
      </w:r>
      <w:r w:rsidRPr="00FF0A03">
        <w:rPr>
          <w:rFonts w:cs="Times New Roman"/>
          <w:sz w:val="20"/>
          <w:szCs w:val="20"/>
        </w:rPr>
        <w:t>Xiaolan Public Health Service Center, Zhongshan 528400, People’s Republic of China</w:t>
      </w:r>
      <w:r>
        <w:rPr>
          <w:rFonts w:cs="Times New Roman"/>
          <w:sz w:val="20"/>
          <w:szCs w:val="20"/>
        </w:rPr>
        <w:t>;</w:t>
      </w:r>
    </w:p>
    <w:p w14:paraId="32A8072F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</w:rPr>
      </w:pPr>
    </w:p>
    <w:p w14:paraId="73286F50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</w:rPr>
      </w:pPr>
      <w:r w:rsidRPr="004B495D">
        <w:rPr>
          <w:rFonts w:cs="Times New Roman"/>
          <w:sz w:val="22"/>
          <w:szCs w:val="22"/>
        </w:rPr>
        <w:t xml:space="preserve">Correspondence to: </w:t>
      </w:r>
      <w:r w:rsidRPr="004B495D">
        <w:rPr>
          <w:rFonts w:cs="Times New Roman"/>
          <w:sz w:val="22"/>
          <w:szCs w:val="22"/>
          <w:shd w:val="clear" w:color="auto" w:fill="FFFFFF"/>
        </w:rPr>
        <w:t>Weimin Ye</w:t>
      </w: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 xml:space="preserve"> </w:t>
      </w:r>
      <w:r w:rsidRPr="004B495D">
        <w:rPr>
          <w:rFonts w:cs="Times New Roman"/>
          <w:sz w:val="22"/>
          <w:szCs w:val="22"/>
          <w:shd w:val="clear" w:color="auto" w:fill="FFFFFF"/>
        </w:rPr>
        <w:t>and Mingfang Ji.</w:t>
      </w:r>
    </w:p>
    <w:p w14:paraId="714336B6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</w:rPr>
      </w:pP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 xml:space="preserve">ǂ </w:t>
      </w:r>
      <w:r w:rsidRPr="004B495D">
        <w:rPr>
          <w:rFonts w:cs="Times New Roman"/>
          <w:sz w:val="22"/>
          <w:szCs w:val="22"/>
        </w:rPr>
        <w:t>Yun Du, Xia Yu and Ellen T. Chang contributed equally.</w:t>
      </w:r>
    </w:p>
    <w:p w14:paraId="3A96DEA0" w14:textId="77777777" w:rsidR="001A56A0" w:rsidRPr="004B495D" w:rsidRDefault="001A56A0" w:rsidP="001A56A0">
      <w:pPr>
        <w:pStyle w:val="a"/>
        <w:spacing w:line="276" w:lineRule="auto"/>
        <w:ind w:firstLineChars="0" w:firstLine="0"/>
        <w:jc w:val="left"/>
        <w:rPr>
          <w:rFonts w:cs="Times New Roman"/>
          <w:sz w:val="22"/>
          <w:szCs w:val="22"/>
          <w:shd w:val="clear" w:color="auto" w:fill="FFFFFF"/>
        </w:rPr>
      </w:pPr>
      <w:r w:rsidRPr="004B495D">
        <w:rPr>
          <w:rFonts w:cs="Times New Roman"/>
          <w:sz w:val="22"/>
          <w:szCs w:val="22"/>
          <w:shd w:val="clear" w:color="auto" w:fill="FFFFFF"/>
          <w:vertAlign w:val="superscript"/>
        </w:rPr>
        <w:t>§</w:t>
      </w:r>
      <w:r w:rsidRPr="004B495D">
        <w:rPr>
          <w:rFonts w:cs="Times New Roman"/>
          <w:sz w:val="22"/>
          <w:szCs w:val="22"/>
          <w:shd w:val="clear" w:color="auto" w:fill="FFFFFF"/>
        </w:rPr>
        <w:t xml:space="preserve"> Mingfang Ji and Weimin Ye contributed equally.</w:t>
      </w:r>
    </w:p>
    <w:p w14:paraId="09E24013" w14:textId="212F9550" w:rsidR="001A56A0" w:rsidRDefault="001A56A0">
      <w:r>
        <w:br w:type="page"/>
      </w:r>
    </w:p>
    <w:p w14:paraId="30C9CDFB" w14:textId="40BC10EE" w:rsidR="001A56A0" w:rsidRPr="0056090B" w:rsidRDefault="001A56A0" w:rsidP="001A56A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lastRenderedPageBreak/>
        <w:t>Table S1</w:t>
      </w:r>
    </w:p>
    <w:p w14:paraId="48EFF5B8" w14:textId="77777777" w:rsidR="001A56A0" w:rsidRPr="0056090B" w:rsidRDefault="001A56A0" w:rsidP="001A56A0">
      <w:pPr>
        <w:pStyle w:val="TableCaption"/>
        <w:rPr>
          <w:rFonts w:ascii="Times New Roman" w:hAnsi="Times New Roman" w:cs="Times New Roman"/>
          <w:i w:val="0"/>
          <w:iCs/>
          <w:sz w:val="20"/>
          <w:szCs w:val="20"/>
        </w:rPr>
      </w:pPr>
      <w:r w:rsidRPr="0056090B">
        <w:rPr>
          <w:rFonts w:ascii="Times New Roman" w:hAnsi="Times New Roman" w:cs="Times New Roman"/>
          <w:i w:val="0"/>
          <w:iCs/>
          <w:sz w:val="20"/>
          <w:szCs w:val="20"/>
        </w:rPr>
        <w:t>Table S1. Baseline characteristics of primary liver cancer cases with pre-diagnostic HBsAg and cases without HBsAg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303"/>
        <w:gridCol w:w="2910"/>
        <w:gridCol w:w="1899"/>
        <w:gridCol w:w="1044"/>
        <w:gridCol w:w="484"/>
      </w:tblGrid>
      <w:tr w:rsidR="001A56A0" w:rsidRPr="0056090B" w14:paraId="438D6492" w14:textId="77777777" w:rsidTr="00B33EF4">
        <w:trPr>
          <w:cantSplit/>
          <w:tblHeader/>
          <w:jc w:val="center"/>
        </w:trPr>
        <w:tc>
          <w:tcPr>
            <w:tcW w:w="1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5E0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68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DDF47" w14:textId="77777777" w:rsidR="001A56A0" w:rsidRPr="0056090B" w:rsidRDefault="001A56A0" w:rsidP="005C6390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Cases with pre-diagnostic HBsAg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 72)</w:t>
            </w:r>
          </w:p>
        </w:tc>
        <w:tc>
          <w:tcPr>
            <w:tcW w:w="109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B6B21" w14:textId="77777777" w:rsidR="001A56A0" w:rsidRPr="0056090B" w:rsidRDefault="001A56A0" w:rsidP="005C6390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Cases without HBsAg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 49)</w:t>
            </w:r>
          </w:p>
        </w:tc>
        <w:tc>
          <w:tcPr>
            <w:tcW w:w="60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9DA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Total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(N=121)</w:t>
            </w:r>
          </w:p>
        </w:tc>
        <w:tc>
          <w:tcPr>
            <w:tcW w:w="28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6F73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P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1A56A0" w:rsidRPr="0056090B" w14:paraId="75581755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0E0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Sex,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00D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CBB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DBC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BA55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0.69</w:t>
            </w:r>
          </w:p>
        </w:tc>
      </w:tr>
      <w:tr w:rsidR="001A56A0" w:rsidRPr="0056090B" w14:paraId="0C900D1F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0A8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66D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 (12.5%)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7E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 (18.4%)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3B1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18 (14.9%)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C577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C3380F9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1C28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DF5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63 (87.5%)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821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 (81.6%)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C87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103 (85.1%)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C54A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7BDAD1F8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A92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Age at recruitment,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D93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2A4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1BE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B619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0.16</w:t>
            </w:r>
          </w:p>
        </w:tc>
      </w:tr>
      <w:tr w:rsidR="001A56A0" w:rsidRPr="0056090B" w14:paraId="284E746C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FEB9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30~39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BAC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 (5.6%)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274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 (20.4%)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B77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14 (11.6%)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46EC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1556965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1EE9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40~49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C78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22 (30.6%)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06A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 (30.6%)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ACC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37 (30.6%)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0B9D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256A7C4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F59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50~59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BBD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46 (63.9%)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F03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24 (49.0%)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58A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70 (57.9%)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B1C5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69E40313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AB7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Classification,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0D5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841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370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B984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0.92</w:t>
            </w:r>
          </w:p>
        </w:tc>
      </w:tr>
      <w:tr w:rsidR="001A56A0" w:rsidRPr="0056090B" w14:paraId="27A4FD56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CF2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466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65 (90.3%)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015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42 (85.7%)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EAB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107 (88.4%)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BB1C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93D8A17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8FC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ABD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 (8.3%)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30F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 (10.2%)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85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 (9.1%)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84D3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9737DA2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5C5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Others/Unknown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249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 (1.4%)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8A2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(4.1%)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E2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 (2.5%)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29B2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2F13FD39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A63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4BB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EE3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915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76CA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0.78</w:t>
            </w:r>
          </w:p>
        </w:tc>
      </w:tr>
      <w:tr w:rsidR="001A56A0" w:rsidRPr="0056090B" w14:paraId="7D2212CF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456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73A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66 (91.7%)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B5B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43 (87.8%)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F93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109 (90.1%)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3EC6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8ADCD00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8A1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1D4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 (8.3%)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D18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 (12.2%)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42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12 (9.9%)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1797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2A8074B7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6E5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EBNA-IgA, rOD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C4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208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CC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31A6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0.80</w:t>
            </w:r>
          </w:p>
        </w:tc>
      </w:tr>
      <w:tr w:rsidR="001A56A0" w:rsidRPr="0056090B" w14:paraId="2C76A4DD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47E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38D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0.21 (0.03, 2.20)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B57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0.21 (0.00, 8.18)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922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0.21 (0.00, 8.18)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F346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68FB9A93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835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286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CCC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508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26A7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0.72</w:t>
            </w:r>
          </w:p>
        </w:tc>
      </w:tr>
      <w:tr w:rsidR="001A56A0" w:rsidRPr="0056090B" w14:paraId="482B20EF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E54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840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61 (84.7%)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DE3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44 (89.8%)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4CA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105 (86.8%)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763F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29551259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46B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D44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 (15.3%)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C22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 (10.2%)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E62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 (13.2%)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12EE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1121861C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AA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VCA-IgA, rOD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F66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960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647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DB3D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0.28</w:t>
            </w:r>
          </w:p>
        </w:tc>
      </w:tr>
      <w:tr w:rsidR="001A56A0" w:rsidRPr="0056090B" w14:paraId="2034BF0A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969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33E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0.40 (0.01, 2.51)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29F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0.35 (0.07, 2.31)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05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0.37 (0.01, 2.51)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729D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25623FB8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997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Combination of VCA-IgA and EBNA-IgA, N (%)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DC0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B1F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234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FB2A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0.37</w:t>
            </w:r>
          </w:p>
        </w:tc>
      </w:tr>
      <w:tr w:rsidR="001A56A0" w:rsidRPr="0056090B" w14:paraId="0DB264AE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37E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873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55 (76.4%)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30E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 (81.6%)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31B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95 (78.5%)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1599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D2852F1" w14:textId="77777777" w:rsidTr="00B33EF4">
        <w:trPr>
          <w:cantSplit/>
          <w:jc w:val="center"/>
        </w:trPr>
        <w:tc>
          <w:tcPr>
            <w:tcW w:w="1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0F6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972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17 (23.6%)</w:t>
            </w:r>
          </w:p>
        </w:tc>
        <w:tc>
          <w:tcPr>
            <w:tcW w:w="10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FB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 (14.3%)</w:t>
            </w:r>
          </w:p>
        </w:tc>
        <w:tc>
          <w:tcPr>
            <w:tcW w:w="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F2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24 (19.8%)</w:t>
            </w:r>
          </w:p>
        </w:tc>
        <w:tc>
          <w:tcPr>
            <w:tcW w:w="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DFBE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622EB4CD" w14:textId="77777777" w:rsidTr="00B33EF4">
        <w:trPr>
          <w:cantSplit/>
          <w:jc w:val="center"/>
        </w:trPr>
        <w:tc>
          <w:tcPr>
            <w:tcW w:w="1333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B60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Single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84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FE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09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590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(4.1%)</w:t>
            </w:r>
          </w:p>
        </w:tc>
        <w:tc>
          <w:tcPr>
            <w:tcW w:w="604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83B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(1.7%)</w:t>
            </w:r>
          </w:p>
        </w:tc>
        <w:tc>
          <w:tcPr>
            <w:tcW w:w="280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8D41" w14:textId="77777777" w:rsidR="001A56A0" w:rsidRPr="0056090B" w:rsidRDefault="001A56A0" w:rsidP="005C6390">
            <w:pPr>
              <w:spacing w:before="60" w:after="60"/>
              <w:ind w:left="60" w:right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3893A4C" w14:textId="77777777" w:rsidTr="009002BC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138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lastRenderedPageBreak/>
              <w:t>Abbreviations: rOD, relative optical density; EBV, Epstein-Barr virus; EBNA1: Epstein–Barr nuclear antigen 1; VCA: viral capsid antigen; IgA: Immunoglobulin A; HBsAg: hepatitis B virus surface antigen.</w:t>
            </w:r>
          </w:p>
        </w:tc>
      </w:tr>
      <w:tr w:rsidR="001A56A0" w:rsidRPr="0056090B" w14:paraId="3914BA3E" w14:textId="77777777" w:rsidTr="009002BC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530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†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 values across continuous variables were derived by Kruskal-Wallis test while categorical variables by Fisher's exact test.</w:t>
            </w:r>
          </w:p>
        </w:tc>
      </w:tr>
    </w:tbl>
    <w:p w14:paraId="6B39AFEB" w14:textId="77777777" w:rsidR="001A56A0" w:rsidRPr="0056090B" w:rsidRDefault="001A56A0" w:rsidP="001A56A0">
      <w:pPr>
        <w:rPr>
          <w:rFonts w:ascii="Times New Roman" w:hAnsi="Times New Roman" w:cs="Times New Roman"/>
          <w:iCs/>
          <w:sz w:val="20"/>
          <w:szCs w:val="20"/>
        </w:rPr>
      </w:pPr>
    </w:p>
    <w:p w14:paraId="1F1EAA95" w14:textId="77777777" w:rsidR="001A56A0" w:rsidRPr="0056090B" w:rsidRDefault="001A56A0" w:rsidP="001A56A0">
      <w:pPr>
        <w:rPr>
          <w:rFonts w:ascii="Times New Roman" w:eastAsiaTheme="majorEastAsia" w:hAnsi="Times New Roman" w:cs="Times New Roman"/>
          <w:color w:val="2F5496" w:themeColor="accent1" w:themeShade="BF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br w:type="page"/>
      </w:r>
    </w:p>
    <w:p w14:paraId="7682D24B" w14:textId="77777777" w:rsidR="001A56A0" w:rsidRPr="0056090B" w:rsidRDefault="001A56A0" w:rsidP="001A56A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</w:p>
    <w:p w14:paraId="13CA81FB" w14:textId="77777777" w:rsidR="001A56A0" w:rsidRPr="0056090B" w:rsidRDefault="001A56A0" w:rsidP="001A56A0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56090B">
        <w:rPr>
          <w:rFonts w:ascii="Times New Roman" w:hAnsi="Times New Roman" w:cs="Times New Roman"/>
          <w:i w:val="0"/>
          <w:sz w:val="20"/>
          <w:szCs w:val="20"/>
        </w:rPr>
        <w:t>Table S</w:t>
      </w:r>
      <w:r>
        <w:rPr>
          <w:rFonts w:ascii="Times New Roman" w:hAnsi="Times New Roman" w:cs="Times New Roman"/>
          <w:i w:val="0"/>
          <w:sz w:val="20"/>
          <w:szCs w:val="20"/>
        </w:rPr>
        <w:t>2</w:t>
      </w:r>
      <w:r w:rsidRPr="0056090B">
        <w:rPr>
          <w:rFonts w:ascii="Times New Roman" w:hAnsi="Times New Roman" w:cs="Times New Roman"/>
          <w:i w:val="0"/>
          <w:sz w:val="20"/>
          <w:szCs w:val="20"/>
        </w:rPr>
        <w:t>. Associations of anti-EBV antibodies with odds of primary liver cancer risk stratified by sex and age at recruitment</w:t>
      </w:r>
    </w:p>
    <w:tbl>
      <w:tblPr>
        <w:tblW w:w="4438" w:type="pct"/>
        <w:jc w:val="center"/>
        <w:tblLook w:val="0420" w:firstRow="1" w:lastRow="0" w:firstColumn="0" w:lastColumn="0" w:noHBand="0" w:noVBand="1"/>
      </w:tblPr>
      <w:tblGrid>
        <w:gridCol w:w="1308"/>
        <w:gridCol w:w="1138"/>
        <w:gridCol w:w="770"/>
        <w:gridCol w:w="865"/>
        <w:gridCol w:w="1104"/>
        <w:gridCol w:w="1210"/>
        <w:gridCol w:w="1274"/>
      </w:tblGrid>
      <w:tr w:rsidR="001A56A0" w:rsidRPr="0056090B" w14:paraId="6A4FCE5A" w14:textId="77777777" w:rsidTr="0037318E">
        <w:trPr>
          <w:cantSplit/>
          <w:tblHeader/>
          <w:jc w:val="center"/>
        </w:trPr>
        <w:tc>
          <w:tcPr>
            <w:tcW w:w="8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942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77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75AE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Anti-EBV antibodies</w:t>
            </w:r>
          </w:p>
        </w:tc>
        <w:tc>
          <w:tcPr>
            <w:tcW w:w="4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6ADD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51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75F0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72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69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81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6D0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6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AF7C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ORs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1A56A0" w:rsidRPr="0056090B" w14:paraId="1528DA68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3CB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398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01D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CE2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611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A98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233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6920E5FA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85D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26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604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607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1C9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62E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877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B89DF24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8A6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52F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84C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17 (89.5%)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73A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428 (96.2%)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96D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AE8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D3E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5019F85B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57F3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C00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693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(10.5%)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4FC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17 (3.8%)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7B5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3.38 (0.70,16.21)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627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3.45 (0.72,16.52)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43D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2.70 (0.52,14.08)</w:t>
            </w:r>
          </w:p>
        </w:tc>
      </w:tr>
      <w:tr w:rsidR="001A56A0" w:rsidRPr="0056090B" w14:paraId="3C83BC67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A60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4F9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FC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92A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CFB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634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F67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79E3ABA9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8E97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022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A76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96 (90.6%)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D3D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1547 (94.8%)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D7B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586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6DF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0101320A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6EE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4FB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F71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 (9.4%)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7A7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85 (5.2%)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D3E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1.89 (0.93,3.84)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48F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1.92 (0.94,3.90)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476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2.20 (0.98,4.94)</w:t>
            </w:r>
          </w:p>
        </w:tc>
      </w:tr>
      <w:tr w:rsidR="001A56A0" w:rsidRPr="0056090B" w14:paraId="3D57F723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4C6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C9B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21B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4C1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907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8F4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682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95D8F63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D87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77B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CA2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FAC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AE2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170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6F1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2146B58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8E1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2E3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4CC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 (78.9%)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E1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410 (92.1%)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E90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D38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23E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42440E9A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EB6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BA5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A4A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 (21.1%)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569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35 (7.9%)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848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3.02 (0.98,9.32)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F6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2.93 (0.95,9.08)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113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2.39 (0.73,7.86)</w:t>
            </w:r>
          </w:p>
        </w:tc>
      </w:tr>
      <w:tr w:rsidR="001A56A0" w:rsidRPr="0056090B" w14:paraId="00A99A0D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01B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8B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55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90D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67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C0B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B28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8161C77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9B8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288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F29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94 (88.7%)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E3B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1517 (93.0%)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172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234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4AC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057B1C81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E43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C36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4EA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12 (11.3%)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CBB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115 (7.0%)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096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1.72 (0.89,3.35)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DF4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1.76 (0.90,3.42)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9FD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1.84 (0.87,3.89)</w:t>
            </w:r>
          </w:p>
        </w:tc>
      </w:tr>
      <w:tr w:rsidR="001A56A0" w:rsidRPr="0056090B" w14:paraId="3CA6218C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3E1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Age at recruitment, years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6E7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A5F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F3A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8B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476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68D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D833F72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C90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30~39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20B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5E1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D49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F00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519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591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1E72FD1A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BBC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801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87D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 (92.9%)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E1C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232 (98.3%)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8DF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4F6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B4C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367F01FE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9AD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415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88C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 (7.1%)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78E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 (1.7%)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3A1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4.13 (0.43,39.27)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480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4.10 (0.42,40.42)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55E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6.21 (0.41,93.27)</w:t>
            </w:r>
          </w:p>
        </w:tc>
      </w:tr>
      <w:tr w:rsidR="001A56A0" w:rsidRPr="0056090B" w14:paraId="4C42AC7E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31E8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40~49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79C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BC9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9DC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F2F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205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1E7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532684A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36A4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F56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BF9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34 (89.5%)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E70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623 (95.1%)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F11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57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449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74009C9F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8ACA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522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9C3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 (10.5%)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32C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32 (4.9%)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416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2.41 (0.81,7.20)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EED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2.40 (0.80,7.18)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1B0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2.53 (0.73,8.83)</w:t>
            </w:r>
          </w:p>
        </w:tc>
      </w:tr>
      <w:tr w:rsidR="001A56A0" w:rsidRPr="0056090B" w14:paraId="2497D637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86DB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50~59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6C9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4E9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EFF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DE8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B36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887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3C5C6E5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B54C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231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F43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66 (90.4%)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80B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1120 (94.4%)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3EF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B31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A69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092530A7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297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9D4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B23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 (9.6%)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952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66 (5.6%)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3FA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1.73 (0.73,4.06)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C9E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1.73 (0.73,4.08)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8E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1.95 (0.75,5.09)</w:t>
            </w:r>
          </w:p>
        </w:tc>
      </w:tr>
      <w:tr w:rsidR="001A56A0" w:rsidRPr="0056090B" w14:paraId="33656EAE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3E5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Age at recruitment, years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C3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A36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8D1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BF8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B60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DF9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22E8063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DB1B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30~39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891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92A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9D5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BA3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000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141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61CE3C87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1B2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673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01C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12 (85.7%)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A2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227 (96.2%)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06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5C8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E8B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0CA13DB1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E4C7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890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7AA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(14.3%)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7A9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 (3.8%)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946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4.78 (0.87,26.19)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B55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5.27 (0.93,29.88)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A67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5.16 (0.89,30.04)</w:t>
            </w:r>
          </w:p>
        </w:tc>
      </w:tr>
      <w:tr w:rsidR="001A56A0" w:rsidRPr="0056090B" w14:paraId="2C7D8F8C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63D4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40~49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7C2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D09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045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CB5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33F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BFB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7E9F8669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ACF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BDD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D47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32 (84.2%)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21B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615 (93.9%)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061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FC2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01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20724CA0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581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49A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B44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 (15.8%)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CFC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 (6.1%)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FA8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3.70 (1.42,9.63)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79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3.69 (1.41,9.65)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D82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4.62 (1.58,13.46)</w:t>
            </w:r>
          </w:p>
        </w:tc>
      </w:tr>
      <w:tr w:rsidR="001A56A0" w:rsidRPr="0056090B" w14:paraId="6372F8AB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64A6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50~59</w:t>
            </w: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1BE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B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14F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CF5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5DB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B04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47AEF3B" w14:textId="77777777" w:rsidTr="0037318E">
        <w:trPr>
          <w:cantSplit/>
          <w:jc w:val="center"/>
        </w:trPr>
        <w:tc>
          <w:tcPr>
            <w:tcW w:w="8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A9C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BAF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4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6BB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65 (89.0%)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6C5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1085 (91.5%)</w:t>
            </w:r>
          </w:p>
        </w:tc>
        <w:tc>
          <w:tcPr>
            <w:tcW w:w="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D81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7F1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468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62F14362" w14:textId="77777777" w:rsidTr="0037318E">
        <w:trPr>
          <w:cantSplit/>
          <w:jc w:val="center"/>
        </w:trPr>
        <w:tc>
          <w:tcPr>
            <w:tcW w:w="883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6EC4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483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433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5F4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 (11.0%)</w:t>
            </w:r>
          </w:p>
        </w:tc>
        <w:tc>
          <w:tcPr>
            <w:tcW w:w="513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76A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101 (8.5%)</w:t>
            </w:r>
          </w:p>
        </w:tc>
        <w:tc>
          <w:tcPr>
            <w:tcW w:w="720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6CD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1.29 (0.58,2.86)</w:t>
            </w:r>
          </w:p>
        </w:tc>
        <w:tc>
          <w:tcPr>
            <w:tcW w:w="81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1FD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1.25 (0.56,2.79)</w:t>
            </w:r>
          </w:p>
        </w:tc>
        <w:tc>
          <w:tcPr>
            <w:tcW w:w="860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49A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1.00 (0.40,2.48)</w:t>
            </w:r>
          </w:p>
        </w:tc>
      </w:tr>
    </w:tbl>
    <w:p w14:paraId="5CB2F2A6" w14:textId="77777777" w:rsidR="001A56A0" w:rsidRPr="0056090B" w:rsidRDefault="001A56A0" w:rsidP="001A56A0">
      <w:pPr>
        <w:rPr>
          <w:rFonts w:ascii="Times New Roman" w:hAnsi="Times New Roman" w:cs="Times New Roman"/>
          <w:iCs/>
          <w:sz w:val="20"/>
          <w:szCs w:val="20"/>
        </w:rPr>
      </w:pPr>
    </w:p>
    <w:p w14:paraId="5813A14C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041FB608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4F970714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6FF7709D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br w:type="page"/>
      </w:r>
    </w:p>
    <w:p w14:paraId="02A83BE3" w14:textId="77777777" w:rsidR="001A56A0" w:rsidRPr="0056090B" w:rsidRDefault="001A56A0" w:rsidP="001A56A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0B0E28E4" w14:textId="77777777" w:rsidR="001A56A0" w:rsidRPr="0056090B" w:rsidRDefault="001A56A0" w:rsidP="001A56A0">
      <w:pPr>
        <w:pStyle w:val="TableCaption"/>
        <w:rPr>
          <w:rFonts w:ascii="Times New Roman" w:hAnsi="Times New Roman" w:cs="Times New Roman"/>
          <w:i w:val="0"/>
          <w:iCs/>
          <w:sz w:val="20"/>
          <w:szCs w:val="20"/>
        </w:rPr>
      </w:pPr>
      <w:r w:rsidRPr="0056090B">
        <w:rPr>
          <w:rFonts w:ascii="Times New Roman" w:hAnsi="Times New Roman" w:cs="Times New Roman"/>
          <w:i w:val="0"/>
          <w:iCs/>
          <w:sz w:val="20"/>
          <w:szCs w:val="20"/>
        </w:rPr>
        <w:t>Table S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3</w:t>
      </w:r>
      <w:r w:rsidRPr="0056090B">
        <w:rPr>
          <w:rFonts w:ascii="Times New Roman" w:hAnsi="Times New Roman" w:cs="Times New Roman"/>
          <w:i w:val="0"/>
          <w:iCs/>
          <w:sz w:val="20"/>
          <w:szCs w:val="20"/>
        </w:rPr>
        <w:t>. Associations of anti-EBV antibodies of primary liver cancer risk stratified by histological classification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1043"/>
        <w:gridCol w:w="1424"/>
        <w:gridCol w:w="874"/>
        <w:gridCol w:w="948"/>
        <w:gridCol w:w="1329"/>
        <w:gridCol w:w="1513"/>
        <w:gridCol w:w="1509"/>
      </w:tblGrid>
      <w:tr w:rsidR="001A56A0" w:rsidRPr="0056090B" w14:paraId="5B022648" w14:textId="77777777" w:rsidTr="00273B9E">
        <w:trPr>
          <w:cantSplit/>
          <w:tblHeader/>
          <w:jc w:val="center"/>
        </w:trPr>
        <w:tc>
          <w:tcPr>
            <w:tcW w:w="50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379D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8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E53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Anti-EBV antibodies</w:t>
            </w:r>
          </w:p>
        </w:tc>
        <w:tc>
          <w:tcPr>
            <w:tcW w:w="52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587D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5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A0B5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78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E61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89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120F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9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AC19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1A56A0" w:rsidRPr="0056090B" w14:paraId="677B94B6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833A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HCC</w:t>
            </w: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379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73F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BC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77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DE8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FDA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09D9AE6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F32C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85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61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101 (91.0%)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B08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1689 (95.0%)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C4A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F8D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BA8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0EAF72AB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128B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1FB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62E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 (9.0%)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FC9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88 (5.0%)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BBD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1.88 (0.93,3.82)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0D8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1.90 (0.93,3.87)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FFD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2.04 (0.91,4.56)</w:t>
            </w:r>
          </w:p>
        </w:tc>
      </w:tr>
      <w:tr w:rsidR="001A56A0" w:rsidRPr="0056090B" w14:paraId="07EFDBA2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B22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HCC</w:t>
            </w: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9C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15C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687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5A0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2B2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DBE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F75EC10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82B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389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FD7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97 (87.4%)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F86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1647 (92.7%)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2FC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C80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A3D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4546884E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040A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F8D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C1E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14 (12.6%)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745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130 (7.3%)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002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1.89 (1.02,3.51)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788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1.92 (1.04,3.57)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0B9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1.90 (0.95,3.81)</w:t>
            </w:r>
          </w:p>
        </w:tc>
      </w:tr>
      <w:tr w:rsidR="001A56A0" w:rsidRPr="0056090B" w14:paraId="61B087F2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FA1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2C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C39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53F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4D8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E8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CF0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2D47F5D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314B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F70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30F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12 (85.7%)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867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264 (94.0%)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235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71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449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5E40D373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E2F6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B87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1A9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 (14.3%)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709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17 (6.0%)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56B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2.42 (0.49,11.84)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CE3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2.72 (0.53,13.90)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4FF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2.45 (0.44,13.67)</w:t>
            </w:r>
          </w:p>
        </w:tc>
      </w:tr>
      <w:tr w:rsidR="001A56A0" w:rsidRPr="0056090B" w14:paraId="0C80796F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C92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D57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5EB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8C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C63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90D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04D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66B4975" w14:textId="77777777" w:rsidTr="00273B9E">
        <w:trPr>
          <w:cantSplit/>
          <w:jc w:val="center"/>
        </w:trPr>
        <w:tc>
          <w:tcPr>
            <w:tcW w:w="5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5C2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4E2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977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 (92.9%)</w:t>
            </w:r>
          </w:p>
        </w:tc>
        <w:tc>
          <w:tcPr>
            <w:tcW w:w="5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88A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260 (92.5%)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08A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631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0A1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27A417A0" w14:textId="77777777" w:rsidTr="00273B9E">
        <w:trPr>
          <w:cantSplit/>
          <w:jc w:val="center"/>
        </w:trPr>
        <w:tc>
          <w:tcPr>
            <w:tcW w:w="50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E85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4AF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22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898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 (7.1%)</w:t>
            </w:r>
          </w:p>
        </w:tc>
        <w:tc>
          <w:tcPr>
            <w:tcW w:w="564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92F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21 (7.5%)</w:t>
            </w:r>
          </w:p>
        </w:tc>
        <w:tc>
          <w:tcPr>
            <w:tcW w:w="785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855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1.02 (0.13,8.01)</w:t>
            </w:r>
          </w:p>
        </w:tc>
        <w:tc>
          <w:tcPr>
            <w:tcW w:w="891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274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1.00 (0.13,7.90)</w:t>
            </w:r>
          </w:p>
        </w:tc>
        <w:tc>
          <w:tcPr>
            <w:tcW w:w="891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E1D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0.98 (0.12,7.77)</w:t>
            </w:r>
          </w:p>
        </w:tc>
      </w:tr>
      <w:tr w:rsidR="001A56A0" w:rsidRPr="0056090B" w14:paraId="5C95ECD3" w14:textId="77777777" w:rsidTr="00273B9E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2E2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Abbreviations: EBV, Epstein-Barr virus; EBNA1: Epstein–Barr nuclear antigen 1; VCA: viral capsid antigen; IgA: Immunoglobulin A; HCC, hepatocellular carcinoma; ICC: intrahepatic cholangiocarcinoma; HBsAg: hepatitis B virus surface antigen.</w:t>
            </w:r>
          </w:p>
        </w:tc>
      </w:tr>
      <w:tr w:rsidR="001A56A0" w:rsidRPr="0056090B" w14:paraId="0A03AC33" w14:textId="77777777" w:rsidTr="00273B9E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3B0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†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OR was adjusted by age (continuous) at initial recruitment.</w:t>
            </w:r>
          </w:p>
        </w:tc>
      </w:tr>
      <w:tr w:rsidR="001A56A0" w:rsidRPr="0056090B" w14:paraId="5B53D392" w14:textId="77777777" w:rsidTr="00273B9E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C65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††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OR was adjusted by age (continuous) at initial recruitment and HBsAg.</w:t>
            </w:r>
          </w:p>
        </w:tc>
      </w:tr>
    </w:tbl>
    <w:p w14:paraId="39E8768F" w14:textId="77777777" w:rsidR="001A56A0" w:rsidRPr="0056090B" w:rsidRDefault="001A56A0" w:rsidP="001A56A0">
      <w:pPr>
        <w:rPr>
          <w:rFonts w:ascii="Times New Roman" w:hAnsi="Times New Roman" w:cs="Times New Roman"/>
          <w:iCs/>
          <w:sz w:val="20"/>
          <w:szCs w:val="20"/>
        </w:rPr>
      </w:pPr>
    </w:p>
    <w:p w14:paraId="261922B8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2D55AD5C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4AE864F5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br w:type="page"/>
      </w:r>
    </w:p>
    <w:p w14:paraId="5075F03B" w14:textId="77777777" w:rsidR="001A56A0" w:rsidRPr="0056090B" w:rsidRDefault="001A56A0" w:rsidP="001A56A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578DF07B" w14:textId="77777777" w:rsidR="001A56A0" w:rsidRPr="0056090B" w:rsidRDefault="001A56A0" w:rsidP="001A56A0">
      <w:pPr>
        <w:pStyle w:val="TableCaption"/>
        <w:rPr>
          <w:rFonts w:ascii="Times New Roman" w:hAnsi="Times New Roman" w:cs="Times New Roman"/>
          <w:i w:val="0"/>
          <w:iCs/>
          <w:sz w:val="20"/>
          <w:szCs w:val="20"/>
        </w:rPr>
      </w:pPr>
      <w:r w:rsidRPr="0056090B">
        <w:rPr>
          <w:rFonts w:ascii="Times New Roman" w:hAnsi="Times New Roman" w:cs="Times New Roman"/>
          <w:i w:val="0"/>
          <w:sz w:val="20"/>
          <w:szCs w:val="20"/>
        </w:rPr>
        <w:t>Table S</w:t>
      </w:r>
      <w:r>
        <w:rPr>
          <w:rFonts w:ascii="Times New Roman" w:hAnsi="Times New Roman" w:cs="Times New Roman"/>
          <w:i w:val="0"/>
          <w:sz w:val="20"/>
          <w:szCs w:val="20"/>
        </w:rPr>
        <w:t>4</w:t>
      </w:r>
      <w:r w:rsidRPr="0056090B">
        <w:rPr>
          <w:rFonts w:ascii="Times New Roman" w:hAnsi="Times New Roman" w:cs="Times New Roman"/>
          <w:i w:val="0"/>
          <w:sz w:val="20"/>
          <w:szCs w:val="20"/>
        </w:rPr>
        <w:t>. Baseline characteristics of primary liver cancer cases and matched controls, restricting to cases with anti-EBV samples collected at least two years before cancer diagnosis</w:t>
      </w:r>
    </w:p>
    <w:tbl>
      <w:tblPr>
        <w:tblW w:w="11133" w:type="dxa"/>
        <w:jc w:val="center"/>
        <w:tblLayout w:type="fixed"/>
        <w:tblLook w:val="0420" w:firstRow="1" w:lastRow="0" w:firstColumn="0" w:lastColumn="0" w:noHBand="0" w:noVBand="1"/>
      </w:tblPr>
      <w:tblGrid>
        <w:gridCol w:w="4877"/>
        <w:gridCol w:w="1918"/>
        <w:gridCol w:w="2334"/>
        <w:gridCol w:w="2004"/>
      </w:tblGrid>
      <w:tr w:rsidR="001A56A0" w:rsidRPr="0056090B" w14:paraId="69CFF8F7" w14:textId="77777777" w:rsidTr="00C1632E">
        <w:trPr>
          <w:cantSplit/>
          <w:tblHeader/>
          <w:jc w:val="center"/>
        </w:trPr>
        <w:tc>
          <w:tcPr>
            <w:tcW w:w="48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F91D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9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12A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Cases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(N=96)</w:t>
            </w:r>
          </w:p>
        </w:tc>
        <w:tc>
          <w:tcPr>
            <w:tcW w:w="23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6EB2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Controls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(N=1642)</w:t>
            </w:r>
          </w:p>
        </w:tc>
        <w:tc>
          <w:tcPr>
            <w:tcW w:w="2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72A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 xml:space="preserve">Total 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br/>
              <w:t xml:space="preserve"> (N=1738)</w:t>
            </w:r>
          </w:p>
        </w:tc>
      </w:tr>
      <w:tr w:rsidR="001A56A0" w:rsidRPr="0056090B" w14:paraId="64BE3C9B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072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Sex,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355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5AD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B71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F45A0B0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F02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07C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 (15.6%)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1D5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364 (22.2%)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57B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379 (21.8%)</w:t>
            </w:r>
          </w:p>
        </w:tc>
      </w:tr>
      <w:tr w:rsidR="001A56A0" w:rsidRPr="0056090B" w14:paraId="502D1C56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4E3C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4CE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81 (84.4%)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41F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1278 (77.8%)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354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1359 (78.2%)</w:t>
            </w:r>
          </w:p>
        </w:tc>
      </w:tr>
      <w:tr w:rsidR="001A56A0" w:rsidRPr="0056090B" w14:paraId="40DF9B78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F6A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Age at recruitment,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E4E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EDA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C5A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BA1DDF7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1179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30~39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48B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 (7.3%)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74B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99 (6.0%)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667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106 (6.1%)</w:t>
            </w:r>
          </w:p>
        </w:tc>
      </w:tr>
      <w:tr w:rsidR="001A56A0" w:rsidRPr="0056090B" w14:paraId="2489F299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146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40~49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E00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34 (35.4%)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85F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617 (37.6%)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3B6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651 (37.5%)</w:t>
            </w:r>
          </w:p>
        </w:tc>
      </w:tr>
      <w:tr w:rsidR="001A56A0" w:rsidRPr="0056090B" w14:paraId="08D0664A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A2E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50~59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A6F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55 (57.3%)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57E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926 (56.4%)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4B5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981 (56.4%)</w:t>
            </w:r>
          </w:p>
        </w:tc>
      </w:tr>
      <w:tr w:rsidR="001A56A0" w:rsidRPr="0056090B" w14:paraId="4C5C222E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D22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Classification,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7DD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042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54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9DF4E23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20F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HCC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9C6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82 (85.4%)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405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F51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4EE7ED8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810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0F5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 (11.5%)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5B5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7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03C2C58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043B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Others/Unknown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042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 (3.1%)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394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AB2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128699D0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0D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HBsAg,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5A2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C7C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462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7FE3F96B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605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564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14 (14.6%)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507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894 (54.4%)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807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908 (52.2%)</w:t>
            </w:r>
          </w:p>
        </w:tc>
      </w:tr>
      <w:tr w:rsidR="001A56A0" w:rsidRPr="0056090B" w14:paraId="7252C74D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73E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823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52 (54.2%)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2F8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188 (11.4%)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584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240 (13.8%)</w:t>
            </w:r>
          </w:p>
        </w:tc>
      </w:tr>
      <w:tr w:rsidR="001A56A0" w:rsidRPr="0056090B" w14:paraId="09E3FDC4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CC8E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5FE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30 (31.3%)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94D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560 (34.1%)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661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590 (33.9%)</w:t>
            </w:r>
          </w:p>
        </w:tc>
      </w:tr>
      <w:tr w:rsidR="001A56A0" w:rsidRPr="0056090B" w14:paraId="5B13B634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078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3F7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F93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960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5CD94190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C80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68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87 (90.6%)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DEF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1560 (95.0%)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5FA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1647 (94.8%)</w:t>
            </w:r>
          </w:p>
        </w:tc>
      </w:tr>
      <w:tr w:rsidR="001A56A0" w:rsidRPr="0056090B" w14:paraId="0C59D67B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1EA3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07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 (9.4%)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A51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82 (5.0%)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601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91 (5.2%)</w:t>
            </w:r>
          </w:p>
        </w:tc>
      </w:tr>
      <w:tr w:rsidR="001A56A0" w:rsidRPr="0056090B" w14:paraId="26930438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DFC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EBNA1-IgA, rOD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F7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C0B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F34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D233923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98A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52D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0.24 (0.00, 8.18)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1A2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0.17 (-0.02, 5.59)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793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0.18 (-0.02, 8.18)</w:t>
            </w:r>
          </w:p>
        </w:tc>
      </w:tr>
      <w:tr w:rsidR="001A56A0" w:rsidRPr="0056090B" w14:paraId="110F8C70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9FA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818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386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231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085F6397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53D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5C6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83 (86.5%)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CA3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1525 (92.9%)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98A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1608 (92.5%)</w:t>
            </w:r>
          </w:p>
        </w:tc>
      </w:tr>
      <w:tr w:rsidR="001A56A0" w:rsidRPr="0056090B" w14:paraId="7E02FDAE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435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3B6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 (13.5%)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314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117 (7.1%)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96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130 (7.5%)</w:t>
            </w:r>
          </w:p>
        </w:tc>
      </w:tr>
      <w:tr w:rsidR="001A56A0" w:rsidRPr="0056090B" w14:paraId="42786138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079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VCA-IgA, rOD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8CE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9FD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A7E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3F168745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6C33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A59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0.38 (0.01, 2.51)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3DA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0.27 (-0.02, 4.01)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B2F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0.28 (-0.02, 4.01)</w:t>
            </w:r>
          </w:p>
        </w:tc>
      </w:tr>
      <w:tr w:rsidR="001A56A0" w:rsidRPr="0056090B" w14:paraId="6669A38A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3E3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Combination of VCA-IgA and EBNA1-IgA, N (%)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20F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B0A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5D6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2408FB5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E4E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BDB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75 (78.1%)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186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1459 (88.9%)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E17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1534 (88.3%)</w:t>
            </w:r>
          </w:p>
        </w:tc>
      </w:tr>
      <w:tr w:rsidR="001A56A0" w:rsidRPr="0056090B" w14:paraId="06B795D5" w14:textId="77777777" w:rsidTr="00C1632E">
        <w:trPr>
          <w:cantSplit/>
          <w:jc w:val="center"/>
        </w:trPr>
        <w:tc>
          <w:tcPr>
            <w:tcW w:w="48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DC8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309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 (1.0%)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039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 (1.0%)</w:t>
            </w:r>
          </w:p>
        </w:tc>
        <w:tc>
          <w:tcPr>
            <w:tcW w:w="20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8F2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17 (1.0%)</w:t>
            </w:r>
          </w:p>
        </w:tc>
      </w:tr>
      <w:tr w:rsidR="001A56A0" w:rsidRPr="0056090B" w14:paraId="52D82D28" w14:textId="77777777" w:rsidTr="00C1632E">
        <w:trPr>
          <w:cantSplit/>
          <w:jc w:val="center"/>
        </w:trPr>
        <w:tc>
          <w:tcPr>
            <w:tcW w:w="487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AFBF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Single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91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020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20 (20.8%)</w:t>
            </w:r>
          </w:p>
        </w:tc>
        <w:tc>
          <w:tcPr>
            <w:tcW w:w="233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F05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167 (10.2%)</w:t>
            </w:r>
          </w:p>
        </w:tc>
        <w:tc>
          <w:tcPr>
            <w:tcW w:w="200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B74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187 (10.8%)</w:t>
            </w:r>
          </w:p>
        </w:tc>
      </w:tr>
      <w:tr w:rsidR="001A56A0" w:rsidRPr="0056090B" w14:paraId="75A4536C" w14:textId="77777777" w:rsidTr="00C1632E">
        <w:trPr>
          <w:cantSplit/>
          <w:jc w:val="center"/>
        </w:trPr>
        <w:tc>
          <w:tcPr>
            <w:tcW w:w="1113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35D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Abbreviations: rOD, relative optical density; EBV, Epstein-Barr virus; EBNA1: Epstein–Barr nuclear antigen 1; VCA: viral capsid antigen; IgA: Immunoglobulin A; HBsAg: hepatitis B virus surface antigen.</w:t>
            </w:r>
          </w:p>
        </w:tc>
      </w:tr>
    </w:tbl>
    <w:p w14:paraId="0A083045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1B9A63FF" w14:textId="16150DB8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0CFAEA1B" w14:textId="77777777" w:rsidR="001A56A0" w:rsidRPr="0056090B" w:rsidRDefault="001A56A0" w:rsidP="001A56A0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t>Table S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10F3D7B1" w14:textId="77777777" w:rsidR="001A56A0" w:rsidRPr="0056090B" w:rsidRDefault="001A56A0" w:rsidP="001A56A0">
      <w:pPr>
        <w:pStyle w:val="TableCaption"/>
        <w:rPr>
          <w:rFonts w:ascii="Times New Roman" w:hAnsi="Times New Roman" w:cs="Times New Roman"/>
          <w:i w:val="0"/>
          <w:sz w:val="20"/>
          <w:szCs w:val="20"/>
        </w:rPr>
      </w:pPr>
      <w:r w:rsidRPr="0056090B">
        <w:rPr>
          <w:rFonts w:ascii="Times New Roman" w:hAnsi="Times New Roman" w:cs="Times New Roman"/>
          <w:i w:val="0"/>
          <w:sz w:val="20"/>
          <w:szCs w:val="20"/>
        </w:rPr>
        <w:t>Table S</w:t>
      </w:r>
      <w:r>
        <w:rPr>
          <w:rFonts w:ascii="Times New Roman" w:hAnsi="Times New Roman" w:cs="Times New Roman"/>
          <w:i w:val="0"/>
          <w:sz w:val="20"/>
          <w:szCs w:val="20"/>
        </w:rPr>
        <w:t>5</w:t>
      </w:r>
      <w:r w:rsidRPr="0056090B">
        <w:rPr>
          <w:rFonts w:ascii="Times New Roman" w:hAnsi="Times New Roman" w:cs="Times New Roman"/>
          <w:i w:val="0"/>
          <w:sz w:val="20"/>
          <w:szCs w:val="20"/>
        </w:rPr>
        <w:t>. Associations of anti-EBV antibodies with odds of primary liver cancer risk, restricting to cases with anti-EBV samples collected at least two years before cancer diagnosis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341"/>
        <w:gridCol w:w="945"/>
        <w:gridCol w:w="1225"/>
        <w:gridCol w:w="1263"/>
        <w:gridCol w:w="1433"/>
        <w:gridCol w:w="1433"/>
      </w:tblGrid>
      <w:tr w:rsidR="001A56A0" w:rsidRPr="0056090B" w14:paraId="77666745" w14:textId="77777777" w:rsidTr="00273B9E">
        <w:trPr>
          <w:cantSplit/>
          <w:tblHeader/>
          <w:jc w:val="center"/>
        </w:trPr>
        <w:tc>
          <w:tcPr>
            <w:tcW w:w="135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6588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EE18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Cases (N=96)</w:t>
            </w:r>
          </w:p>
        </w:tc>
        <w:tc>
          <w:tcPr>
            <w:tcW w:w="70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B6A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Controls (N=1642)</w:t>
            </w:r>
          </w:p>
        </w:tc>
        <w:tc>
          <w:tcPr>
            <w:tcW w:w="7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5059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8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5A69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5A6A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</w:rPr>
              <w:t>Adjusted OR (95% CI)</w:t>
            </w:r>
            <w:r w:rsidRPr="0056090B">
              <w:rPr>
                <w:rFonts w:ascii="Times New Roman" w:eastAsia="Arial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</w:tr>
      <w:tr w:rsidR="001A56A0" w:rsidRPr="0056090B" w14:paraId="229F8E35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BAC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2FC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88D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048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DB6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0F8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88C3CEF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560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3A8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87 (90.6%)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48E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1560 (95.0%)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832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988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33F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33657757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6B20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7D5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9 (9.4%)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873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82 (5.0%)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1DC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2.12 (1.02,4.38)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E68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2.06 (0.98,4.34)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D2B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2.37 (1.03,5.47)</w:t>
            </w:r>
          </w:p>
        </w:tc>
      </w:tr>
      <w:tr w:rsidR="001A56A0" w:rsidRPr="0056090B" w14:paraId="698AAE62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106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EBNA1-IgA, rOD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454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44D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4DE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1.55 (1.17,2.06)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B5D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1.51 (1.13,2.01)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CE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1.67 (1.22,2.30)</w:t>
            </w:r>
          </w:p>
        </w:tc>
      </w:tr>
      <w:tr w:rsidR="001A56A0" w:rsidRPr="0056090B" w14:paraId="331001CF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DA5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154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C85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B99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166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000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1405F532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1FF2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2DC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83 (86.5%)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F5B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1525 (92.9%)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BBC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DD9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C03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4705797D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3244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2FE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13 (13.5%)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523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117 (7.1%)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C7C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2.11 (1.11,4.00)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6DB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2.16 (1.13,4.10)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F84D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1.91 (0.93,3.95)</w:t>
            </w:r>
          </w:p>
        </w:tc>
      </w:tr>
      <w:tr w:rsidR="001A56A0" w:rsidRPr="0056090B" w14:paraId="7FB294D9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903F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VCA-IgA, rOD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809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706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FF1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1.62 (1.09,2.42)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3A7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1.63 (1.09,2.43)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DAC5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1.55 (0.98,2.45)</w:t>
            </w:r>
          </w:p>
        </w:tc>
      </w:tr>
      <w:tr w:rsidR="001A56A0" w:rsidRPr="0056090B" w14:paraId="3FE2346C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4E8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Combination of VCA-IgA and EBNA1-IgA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8680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BBF6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9B0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C431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8BC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A56A0" w:rsidRPr="0056090B" w14:paraId="4164F7A9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F8FC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CF0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75 (78.1%)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7C69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1459 (88.9%)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8537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43E2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F1B8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ref</w:t>
            </w:r>
          </w:p>
        </w:tc>
      </w:tr>
      <w:tr w:rsidR="001A56A0" w:rsidRPr="0056090B" w14:paraId="541E6CD6" w14:textId="77777777" w:rsidTr="00273B9E">
        <w:trPr>
          <w:cantSplit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E3BD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9F3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 (1.0%)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5E8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 (1.0%)</w:t>
            </w:r>
          </w:p>
        </w:tc>
        <w:tc>
          <w:tcPr>
            <w:tcW w:w="7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D89B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1.29 (0.17,9.97)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918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1.38 (0.18,10.71)</w:t>
            </w:r>
          </w:p>
        </w:tc>
        <w:tc>
          <w:tcPr>
            <w:tcW w:w="8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562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1.75 (0.21,14.61)</w:t>
            </w:r>
          </w:p>
        </w:tc>
      </w:tr>
      <w:tr w:rsidR="001A56A0" w:rsidRPr="0056090B" w14:paraId="4C78D576" w14:textId="77777777" w:rsidTr="00273B9E">
        <w:trPr>
          <w:cantSplit/>
          <w:jc w:val="center"/>
        </w:trPr>
        <w:tc>
          <w:tcPr>
            <w:tcW w:w="1355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36F1" w14:textId="77777777" w:rsidR="001A56A0" w:rsidRPr="0056090B" w:rsidRDefault="001A56A0" w:rsidP="005C6390">
            <w:pPr>
              <w:spacing w:before="60" w:after="60"/>
              <w:ind w:left="40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Single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964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20 (20.8%)</w:t>
            </w:r>
          </w:p>
        </w:tc>
        <w:tc>
          <w:tcPr>
            <w:tcW w:w="70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6D7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167 (10.2%)</w:t>
            </w:r>
          </w:p>
        </w:tc>
        <w:tc>
          <w:tcPr>
            <w:tcW w:w="731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A31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2.49 (1.45,4.28)</w:t>
            </w:r>
          </w:p>
        </w:tc>
        <w:tc>
          <w:tcPr>
            <w:tcW w:w="82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08FE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2.47 (1.43,4.27)</w:t>
            </w:r>
          </w:p>
        </w:tc>
        <w:tc>
          <w:tcPr>
            <w:tcW w:w="829" w:type="pc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99C3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2.31 (1.25,4.26)</w:t>
            </w:r>
          </w:p>
        </w:tc>
      </w:tr>
      <w:tr w:rsidR="001A56A0" w:rsidRPr="0056090B" w14:paraId="2742256E" w14:textId="77777777" w:rsidTr="00273B9E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E104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Abbreviations: EBV, Epstein-Barr virus; rOD, relative optical density; EBNA1: Epstein–Barr nuclear antigen 1; VCA: viral capsid antigen; IgA: Immunoglobulin A; HBsAg: hepatitis B virus surface antigen.</w:t>
            </w:r>
          </w:p>
        </w:tc>
      </w:tr>
      <w:tr w:rsidR="001A56A0" w:rsidRPr="0056090B" w14:paraId="0F86DC9E" w14:textId="77777777" w:rsidTr="00273B9E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B1AC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†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OR was adjusted by age (continuous) at initial recruitment.</w:t>
            </w:r>
          </w:p>
        </w:tc>
      </w:tr>
      <w:tr w:rsidR="001A56A0" w:rsidRPr="0056090B" w14:paraId="4491EC6D" w14:textId="77777777" w:rsidTr="00273B9E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57AA" w14:textId="77777777" w:rsidR="001A56A0" w:rsidRPr="0056090B" w:rsidRDefault="001A56A0" w:rsidP="005C6390">
            <w:pPr>
              <w:spacing w:before="60" w:after="60"/>
              <w:ind w:left="60" w:right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††</w:t>
            </w:r>
            <w:r w:rsidRPr="0056090B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OR was adjusted by age (continuous) at initial recruitment and HBsAg.</w:t>
            </w:r>
          </w:p>
        </w:tc>
      </w:tr>
    </w:tbl>
    <w:p w14:paraId="2D27D901" w14:textId="77777777" w:rsidR="001A56A0" w:rsidRPr="0056090B" w:rsidRDefault="001A56A0" w:rsidP="001A56A0">
      <w:pPr>
        <w:rPr>
          <w:rFonts w:ascii="Times New Roman" w:hAnsi="Times New Roman" w:cs="Times New Roman"/>
          <w:iCs/>
          <w:sz w:val="20"/>
          <w:szCs w:val="20"/>
        </w:rPr>
      </w:pPr>
    </w:p>
    <w:p w14:paraId="6CBCD92C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23E456B6" w14:textId="77777777" w:rsidR="001A56A0" w:rsidRPr="0056090B" w:rsidRDefault="001A56A0" w:rsidP="001A56A0">
      <w:pPr>
        <w:rPr>
          <w:rFonts w:ascii="Times New Roman" w:hAnsi="Times New Roman" w:cs="Times New Roman"/>
          <w:sz w:val="20"/>
          <w:szCs w:val="20"/>
        </w:rPr>
      </w:pPr>
    </w:p>
    <w:p w14:paraId="3F0C893E" w14:textId="29AE0897" w:rsidR="00AA03C1" w:rsidRDefault="00AA03C1"/>
    <w:p w14:paraId="148C574F" w14:textId="66FE2BFE" w:rsidR="00F435B4" w:rsidRDefault="00F435B4"/>
    <w:p w14:paraId="21B3D4EA" w14:textId="2D9ABF4F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</w:p>
    <w:p w14:paraId="380B641B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14:paraId="280C426A" w14:textId="13B5488A" w:rsidR="00F435B4" w:rsidRPr="0056090B" w:rsidRDefault="00F435B4" w:rsidP="00F435B4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lastRenderedPageBreak/>
        <w:t>Figure S</w:t>
      </w:r>
      <w:r w:rsidR="00BB6B85">
        <w:rPr>
          <w:rFonts w:ascii="Times New Roman" w:hAnsi="Times New Roman" w:cs="Times New Roman"/>
          <w:sz w:val="20"/>
          <w:szCs w:val="20"/>
        </w:rPr>
        <w:t>1</w:t>
      </w:r>
    </w:p>
    <w:p w14:paraId="795CB7D8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9AF8CF" wp14:editId="001323A1">
            <wp:extent cx="6318250" cy="3905030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49" cy="390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C36A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</w:p>
    <w:p w14:paraId="7926B3B6" w14:textId="2CAC90CE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t>Figure S</w:t>
      </w:r>
      <w:r w:rsidR="00447D03">
        <w:rPr>
          <w:rFonts w:ascii="Times New Roman" w:hAnsi="Times New Roman" w:cs="Times New Roman"/>
          <w:sz w:val="20"/>
          <w:szCs w:val="20"/>
        </w:rPr>
        <w:t>1</w:t>
      </w:r>
      <w:r w:rsidRPr="0056090B">
        <w:rPr>
          <w:rFonts w:ascii="Times New Roman" w:hAnsi="Times New Roman" w:cs="Times New Roman"/>
          <w:sz w:val="20"/>
          <w:szCs w:val="20"/>
        </w:rPr>
        <w:t>: Years of tests for HBsAg and anti-EBV antibodies before primary cancer diagnosis</w:t>
      </w:r>
    </w:p>
    <w:p w14:paraId="5CC95735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t>Abbreviations: EBV, Epstein-Barr virus; EBNA1: Epstein–Barr nuclear antigen 1; VCA: viral capsid antigen; IgA: Immunoglobulin A; HBsAg: hepatitis B virus surface antigen.</w:t>
      </w:r>
    </w:p>
    <w:p w14:paraId="33238377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</w:p>
    <w:p w14:paraId="747745B1" w14:textId="77777777" w:rsidR="00F435B4" w:rsidRPr="0056090B" w:rsidRDefault="00F435B4" w:rsidP="00F435B4">
      <w:pPr>
        <w:rPr>
          <w:rFonts w:ascii="Times New Roman" w:hAnsi="Times New Roman" w:cs="Times New Roman"/>
          <w:sz w:val="20"/>
          <w:szCs w:val="20"/>
        </w:rPr>
      </w:pPr>
      <w:r w:rsidRPr="0056090B">
        <w:rPr>
          <w:rFonts w:ascii="Times New Roman" w:hAnsi="Times New Roman" w:cs="Times New Roman"/>
          <w:sz w:val="20"/>
          <w:szCs w:val="20"/>
        </w:rPr>
        <w:br w:type="page"/>
      </w:r>
    </w:p>
    <w:p w14:paraId="6EED48D4" w14:textId="77777777" w:rsidR="00F435B4" w:rsidRPr="00F435B4" w:rsidRDefault="00F435B4" w:rsidP="00F435B4"/>
    <w:sectPr w:rsidR="00F435B4" w:rsidRPr="00F435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0NzO2NLM0MjY3NjVV0lEKTi0uzszPAykwrgUAPifGgCwAAAA="/>
  </w:docVars>
  <w:rsids>
    <w:rsidRoot w:val="00F9361D"/>
    <w:rsid w:val="000353B4"/>
    <w:rsid w:val="001018CB"/>
    <w:rsid w:val="001A56A0"/>
    <w:rsid w:val="0040019B"/>
    <w:rsid w:val="00447D03"/>
    <w:rsid w:val="009E2FA1"/>
    <w:rsid w:val="00AA03C1"/>
    <w:rsid w:val="00BB6B85"/>
    <w:rsid w:val="00D82CC5"/>
    <w:rsid w:val="00F435B4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9E0"/>
  <w15:chartTrackingRefBased/>
  <w15:docId w15:val="{D8C94074-060C-48EB-BFC9-6B5F4EB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0"/>
  </w:style>
  <w:style w:type="paragraph" w:styleId="Heading1">
    <w:name w:val="heading 1"/>
    <w:basedOn w:val="Normal"/>
    <w:next w:val="Normal"/>
    <w:link w:val="Heading1Char"/>
    <w:uiPriority w:val="9"/>
    <w:qFormat/>
    <w:rsid w:val="001A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Caption">
    <w:name w:val="Table Caption"/>
    <w:basedOn w:val="Normal"/>
    <w:qFormat/>
    <w:rsid w:val="001A56A0"/>
    <w:pPr>
      <w:spacing w:after="0" w:line="240" w:lineRule="auto"/>
      <w:jc w:val="center"/>
    </w:pPr>
    <w:rPr>
      <w:b/>
      <w:i/>
      <w:sz w:val="24"/>
      <w:szCs w:val="24"/>
      <w:lang w:eastAsia="en-US"/>
    </w:rPr>
  </w:style>
  <w:style w:type="paragraph" w:customStyle="1" w:styleId="a">
    <w:name w:val="论文正文"/>
    <w:basedOn w:val="Normal"/>
    <w:link w:val="Char"/>
    <w:qFormat/>
    <w:rsid w:val="001A56A0"/>
    <w:pPr>
      <w:widowControl w:val="0"/>
      <w:spacing w:after="0"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Char">
    <w:name w:val="论文正文 Char"/>
    <w:basedOn w:val="DefaultParagraphFont"/>
    <w:link w:val="a"/>
    <w:rsid w:val="001A56A0"/>
    <w:rPr>
      <w:rFonts w:ascii="Times New Roman" w:eastAsia="宋体" w:hAnsi="Times New Roman"/>
      <w:kern w:val="2"/>
      <w:sz w:val="24"/>
      <w:szCs w:val="24"/>
    </w:rPr>
  </w:style>
  <w:style w:type="paragraph" w:styleId="Revision">
    <w:name w:val="Revision"/>
    <w:hidden/>
    <w:uiPriority w:val="99"/>
    <w:semiHidden/>
    <w:rsid w:val="00BB6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云</dc:creator>
  <cp:keywords/>
  <dc:description/>
  <cp:lastModifiedBy>杜 云</cp:lastModifiedBy>
  <cp:revision>17</cp:revision>
  <dcterms:created xsi:type="dcterms:W3CDTF">2022-10-02T09:26:00Z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1d5393edccc377125f34cce0ad482f817d04219aae0ac29614e3778f72443160</vt:lpwstr>
  </property>
</Properties>
</file>