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C5" w:rsidRPr="000E0B63" w:rsidRDefault="004C4BC5" w:rsidP="004C4BC5">
      <w:pPr>
        <w:pStyle w:val="Kop1"/>
        <w:spacing w:line="360" w:lineRule="auto"/>
        <w:rPr>
          <w:rFonts w:asciiTheme="minorHAnsi" w:hAnsiTheme="minorHAnsi" w:cs="Times New Roman"/>
          <w:noProof/>
          <w:lang w:eastAsia="nl-NL"/>
        </w:rPr>
      </w:pPr>
      <w:bookmarkStart w:id="0" w:name="_GoBack"/>
      <w:bookmarkEnd w:id="0"/>
      <w:r w:rsidRPr="000E0B63">
        <w:rPr>
          <w:rFonts w:asciiTheme="minorHAnsi" w:hAnsiTheme="minorHAnsi" w:cs="Times New Roman"/>
          <w:noProof/>
          <w:lang w:eastAsia="nl-NL"/>
        </w:rPr>
        <w:t>Supplemental</w:t>
      </w:r>
    </w:p>
    <w:p w:rsidR="004C4BC5" w:rsidRPr="000E0B63" w:rsidRDefault="004C4BC5" w:rsidP="004C4BC5">
      <w:pPr>
        <w:pStyle w:val="Geenafstand"/>
        <w:spacing w:line="360" w:lineRule="auto"/>
        <w:rPr>
          <w:rFonts w:cs="Times New Roman"/>
          <w:lang w:val="en-GB"/>
        </w:rPr>
      </w:pPr>
    </w:p>
    <w:p w:rsidR="004C4BC5" w:rsidRPr="000E0B63" w:rsidRDefault="004C4BC5" w:rsidP="004C4BC5">
      <w:pPr>
        <w:pStyle w:val="Kop1"/>
        <w:spacing w:line="360" w:lineRule="auto"/>
        <w:rPr>
          <w:rFonts w:asciiTheme="minorHAnsi" w:hAnsiTheme="minorHAnsi" w:cs="Times New Roman"/>
          <w:b w:val="0"/>
        </w:rPr>
      </w:pPr>
      <w:r w:rsidRPr="000E0B63">
        <w:rPr>
          <w:rFonts w:asciiTheme="minorHAnsi" w:hAnsiTheme="minorHAnsi" w:cs="Times New Roman"/>
          <w:b w:val="0"/>
        </w:rPr>
        <w:t>Table S1. Overview of study logistics</w:t>
      </w:r>
    </w:p>
    <w:tbl>
      <w:tblPr>
        <w:tblW w:w="9641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50"/>
        <w:gridCol w:w="3259"/>
        <w:gridCol w:w="3410"/>
      </w:tblGrid>
      <w:tr w:rsidR="004C4BC5" w:rsidRPr="000E0B63" w:rsidTr="00501AAB">
        <w:trPr>
          <w:trHeight w:hRule="exact" w:val="322"/>
        </w:trPr>
        <w:tc>
          <w:tcPr>
            <w:tcW w:w="2122" w:type="dxa"/>
            <w:shd w:val="clear" w:color="auto" w:fill="F2F2F2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b/>
                <w:sz w:val="18"/>
              </w:rPr>
            </w:pPr>
            <w:r w:rsidRPr="000E0B63">
              <w:rPr>
                <w:rFonts w:asciiTheme="minorHAnsi" w:hAnsiTheme="minorHAnsi" w:cs="Times New Roman"/>
                <w:b/>
                <w:sz w:val="18"/>
              </w:rPr>
              <w:t>Treatment phase</w:t>
            </w:r>
          </w:p>
        </w:tc>
        <w:tc>
          <w:tcPr>
            <w:tcW w:w="850" w:type="dxa"/>
            <w:shd w:val="clear" w:color="auto" w:fill="F2F2F2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87"/>
              <w:rPr>
                <w:rFonts w:asciiTheme="minorHAnsi" w:hAnsiTheme="minorHAnsi" w:cs="Times New Roman"/>
                <w:b/>
                <w:sz w:val="18"/>
              </w:rPr>
            </w:pPr>
            <w:r w:rsidRPr="000E0B63">
              <w:rPr>
                <w:rFonts w:asciiTheme="minorHAnsi" w:hAnsiTheme="minorHAnsi" w:cs="Times New Roman"/>
                <w:b/>
                <w:sz w:val="18"/>
              </w:rPr>
              <w:t>Week</w:t>
            </w:r>
          </w:p>
        </w:tc>
        <w:tc>
          <w:tcPr>
            <w:tcW w:w="3259" w:type="dxa"/>
            <w:shd w:val="clear" w:color="auto" w:fill="F2F2F2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b/>
                <w:sz w:val="18"/>
              </w:rPr>
            </w:pPr>
            <w:r w:rsidRPr="000E0B63">
              <w:rPr>
                <w:rFonts w:asciiTheme="minorHAnsi" w:hAnsiTheme="minorHAnsi" w:cs="Times New Roman"/>
                <w:b/>
                <w:sz w:val="18"/>
              </w:rPr>
              <w:t>Standard of care</w:t>
            </w:r>
          </w:p>
        </w:tc>
        <w:tc>
          <w:tcPr>
            <w:tcW w:w="3410" w:type="dxa"/>
            <w:shd w:val="clear" w:color="auto" w:fill="F2F2F2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b/>
                <w:sz w:val="18"/>
              </w:rPr>
            </w:pPr>
            <w:r w:rsidRPr="000E0B63">
              <w:rPr>
                <w:rFonts w:asciiTheme="minorHAnsi" w:hAnsiTheme="minorHAnsi" w:cs="Times New Roman"/>
                <w:b/>
                <w:sz w:val="18"/>
              </w:rPr>
              <w:t>Study procedures</w:t>
            </w:r>
          </w:p>
        </w:tc>
      </w:tr>
      <w:tr w:rsidR="004C4BC5" w:rsidRPr="000E0B63" w:rsidTr="00501AAB">
        <w:trPr>
          <w:trHeight w:hRule="exact" w:val="1253"/>
        </w:trPr>
        <w:tc>
          <w:tcPr>
            <w:tcW w:w="2122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Work-up</w:t>
            </w:r>
          </w:p>
        </w:tc>
        <w:tc>
          <w:tcPr>
            <w:tcW w:w="850" w:type="dxa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59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 w:right="383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Standard work-up including PSMA PET/CT</w:t>
            </w:r>
          </w:p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 w:right="264" w:hanging="1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Proven prostate cancer, staged iT2- 4N1M0</w:t>
            </w:r>
          </w:p>
        </w:tc>
        <w:tc>
          <w:tcPr>
            <w:tcW w:w="3410" w:type="dxa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</w:tr>
      <w:tr w:rsidR="004C4BC5" w:rsidRPr="000E0B63" w:rsidTr="00501AAB">
        <w:trPr>
          <w:trHeight w:hRule="exact" w:val="1101"/>
        </w:trPr>
        <w:tc>
          <w:tcPr>
            <w:tcW w:w="2122" w:type="dxa"/>
            <w:vMerge w:val="restart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Decision making</w:t>
            </w:r>
          </w:p>
        </w:tc>
        <w:tc>
          <w:tcPr>
            <w:tcW w:w="850" w:type="dxa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59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Multidisciplinary evaluation</w:t>
            </w:r>
          </w:p>
          <w:p w:rsidR="004C4BC5" w:rsidRPr="000E0B63" w:rsidRDefault="004C4BC5" w:rsidP="00501AAB">
            <w:pPr>
              <w:pStyle w:val="TableParagraph"/>
              <w:widowControl/>
              <w:spacing w:before="100" w:line="360" w:lineRule="auto"/>
              <w:ind w:left="105" w:right="88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Referred for EBRT prostate/nodes + 3 years ADT</w:t>
            </w:r>
          </w:p>
        </w:tc>
        <w:tc>
          <w:tcPr>
            <w:tcW w:w="3410" w:type="dxa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</w:tr>
      <w:tr w:rsidR="004C4BC5" w:rsidRPr="000E0B63" w:rsidTr="00501AAB">
        <w:trPr>
          <w:trHeight w:hRule="exact" w:val="319"/>
        </w:trPr>
        <w:tc>
          <w:tcPr>
            <w:tcW w:w="2122" w:type="dxa"/>
            <w:vMerge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83" w:right="78"/>
              <w:jc w:val="center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-3</w:t>
            </w:r>
          </w:p>
        </w:tc>
        <w:tc>
          <w:tcPr>
            <w:tcW w:w="3259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Agree to standard treatment</w:t>
            </w:r>
          </w:p>
        </w:tc>
        <w:tc>
          <w:tcPr>
            <w:tcW w:w="3410" w:type="dxa"/>
            <w:vMerge w:val="restart"/>
            <w:shd w:val="clear" w:color="auto" w:fill="EAF1DD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 w:right="401"/>
              <w:rPr>
                <w:rFonts w:asciiTheme="minorHAnsi" w:hAnsiTheme="minorHAnsi" w:cs="Times New Roman"/>
                <w:sz w:val="18"/>
                <w:lang w:val="fr-CH"/>
              </w:rPr>
            </w:pPr>
            <w:r w:rsidRPr="000E0B63">
              <w:rPr>
                <w:rFonts w:asciiTheme="minorHAnsi" w:hAnsiTheme="minorHAnsi" w:cs="Times New Roman"/>
                <w:sz w:val="18"/>
                <w:lang w:val="fr-CH"/>
              </w:rPr>
              <w:t>Inclusion + informed consent</w:t>
            </w:r>
          </w:p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 w:right="401"/>
              <w:rPr>
                <w:rFonts w:asciiTheme="minorHAnsi" w:hAnsiTheme="minorHAnsi" w:cs="Times New Roman"/>
                <w:sz w:val="12"/>
                <w:lang w:val="fr-CH"/>
              </w:rPr>
            </w:pPr>
            <w:r w:rsidRPr="000E0B63">
              <w:rPr>
                <w:rFonts w:asciiTheme="minorHAnsi" w:hAnsiTheme="minorHAnsi" w:cs="Times New Roman"/>
                <w:sz w:val="18"/>
                <w:lang w:val="fr-CH"/>
              </w:rPr>
              <w:t>QoL questionnaires</w:t>
            </w:r>
            <w:r w:rsidRPr="000E0B63">
              <w:rPr>
                <w:rFonts w:asciiTheme="minorHAnsi" w:hAnsiTheme="minorHAnsi" w:cs="Times New Roman"/>
                <w:position w:val="6"/>
                <w:sz w:val="12"/>
                <w:lang w:val="fr-CH"/>
              </w:rPr>
              <w:t>d</w:t>
            </w:r>
          </w:p>
        </w:tc>
      </w:tr>
      <w:tr w:rsidR="004C4BC5" w:rsidRPr="000E0B63" w:rsidTr="00501AAB">
        <w:trPr>
          <w:trHeight w:hRule="exact" w:val="319"/>
        </w:trPr>
        <w:tc>
          <w:tcPr>
            <w:tcW w:w="2122" w:type="dxa"/>
            <w:vMerge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  <w:lang w:val="fr-CH"/>
              </w:rPr>
            </w:pPr>
          </w:p>
        </w:tc>
        <w:tc>
          <w:tcPr>
            <w:tcW w:w="850" w:type="dxa"/>
            <w:vMerge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  <w:lang w:val="fr-CH"/>
              </w:rPr>
            </w:pPr>
          </w:p>
        </w:tc>
        <w:tc>
          <w:tcPr>
            <w:tcW w:w="3259" w:type="dxa"/>
            <w:shd w:val="clear" w:color="auto" w:fill="E5DFEC"/>
          </w:tcPr>
          <w:p w:rsidR="004C4BC5" w:rsidRPr="000E0B63" w:rsidRDefault="004C4BC5" w:rsidP="00501AAB">
            <w:pPr>
              <w:pStyle w:val="TableParagraph"/>
              <w:widowControl/>
              <w:spacing w:before="1" w:line="360" w:lineRule="auto"/>
              <w:ind w:left="105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Initiation of ADT</w:t>
            </w:r>
          </w:p>
        </w:tc>
        <w:tc>
          <w:tcPr>
            <w:tcW w:w="3410" w:type="dxa"/>
            <w:vMerge/>
            <w:shd w:val="clear" w:color="auto" w:fill="EAF1DD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</w:tr>
      <w:tr w:rsidR="004C4BC5" w:rsidRPr="000E0B63" w:rsidTr="00501AAB">
        <w:trPr>
          <w:trHeight w:hRule="exact" w:val="634"/>
        </w:trPr>
        <w:tc>
          <w:tcPr>
            <w:tcW w:w="2122" w:type="dxa"/>
            <w:vMerge w:val="restart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Preparation</w:t>
            </w:r>
          </w:p>
        </w:tc>
        <w:tc>
          <w:tcPr>
            <w:tcW w:w="850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83" w:right="78"/>
              <w:jc w:val="center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-2</w:t>
            </w:r>
          </w:p>
        </w:tc>
        <w:tc>
          <w:tcPr>
            <w:tcW w:w="3259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 w:right="1429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RT planning CT+MRI RT target delineation</w:t>
            </w:r>
          </w:p>
        </w:tc>
        <w:tc>
          <w:tcPr>
            <w:tcW w:w="3410" w:type="dxa"/>
            <w:vMerge w:val="restart"/>
            <w:shd w:val="clear" w:color="auto" w:fill="EAF1DD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 w:right="1029"/>
              <w:rPr>
                <w:rFonts w:asciiTheme="minorHAnsi" w:hAnsiTheme="minorHAnsi" w:cs="Times New Roman"/>
                <w:position w:val="6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Dose level selection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 xml:space="preserve">a </w:t>
            </w:r>
            <w:r w:rsidRPr="000E0B63">
              <w:rPr>
                <w:rFonts w:asciiTheme="minorHAnsi" w:hAnsiTheme="minorHAnsi" w:cs="Times New Roman"/>
                <w:sz w:val="18"/>
              </w:rPr>
              <w:t>Ordering [</w:t>
            </w:r>
            <w:r w:rsidRPr="000E0B63">
              <w:rPr>
                <w:rFonts w:asciiTheme="minorHAnsi" w:hAnsiTheme="minorHAnsi" w:cs="Times New Roman"/>
                <w:sz w:val="18"/>
                <w:vertAlign w:val="superscript"/>
              </w:rPr>
              <w:t>177</w:t>
            </w:r>
            <w:r w:rsidRPr="000E0B63">
              <w:rPr>
                <w:rFonts w:asciiTheme="minorHAnsi" w:hAnsiTheme="minorHAnsi" w:cs="Times New Roman"/>
                <w:sz w:val="18"/>
              </w:rPr>
              <w:t>Lu]Lu-PSMA-617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 xml:space="preserve"> a</w:t>
            </w:r>
          </w:p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 w:right="1029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Logistical planning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a</w:t>
            </w:r>
          </w:p>
        </w:tc>
      </w:tr>
      <w:tr w:rsidR="004C4BC5" w:rsidRPr="000E0B63" w:rsidTr="00501AAB">
        <w:trPr>
          <w:trHeight w:hRule="exact" w:val="614"/>
        </w:trPr>
        <w:tc>
          <w:tcPr>
            <w:tcW w:w="2122" w:type="dxa"/>
            <w:vMerge/>
            <w:tcBorders>
              <w:bottom w:val="single" w:sz="17" w:space="0" w:color="000000"/>
            </w:tcBorders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17" w:space="0" w:color="000000"/>
            </w:tcBorders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83" w:right="78"/>
              <w:jc w:val="center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-1</w:t>
            </w:r>
          </w:p>
        </w:tc>
        <w:tc>
          <w:tcPr>
            <w:tcW w:w="3259" w:type="dxa"/>
            <w:tcBorders>
              <w:bottom w:val="single" w:sz="17" w:space="0" w:color="000000"/>
            </w:tcBorders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RT planning procedure</w:t>
            </w:r>
          </w:p>
        </w:tc>
        <w:tc>
          <w:tcPr>
            <w:tcW w:w="3410" w:type="dxa"/>
            <w:vMerge/>
            <w:tcBorders>
              <w:bottom w:val="single" w:sz="17" w:space="0" w:color="000000"/>
            </w:tcBorders>
            <w:shd w:val="clear" w:color="auto" w:fill="EAF1DD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</w:tr>
      <w:tr w:rsidR="004C4BC5" w:rsidRPr="000E0B63" w:rsidTr="00501AAB">
        <w:trPr>
          <w:trHeight w:hRule="exact" w:val="343"/>
        </w:trPr>
        <w:tc>
          <w:tcPr>
            <w:tcW w:w="2122" w:type="dxa"/>
            <w:vMerge w:val="restart"/>
            <w:tcBorders>
              <w:top w:val="single" w:sz="17" w:space="0" w:color="000000"/>
            </w:tcBorders>
          </w:tcPr>
          <w:p w:rsidR="004C4BC5" w:rsidRPr="000E0B63" w:rsidRDefault="004C4BC5" w:rsidP="00501AAB">
            <w:pPr>
              <w:pStyle w:val="TableParagraph"/>
              <w:widowControl/>
              <w:spacing w:before="4" w:line="360" w:lineRule="auto"/>
              <w:ind w:left="105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Treatment</w:t>
            </w:r>
          </w:p>
        </w:tc>
        <w:tc>
          <w:tcPr>
            <w:tcW w:w="850" w:type="dxa"/>
            <w:tcBorders>
              <w:top w:val="single" w:sz="17" w:space="0" w:color="000000"/>
            </w:tcBorders>
          </w:tcPr>
          <w:p w:rsidR="004C4BC5" w:rsidRPr="000E0B63" w:rsidRDefault="004C4BC5" w:rsidP="00501AAB">
            <w:pPr>
              <w:pStyle w:val="TableParagraph"/>
              <w:widowControl/>
              <w:spacing w:before="4" w:line="360" w:lineRule="auto"/>
              <w:jc w:val="center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w w:val="101"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17" w:space="0" w:color="000000"/>
            </w:tcBorders>
            <w:shd w:val="clear" w:color="auto" w:fill="E5DFEC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EBRT + acute toxicity score CTCAE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b</w:t>
            </w:r>
          </w:p>
        </w:tc>
        <w:tc>
          <w:tcPr>
            <w:tcW w:w="3410" w:type="dxa"/>
            <w:tcBorders>
              <w:top w:val="single" w:sz="17" w:space="0" w:color="000000"/>
            </w:tcBorders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</w:tr>
      <w:tr w:rsidR="004C4BC5" w:rsidRPr="000E0B63" w:rsidTr="00501AAB">
        <w:trPr>
          <w:trHeight w:hRule="exact" w:val="629"/>
        </w:trPr>
        <w:tc>
          <w:tcPr>
            <w:tcW w:w="2122" w:type="dxa"/>
            <w:vMerge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jc w:val="center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w w:val="101"/>
                <w:sz w:val="18"/>
              </w:rPr>
              <w:t>2</w:t>
            </w:r>
          </w:p>
        </w:tc>
        <w:tc>
          <w:tcPr>
            <w:tcW w:w="3259" w:type="dxa"/>
            <w:shd w:val="clear" w:color="auto" w:fill="E5DFEC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EBRT + acute toxicity score CTCAE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b</w:t>
            </w:r>
          </w:p>
        </w:tc>
        <w:tc>
          <w:tcPr>
            <w:tcW w:w="3410" w:type="dxa"/>
            <w:shd w:val="clear" w:color="auto" w:fill="D6E3BC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1x [</w:t>
            </w:r>
            <w:r w:rsidRPr="000E0B63">
              <w:rPr>
                <w:rFonts w:asciiTheme="minorHAnsi" w:hAnsiTheme="minorHAnsi" w:cs="Times New Roman"/>
                <w:sz w:val="18"/>
                <w:vertAlign w:val="superscript"/>
              </w:rPr>
              <w:t>177</w:t>
            </w:r>
            <w:r w:rsidRPr="000E0B63">
              <w:rPr>
                <w:rFonts w:asciiTheme="minorHAnsi" w:hAnsiTheme="minorHAnsi" w:cs="Times New Roman"/>
                <w:sz w:val="18"/>
              </w:rPr>
              <w:t>Lu]Lu-PSMA-617</w:t>
            </w:r>
            <w:r w:rsidRPr="000E0B63">
              <w:rPr>
                <w:rFonts w:asciiTheme="minorHAnsi" w:hAnsiTheme="minorHAnsi" w:cs="Times New Roman"/>
                <w:sz w:val="18"/>
                <w:vertAlign w:val="superscript"/>
              </w:rPr>
              <w:t>a</w:t>
            </w:r>
            <w:r w:rsidRPr="000E0B63">
              <w:rPr>
                <w:rFonts w:asciiTheme="minorHAnsi" w:hAnsiTheme="minorHAnsi" w:cs="Times New Roman"/>
                <w:position w:val="6"/>
                <w:sz w:val="18"/>
              </w:rPr>
              <w:t xml:space="preserve"> </w:t>
            </w:r>
            <w:r w:rsidRPr="000E0B63">
              <w:rPr>
                <w:rFonts w:asciiTheme="minorHAnsi" w:hAnsiTheme="minorHAnsi" w:cs="Times New Roman"/>
                <w:sz w:val="18"/>
              </w:rPr>
              <w:t>+ 3x SPECT/CT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 xml:space="preserve">c </w:t>
            </w:r>
            <w:r w:rsidRPr="000E0B63">
              <w:rPr>
                <w:rFonts w:asciiTheme="minorHAnsi" w:hAnsiTheme="minorHAnsi" w:cs="Times New Roman"/>
                <w:sz w:val="18"/>
              </w:rPr>
              <w:t>11x blood samples for PK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c</w:t>
            </w:r>
          </w:p>
        </w:tc>
      </w:tr>
      <w:tr w:rsidR="004C4BC5" w:rsidRPr="000E0B63" w:rsidTr="00501AAB">
        <w:trPr>
          <w:trHeight w:hRule="exact" w:val="619"/>
        </w:trPr>
        <w:tc>
          <w:tcPr>
            <w:tcW w:w="2122" w:type="dxa"/>
            <w:vMerge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jc w:val="center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w w:val="101"/>
                <w:sz w:val="18"/>
              </w:rPr>
              <w:t>3</w:t>
            </w:r>
          </w:p>
        </w:tc>
        <w:tc>
          <w:tcPr>
            <w:tcW w:w="3259" w:type="dxa"/>
            <w:shd w:val="clear" w:color="auto" w:fill="E5DFEC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EBRT + acute toxicity score CTCAE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b</w:t>
            </w:r>
          </w:p>
        </w:tc>
        <w:tc>
          <w:tcPr>
            <w:tcW w:w="3410" w:type="dxa"/>
            <w:vMerge w:val="restart"/>
            <w:shd w:val="clear" w:color="auto" w:fill="auto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</w:tr>
      <w:tr w:rsidR="004C4BC5" w:rsidRPr="000E0B63" w:rsidTr="00501AAB">
        <w:trPr>
          <w:trHeight w:hRule="exact" w:val="322"/>
        </w:trPr>
        <w:tc>
          <w:tcPr>
            <w:tcW w:w="2122" w:type="dxa"/>
            <w:vMerge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jc w:val="center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w w:val="101"/>
                <w:sz w:val="18"/>
              </w:rPr>
              <w:t>4</w:t>
            </w:r>
          </w:p>
        </w:tc>
        <w:tc>
          <w:tcPr>
            <w:tcW w:w="3259" w:type="dxa"/>
            <w:shd w:val="clear" w:color="auto" w:fill="E5DFEC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EBRT + acute toxicity score CTCAE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b</w:t>
            </w:r>
          </w:p>
        </w:tc>
        <w:tc>
          <w:tcPr>
            <w:tcW w:w="3410" w:type="dxa"/>
            <w:vMerge/>
            <w:shd w:val="clear" w:color="auto" w:fill="auto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</w:tr>
      <w:tr w:rsidR="004C4BC5" w:rsidRPr="000E0B63" w:rsidTr="00501AAB">
        <w:trPr>
          <w:trHeight w:hRule="exact" w:val="322"/>
        </w:trPr>
        <w:tc>
          <w:tcPr>
            <w:tcW w:w="2122" w:type="dxa"/>
            <w:vMerge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jc w:val="center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w w:val="101"/>
                <w:sz w:val="18"/>
              </w:rPr>
              <w:t>5</w:t>
            </w:r>
          </w:p>
        </w:tc>
        <w:tc>
          <w:tcPr>
            <w:tcW w:w="3259" w:type="dxa"/>
            <w:shd w:val="clear" w:color="auto" w:fill="E5DFEC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EBRT + acute toxicity score CTCAE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b</w:t>
            </w:r>
          </w:p>
        </w:tc>
        <w:tc>
          <w:tcPr>
            <w:tcW w:w="3410" w:type="dxa"/>
            <w:vMerge/>
            <w:shd w:val="clear" w:color="auto" w:fill="auto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</w:tr>
      <w:tr w:rsidR="004C4BC5" w:rsidRPr="000E0B63" w:rsidTr="00501AAB">
        <w:trPr>
          <w:trHeight w:hRule="exact" w:val="322"/>
        </w:trPr>
        <w:tc>
          <w:tcPr>
            <w:tcW w:w="2122" w:type="dxa"/>
            <w:vMerge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jc w:val="center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w w:val="101"/>
                <w:sz w:val="18"/>
              </w:rPr>
              <w:t>6</w:t>
            </w:r>
          </w:p>
        </w:tc>
        <w:tc>
          <w:tcPr>
            <w:tcW w:w="3259" w:type="dxa"/>
            <w:shd w:val="clear" w:color="auto" w:fill="E5DFEC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EBRT + acute toxicity score CTCAE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b</w:t>
            </w:r>
          </w:p>
        </w:tc>
        <w:tc>
          <w:tcPr>
            <w:tcW w:w="3410" w:type="dxa"/>
            <w:vMerge/>
            <w:shd w:val="clear" w:color="auto" w:fill="auto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</w:tr>
      <w:tr w:rsidR="004C4BC5" w:rsidRPr="000E0B63" w:rsidTr="00501AAB">
        <w:trPr>
          <w:trHeight w:hRule="exact" w:val="334"/>
        </w:trPr>
        <w:tc>
          <w:tcPr>
            <w:tcW w:w="2122" w:type="dxa"/>
            <w:vMerge/>
            <w:tcBorders>
              <w:bottom w:val="single" w:sz="17" w:space="0" w:color="000000"/>
            </w:tcBorders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17" w:space="0" w:color="000000"/>
            </w:tcBorders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jc w:val="center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w w:val="101"/>
                <w:sz w:val="18"/>
              </w:rPr>
              <w:t>7</w:t>
            </w:r>
          </w:p>
        </w:tc>
        <w:tc>
          <w:tcPr>
            <w:tcW w:w="3259" w:type="dxa"/>
            <w:tcBorders>
              <w:bottom w:val="single" w:sz="17" w:space="0" w:color="000000"/>
            </w:tcBorders>
            <w:shd w:val="clear" w:color="auto" w:fill="E5DFEC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EBRT + acute toxicity score CTCAE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b</w:t>
            </w:r>
          </w:p>
        </w:tc>
        <w:tc>
          <w:tcPr>
            <w:tcW w:w="3410" w:type="dxa"/>
            <w:vMerge/>
            <w:tcBorders>
              <w:bottom w:val="single" w:sz="17" w:space="0" w:color="000000"/>
            </w:tcBorders>
            <w:shd w:val="clear" w:color="auto" w:fill="auto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</w:tr>
      <w:tr w:rsidR="004C4BC5" w:rsidRPr="000E0B63" w:rsidTr="00501AAB">
        <w:trPr>
          <w:trHeight w:hRule="exact" w:val="338"/>
        </w:trPr>
        <w:tc>
          <w:tcPr>
            <w:tcW w:w="2122" w:type="dxa"/>
            <w:vMerge w:val="restart"/>
            <w:tcBorders>
              <w:top w:val="single" w:sz="17" w:space="0" w:color="000000"/>
            </w:tcBorders>
          </w:tcPr>
          <w:p w:rsidR="004C4BC5" w:rsidRPr="000E0B63" w:rsidRDefault="004C4BC5" w:rsidP="00501AAB">
            <w:pPr>
              <w:pStyle w:val="TableParagraph"/>
              <w:widowControl/>
              <w:spacing w:before="4" w:line="360" w:lineRule="auto"/>
              <w:ind w:left="105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Recovery</w:t>
            </w:r>
          </w:p>
        </w:tc>
        <w:tc>
          <w:tcPr>
            <w:tcW w:w="850" w:type="dxa"/>
            <w:tcBorders>
              <w:top w:val="single" w:sz="17" w:space="0" w:color="000000"/>
            </w:tcBorders>
          </w:tcPr>
          <w:p w:rsidR="004C4BC5" w:rsidRPr="000E0B63" w:rsidRDefault="004C4BC5" w:rsidP="00501AAB">
            <w:pPr>
              <w:pStyle w:val="TableParagraph"/>
              <w:widowControl/>
              <w:spacing w:before="4" w:line="360" w:lineRule="auto"/>
              <w:ind w:left="244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+1m</w:t>
            </w:r>
          </w:p>
        </w:tc>
        <w:tc>
          <w:tcPr>
            <w:tcW w:w="3259" w:type="dxa"/>
            <w:tcBorders>
              <w:top w:val="single" w:sz="17" w:space="0" w:color="000000"/>
            </w:tcBorders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10" w:type="dxa"/>
            <w:tcBorders>
              <w:top w:val="single" w:sz="17" w:space="0" w:color="000000"/>
            </w:tcBorders>
            <w:shd w:val="clear" w:color="auto" w:fill="EAF1DD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Acute toxicity score CTCAE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b</w:t>
            </w:r>
          </w:p>
        </w:tc>
      </w:tr>
      <w:tr w:rsidR="004C4BC5" w:rsidRPr="000E0B63" w:rsidTr="00501AAB">
        <w:trPr>
          <w:trHeight w:hRule="exact" w:val="322"/>
        </w:trPr>
        <w:tc>
          <w:tcPr>
            <w:tcW w:w="2122" w:type="dxa"/>
            <w:vMerge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:rsidR="004C4BC5" w:rsidRPr="000E0B63" w:rsidRDefault="004C4BC5" w:rsidP="00501AAB">
            <w:pPr>
              <w:pStyle w:val="TableParagraph"/>
              <w:widowControl/>
              <w:spacing w:before="4" w:line="360" w:lineRule="auto"/>
              <w:ind w:left="244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+2m</w:t>
            </w:r>
          </w:p>
        </w:tc>
        <w:tc>
          <w:tcPr>
            <w:tcW w:w="3259" w:type="dxa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10" w:type="dxa"/>
            <w:shd w:val="clear" w:color="auto" w:fill="EAF1DD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Acute toxicity score CTCAE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b</w:t>
            </w:r>
          </w:p>
        </w:tc>
      </w:tr>
      <w:tr w:rsidR="004C4BC5" w:rsidRPr="000E0B63" w:rsidTr="00501AAB">
        <w:trPr>
          <w:trHeight w:hRule="exact" w:val="634"/>
        </w:trPr>
        <w:tc>
          <w:tcPr>
            <w:tcW w:w="2122" w:type="dxa"/>
            <w:vMerge w:val="restart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Follow-up</w:t>
            </w:r>
          </w:p>
        </w:tc>
        <w:tc>
          <w:tcPr>
            <w:tcW w:w="850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244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+3m</w:t>
            </w:r>
          </w:p>
        </w:tc>
        <w:tc>
          <w:tcPr>
            <w:tcW w:w="3259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 w:right="847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Clinical evaluation + PSA Acute toxicity score CTCAE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b</w:t>
            </w:r>
          </w:p>
        </w:tc>
        <w:tc>
          <w:tcPr>
            <w:tcW w:w="3410" w:type="dxa"/>
            <w:shd w:val="clear" w:color="auto" w:fill="EAF1DD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QoL questionnaires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d</w:t>
            </w:r>
          </w:p>
        </w:tc>
      </w:tr>
      <w:tr w:rsidR="004C4BC5" w:rsidRPr="000E0B63" w:rsidTr="00501AAB">
        <w:trPr>
          <w:trHeight w:hRule="exact" w:val="629"/>
        </w:trPr>
        <w:tc>
          <w:tcPr>
            <w:tcW w:w="2122" w:type="dxa"/>
            <w:vMerge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244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+6m</w:t>
            </w:r>
          </w:p>
        </w:tc>
        <w:tc>
          <w:tcPr>
            <w:tcW w:w="3259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 w:right="957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Clinical evaluation + PSA Late toxicity score CTCAE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b</w:t>
            </w:r>
          </w:p>
        </w:tc>
        <w:tc>
          <w:tcPr>
            <w:tcW w:w="3410" w:type="dxa"/>
            <w:shd w:val="clear" w:color="auto" w:fill="EAF1DD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/>
              <w:rPr>
                <w:rFonts w:asciiTheme="minorHAnsi" w:hAnsiTheme="minorHAnsi" w:cs="Times New Roman"/>
                <w:sz w:val="12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QoL questionnaires</w:t>
            </w:r>
            <w:r w:rsidRPr="000E0B63">
              <w:rPr>
                <w:rFonts w:asciiTheme="minorHAnsi" w:hAnsiTheme="minorHAnsi" w:cs="Times New Roman"/>
                <w:position w:val="6"/>
                <w:sz w:val="12"/>
              </w:rPr>
              <w:t>d</w:t>
            </w:r>
          </w:p>
        </w:tc>
      </w:tr>
      <w:tr w:rsidR="004C4BC5" w:rsidRPr="000E0B63" w:rsidTr="00501AAB">
        <w:trPr>
          <w:trHeight w:hRule="exact" w:val="634"/>
        </w:trPr>
        <w:tc>
          <w:tcPr>
            <w:tcW w:w="2122" w:type="dxa"/>
            <w:vMerge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59" w:type="dxa"/>
          </w:tcPr>
          <w:p w:rsidR="004C4BC5" w:rsidRPr="000E0B63" w:rsidRDefault="004C4BC5" w:rsidP="00501AAB">
            <w:pPr>
              <w:pStyle w:val="TableParagraph"/>
              <w:widowControl/>
              <w:spacing w:line="360" w:lineRule="auto"/>
              <w:ind w:left="105" w:right="793"/>
              <w:rPr>
                <w:rFonts w:asciiTheme="minorHAnsi" w:hAnsiTheme="minorHAnsi" w:cs="Times New Roman"/>
                <w:sz w:val="18"/>
              </w:rPr>
            </w:pPr>
            <w:r w:rsidRPr="000E0B63">
              <w:rPr>
                <w:rFonts w:asciiTheme="minorHAnsi" w:hAnsiTheme="minorHAnsi" w:cs="Times New Roman"/>
                <w:sz w:val="18"/>
              </w:rPr>
              <w:t>Study ended. Continued FU according to standard of care</w:t>
            </w:r>
          </w:p>
        </w:tc>
        <w:tc>
          <w:tcPr>
            <w:tcW w:w="3410" w:type="dxa"/>
          </w:tcPr>
          <w:p w:rsidR="004C4BC5" w:rsidRPr="000E0B63" w:rsidRDefault="004C4BC5" w:rsidP="00501AAB">
            <w:pPr>
              <w:spacing w:line="360" w:lineRule="auto"/>
              <w:rPr>
                <w:rFonts w:cs="Times New Roman"/>
              </w:rPr>
            </w:pPr>
          </w:p>
        </w:tc>
      </w:tr>
    </w:tbl>
    <w:p w:rsidR="004C4BC5" w:rsidRPr="000E0B63" w:rsidRDefault="004C4BC5" w:rsidP="004C4BC5">
      <w:pPr>
        <w:spacing w:line="360" w:lineRule="auto"/>
        <w:rPr>
          <w:rFonts w:cs="Times New Roman"/>
          <w:sz w:val="16"/>
          <w:u w:val="single"/>
        </w:rPr>
      </w:pPr>
    </w:p>
    <w:p w:rsidR="004C4BC5" w:rsidRPr="000E0B63" w:rsidRDefault="004C4BC5" w:rsidP="004C4BC5">
      <w:pPr>
        <w:spacing w:before="85" w:line="360" w:lineRule="auto"/>
        <w:ind w:left="135"/>
        <w:rPr>
          <w:rFonts w:cs="Times New Roman"/>
          <w:sz w:val="16"/>
        </w:rPr>
      </w:pPr>
      <w:r w:rsidRPr="000E0B63">
        <w:rPr>
          <w:rFonts w:cs="Times New Roman"/>
          <w:sz w:val="16"/>
        </w:rPr>
        <w:t xml:space="preserve">Legend: </w:t>
      </w:r>
      <w:r w:rsidRPr="000E0B63">
        <w:rPr>
          <w:rFonts w:cs="Times New Roman"/>
          <w:sz w:val="16"/>
          <w:shd w:val="clear" w:color="auto" w:fill="E5DFEC"/>
        </w:rPr>
        <w:t>Purple =</w:t>
      </w:r>
      <w:r w:rsidRPr="000E0B63">
        <w:rPr>
          <w:rFonts w:cs="Times New Roman"/>
          <w:spacing w:val="-14"/>
          <w:sz w:val="16"/>
          <w:shd w:val="clear" w:color="auto" w:fill="E5DFEC"/>
        </w:rPr>
        <w:t xml:space="preserve"> </w:t>
      </w:r>
      <w:r w:rsidRPr="000E0B63">
        <w:rPr>
          <w:rFonts w:cs="Times New Roman"/>
          <w:sz w:val="16"/>
          <w:shd w:val="clear" w:color="auto" w:fill="E5DFEC"/>
        </w:rPr>
        <w:t>treatment</w:t>
      </w:r>
      <w:r w:rsidRPr="000E0B63">
        <w:rPr>
          <w:rFonts w:cs="Times New Roman"/>
          <w:sz w:val="16"/>
        </w:rPr>
        <w:t>.</w:t>
      </w:r>
      <w:r w:rsidRPr="000E0B63">
        <w:rPr>
          <w:rFonts w:cs="Times New Roman"/>
          <w:sz w:val="16"/>
          <w:shd w:val="clear" w:color="auto" w:fill="EAF1DD"/>
        </w:rPr>
        <w:t xml:space="preserve"> Green = additional study procedures</w:t>
      </w:r>
      <w:r w:rsidRPr="000E0B63">
        <w:rPr>
          <w:rFonts w:cs="Times New Roman"/>
          <w:sz w:val="16"/>
        </w:rPr>
        <w:t xml:space="preserve">. </w:t>
      </w:r>
      <w:r w:rsidRPr="000E0B63">
        <w:rPr>
          <w:rFonts w:cs="Times New Roman"/>
          <w:color w:val="000000" w:themeColor="text1"/>
          <w:sz w:val="16"/>
          <w:szCs w:val="16"/>
        </w:rPr>
        <w:t xml:space="preserve">ADT = Androgen deprivation therapy, CT = Computed Tomography, CTCAE = Common Terminology Criteria for Adverse Events, EBRT = External beam radiation therapy, FU = Follow-up, MRI = Magnetic resonance imaging, PET= Positron emission tomography, PK = </w:t>
      </w:r>
      <w:r w:rsidRPr="000E0B63">
        <w:rPr>
          <w:rFonts w:cs="Times New Roman"/>
          <w:sz w:val="16"/>
        </w:rPr>
        <w:t>pharmacokinetics</w:t>
      </w:r>
      <w:r w:rsidRPr="000E0B63">
        <w:rPr>
          <w:rFonts w:cs="Times New Roman"/>
          <w:color w:val="000000" w:themeColor="text1"/>
          <w:sz w:val="16"/>
          <w:szCs w:val="16"/>
        </w:rPr>
        <w:t>, PSA = Prostate-specific antigen, PSMA = Prostate specific membrane antigen, QoL = Quality of life, RT = Radiotherapy</w:t>
      </w:r>
      <w:r w:rsidRPr="000E0B63">
        <w:rPr>
          <w:rFonts w:cs="Times New Roman"/>
          <w:sz w:val="16"/>
        </w:rPr>
        <w:t xml:space="preserve">, </w:t>
      </w:r>
      <w:r w:rsidRPr="000E0B63">
        <w:rPr>
          <w:rFonts w:cs="Times New Roman"/>
          <w:color w:val="000000" w:themeColor="text1"/>
          <w:sz w:val="16"/>
          <w:szCs w:val="16"/>
        </w:rPr>
        <w:t>SPECT = Single positron emission tomography</w:t>
      </w:r>
      <w:r w:rsidRPr="000E0B63">
        <w:rPr>
          <w:rFonts w:cs="Times New Roman"/>
          <w:sz w:val="16"/>
        </w:rPr>
        <w:t>.</w:t>
      </w:r>
    </w:p>
    <w:p w:rsidR="004C4BC5" w:rsidRPr="000E0B63" w:rsidRDefault="004C4BC5" w:rsidP="004C4BC5">
      <w:pPr>
        <w:spacing w:before="85" w:line="360" w:lineRule="auto"/>
        <w:ind w:left="135"/>
        <w:rPr>
          <w:rFonts w:cs="Times New Roman"/>
          <w:sz w:val="16"/>
        </w:rPr>
      </w:pPr>
      <w:r w:rsidRPr="000E0B63">
        <w:rPr>
          <w:rFonts w:cs="Times New Roman"/>
          <w:sz w:val="16"/>
        </w:rPr>
        <w:t>See below the table for additional details for specific components:</w:t>
      </w:r>
    </w:p>
    <w:p w:rsidR="004C4BC5" w:rsidRPr="000E0B63" w:rsidRDefault="004C4BC5" w:rsidP="004C4BC5">
      <w:pPr>
        <w:spacing w:line="360" w:lineRule="auto"/>
        <w:rPr>
          <w:rFonts w:cs="Times New Roman"/>
          <w:sz w:val="16"/>
          <w:u w:val="single"/>
        </w:rPr>
      </w:pPr>
      <w:r w:rsidRPr="000E0B63">
        <w:rPr>
          <w:rFonts w:cs="Times New Roman"/>
          <w:sz w:val="16"/>
          <w:u w:val="single"/>
        </w:rPr>
        <w:t xml:space="preserve">a: </w:t>
      </w:r>
      <w:r w:rsidRPr="000E0B63">
        <w:rPr>
          <w:rFonts w:cs="Times New Roman"/>
          <w:sz w:val="16"/>
          <w:szCs w:val="16"/>
          <w:u w:val="single"/>
        </w:rPr>
        <w:t>[</w:t>
      </w:r>
      <w:r w:rsidRPr="000E0B63">
        <w:rPr>
          <w:rFonts w:cs="Times New Roman"/>
          <w:sz w:val="16"/>
          <w:szCs w:val="16"/>
          <w:u w:val="single"/>
          <w:vertAlign w:val="superscript"/>
        </w:rPr>
        <w:t>177</w:t>
      </w:r>
      <w:r w:rsidRPr="000E0B63">
        <w:rPr>
          <w:rFonts w:cs="Times New Roman"/>
          <w:sz w:val="16"/>
          <w:szCs w:val="16"/>
          <w:u w:val="single"/>
        </w:rPr>
        <w:t xml:space="preserve">Lu]Lu-PSMA-617 </w:t>
      </w:r>
      <w:r w:rsidRPr="000E0B63">
        <w:rPr>
          <w:rFonts w:cs="Times New Roman"/>
          <w:sz w:val="16"/>
          <w:u w:val="single"/>
        </w:rPr>
        <w:t>therapy details:</w:t>
      </w:r>
      <w:r w:rsidRPr="000E0B63">
        <w:rPr>
          <w:rFonts w:cs="Times New Roman"/>
          <w:sz w:val="16"/>
        </w:rPr>
        <w:t xml:space="preserve"> Single </w:t>
      </w:r>
      <w:r w:rsidRPr="00AD7BF8">
        <w:rPr>
          <w:rFonts w:cs="Times New Roman"/>
          <w:sz w:val="16"/>
        </w:rPr>
        <w:t>administered activity of 3, 6 or 9 GBq according to dose escalation</w:t>
      </w:r>
      <w:r w:rsidRPr="00AD7BF8">
        <w:rPr>
          <w:rFonts w:cs="Times New Roman"/>
          <w:spacing w:val="-28"/>
          <w:sz w:val="16"/>
        </w:rPr>
        <w:t xml:space="preserve"> </w:t>
      </w:r>
      <w:r w:rsidRPr="00AD7BF8">
        <w:rPr>
          <w:rFonts w:cs="Times New Roman"/>
          <w:sz w:val="16"/>
        </w:rPr>
        <w:t>step. Radiation safety measures for about two weeks during continued</w:t>
      </w:r>
      <w:r w:rsidRPr="00AD7BF8">
        <w:rPr>
          <w:rFonts w:cs="Times New Roman"/>
          <w:spacing w:val="-32"/>
          <w:sz w:val="16"/>
        </w:rPr>
        <w:t xml:space="preserve">     </w:t>
      </w:r>
      <w:r w:rsidRPr="00AD7BF8">
        <w:rPr>
          <w:rFonts w:cs="Times New Roman"/>
          <w:sz w:val="16"/>
        </w:rPr>
        <w:t>EBRT and at home.</w:t>
      </w:r>
    </w:p>
    <w:p w:rsidR="004C4BC5" w:rsidRPr="00AD7BF8" w:rsidRDefault="004C4BC5" w:rsidP="004C4BC5">
      <w:r w:rsidRPr="00AD7BF8">
        <w:rPr>
          <w:rFonts w:cs="Times New Roman"/>
          <w:sz w:val="16"/>
          <w:u w:val="single"/>
        </w:rPr>
        <w:lastRenderedPageBreak/>
        <w:t>b: Toxicity evaluation details:</w:t>
      </w:r>
      <w:r w:rsidRPr="00AD7BF8">
        <w:rPr>
          <w:rFonts w:cs="Times New Roman"/>
          <w:sz w:val="16"/>
        </w:rPr>
        <w:t xml:space="preserve"> Acute and late toxicity is evaluated using CTCAE v. 5.0 </w:t>
      </w:r>
      <w:r w:rsidRPr="00AD7BF8">
        <w:rPr>
          <w:rFonts w:cs="Times New Roman"/>
          <w:spacing w:val="-22"/>
          <w:sz w:val="16"/>
        </w:rPr>
        <w:t xml:space="preserve"> </w:t>
      </w:r>
      <w:r w:rsidRPr="00AD7BF8">
        <w:rPr>
          <w:rFonts w:cs="Times New Roman"/>
          <w:sz w:val="16"/>
        </w:rPr>
        <w:t>criteria. When significant toxicity (grade three or higher) occurs, this may be evaluated with additional investigations as deemed necessary by the treating</w:t>
      </w:r>
      <w:r w:rsidRPr="00AD7BF8">
        <w:rPr>
          <w:rFonts w:cs="Times New Roman"/>
          <w:spacing w:val="-17"/>
          <w:sz w:val="16"/>
        </w:rPr>
        <w:t xml:space="preserve"> </w:t>
      </w:r>
      <w:r w:rsidRPr="00AD7BF8">
        <w:rPr>
          <w:rFonts w:cs="Times New Roman"/>
          <w:sz w:val="16"/>
        </w:rPr>
        <w:t>physician.</w:t>
      </w:r>
    </w:p>
    <w:p w:rsidR="004C4BC5" w:rsidRPr="00AD7BF8" w:rsidRDefault="004C4BC5" w:rsidP="004C4BC5">
      <w:pPr>
        <w:spacing w:line="360" w:lineRule="auto"/>
        <w:rPr>
          <w:rFonts w:cs="Times New Roman"/>
          <w:sz w:val="24"/>
        </w:rPr>
      </w:pPr>
      <w:r w:rsidRPr="00AD7BF8">
        <w:rPr>
          <w:rFonts w:cs="Times New Roman"/>
          <w:sz w:val="16"/>
          <w:u w:val="single"/>
        </w:rPr>
        <w:t>c: Biodistribution details:</w:t>
      </w:r>
      <w:r w:rsidRPr="00AD7BF8">
        <w:rPr>
          <w:rFonts w:cs="Times New Roman"/>
          <w:sz w:val="16"/>
        </w:rPr>
        <w:t xml:space="preserve"> 3</w:t>
      </w:r>
      <w:r w:rsidRPr="00AD7BF8">
        <w:rPr>
          <w:rFonts w:cs="Times New Roman"/>
          <w:spacing w:val="-6"/>
          <w:sz w:val="16"/>
        </w:rPr>
        <w:t xml:space="preserve"> </w:t>
      </w:r>
      <w:r w:rsidRPr="00AD7BF8">
        <w:rPr>
          <w:rFonts w:cs="Times New Roman"/>
          <w:sz w:val="16"/>
        </w:rPr>
        <w:t>x</w:t>
      </w:r>
      <w:r w:rsidRPr="00AD7BF8">
        <w:rPr>
          <w:rFonts w:cs="Times New Roman"/>
          <w:spacing w:val="-2"/>
          <w:sz w:val="16"/>
        </w:rPr>
        <w:t xml:space="preserve"> </w:t>
      </w:r>
      <w:r w:rsidRPr="00AD7BF8">
        <w:rPr>
          <w:rFonts w:cs="Times New Roman"/>
          <w:sz w:val="16"/>
        </w:rPr>
        <w:t>biodistribution</w:t>
      </w:r>
      <w:r w:rsidRPr="00AD7BF8">
        <w:rPr>
          <w:rFonts w:cs="Times New Roman"/>
          <w:spacing w:val="-2"/>
          <w:sz w:val="16"/>
        </w:rPr>
        <w:t xml:space="preserve"> </w:t>
      </w:r>
      <w:r w:rsidRPr="00AD7BF8">
        <w:rPr>
          <w:rFonts w:cs="Times New Roman"/>
          <w:sz w:val="16"/>
        </w:rPr>
        <w:t>SPECT/CT</w:t>
      </w:r>
      <w:r w:rsidRPr="00AD7BF8">
        <w:rPr>
          <w:rFonts w:cs="Times New Roman"/>
          <w:spacing w:val="-1"/>
          <w:sz w:val="16"/>
        </w:rPr>
        <w:t xml:space="preserve"> </w:t>
      </w:r>
      <w:r w:rsidRPr="00AD7BF8">
        <w:rPr>
          <w:rFonts w:cs="Times New Roman"/>
          <w:sz w:val="16"/>
        </w:rPr>
        <w:t>of</w:t>
      </w:r>
      <w:r w:rsidRPr="00AD7BF8">
        <w:rPr>
          <w:rFonts w:cs="Times New Roman"/>
          <w:spacing w:val="-1"/>
          <w:sz w:val="16"/>
        </w:rPr>
        <w:t xml:space="preserve"> </w:t>
      </w:r>
      <w:r w:rsidRPr="00AD7BF8">
        <w:rPr>
          <w:rFonts w:cs="Times New Roman"/>
          <w:sz w:val="16"/>
        </w:rPr>
        <w:t>groins-head</w:t>
      </w:r>
      <w:r w:rsidRPr="00AD7BF8">
        <w:rPr>
          <w:rFonts w:cs="Times New Roman"/>
          <w:spacing w:val="-2"/>
          <w:sz w:val="16"/>
        </w:rPr>
        <w:t xml:space="preserve"> </w:t>
      </w:r>
      <w:r w:rsidRPr="00AD7BF8">
        <w:rPr>
          <w:rFonts w:cs="Times New Roman"/>
          <w:sz w:val="16"/>
        </w:rPr>
        <w:t>at</w:t>
      </w:r>
      <w:r w:rsidRPr="00AD7BF8">
        <w:rPr>
          <w:rFonts w:cs="Times New Roman"/>
          <w:spacing w:val="-1"/>
          <w:sz w:val="16"/>
        </w:rPr>
        <w:t xml:space="preserve"> </w:t>
      </w:r>
      <w:r w:rsidRPr="00AD7BF8">
        <w:rPr>
          <w:rFonts w:cs="Times New Roman"/>
          <w:sz w:val="16"/>
        </w:rPr>
        <w:t>4</w:t>
      </w:r>
      <w:r w:rsidRPr="00AD7BF8">
        <w:rPr>
          <w:rFonts w:cs="Times New Roman"/>
          <w:spacing w:val="-6"/>
          <w:sz w:val="16"/>
        </w:rPr>
        <w:t xml:space="preserve"> </w:t>
      </w:r>
      <w:r w:rsidRPr="00AD7BF8">
        <w:rPr>
          <w:rFonts w:cs="Times New Roman"/>
          <w:sz w:val="16"/>
        </w:rPr>
        <w:t>hours,</w:t>
      </w:r>
      <w:r w:rsidRPr="00AD7BF8">
        <w:rPr>
          <w:rFonts w:cs="Times New Roman"/>
          <w:spacing w:val="-6"/>
          <w:sz w:val="16"/>
        </w:rPr>
        <w:t xml:space="preserve"> </w:t>
      </w:r>
      <w:r w:rsidRPr="00AD7BF8">
        <w:rPr>
          <w:rFonts w:cs="Times New Roman"/>
          <w:sz w:val="16"/>
        </w:rPr>
        <w:t>1,</w:t>
      </w:r>
      <w:r w:rsidRPr="00AD7BF8">
        <w:rPr>
          <w:rFonts w:cs="Times New Roman"/>
          <w:spacing w:val="-6"/>
          <w:sz w:val="16"/>
        </w:rPr>
        <w:t xml:space="preserve"> </w:t>
      </w:r>
      <w:r w:rsidRPr="00AD7BF8">
        <w:rPr>
          <w:rFonts w:cs="Times New Roman"/>
          <w:sz w:val="16"/>
        </w:rPr>
        <w:t>7</w:t>
      </w:r>
      <w:r w:rsidRPr="00AD7BF8">
        <w:rPr>
          <w:rFonts w:cs="Times New Roman"/>
          <w:spacing w:val="-2"/>
          <w:sz w:val="16"/>
        </w:rPr>
        <w:t xml:space="preserve"> </w:t>
      </w:r>
      <w:r w:rsidRPr="00AD7BF8">
        <w:rPr>
          <w:rFonts w:cs="Times New Roman"/>
          <w:sz w:val="16"/>
        </w:rPr>
        <w:t>days</w:t>
      </w:r>
      <w:r w:rsidRPr="00AD7BF8">
        <w:rPr>
          <w:rFonts w:cs="Times New Roman"/>
          <w:spacing w:val="-2"/>
          <w:sz w:val="16"/>
        </w:rPr>
        <w:t xml:space="preserve"> </w:t>
      </w:r>
      <w:r w:rsidRPr="00AD7BF8">
        <w:rPr>
          <w:rFonts w:cs="Times New Roman"/>
          <w:sz w:val="16"/>
        </w:rPr>
        <w:t>after</w:t>
      </w:r>
      <w:r w:rsidRPr="00AD7BF8">
        <w:rPr>
          <w:rFonts w:cs="Times New Roman"/>
          <w:spacing w:val="-5"/>
          <w:sz w:val="16"/>
        </w:rPr>
        <w:t xml:space="preserve"> </w:t>
      </w:r>
      <w:r w:rsidRPr="00AD7BF8">
        <w:rPr>
          <w:rFonts w:cs="Times New Roman"/>
          <w:sz w:val="16"/>
        </w:rPr>
        <w:t>administration. 11</w:t>
      </w:r>
      <w:r w:rsidRPr="00AD7BF8">
        <w:rPr>
          <w:rFonts w:cs="Times New Roman"/>
          <w:spacing w:val="3"/>
          <w:sz w:val="16"/>
        </w:rPr>
        <w:t xml:space="preserve"> </w:t>
      </w:r>
      <w:r w:rsidRPr="00AD7BF8">
        <w:rPr>
          <w:rFonts w:cs="Times New Roman"/>
          <w:sz w:val="16"/>
        </w:rPr>
        <w:t>x</w:t>
      </w:r>
      <w:r w:rsidRPr="00AD7BF8">
        <w:rPr>
          <w:rFonts w:cs="Times New Roman"/>
          <w:spacing w:val="7"/>
          <w:sz w:val="16"/>
        </w:rPr>
        <w:t xml:space="preserve"> </w:t>
      </w:r>
      <w:r w:rsidRPr="00AD7BF8">
        <w:rPr>
          <w:rFonts w:cs="Times New Roman"/>
          <w:sz w:val="16"/>
        </w:rPr>
        <w:t>blood</w:t>
      </w:r>
      <w:r w:rsidRPr="00AD7BF8">
        <w:rPr>
          <w:rFonts w:cs="Times New Roman"/>
          <w:spacing w:val="3"/>
          <w:sz w:val="16"/>
        </w:rPr>
        <w:t xml:space="preserve"> </w:t>
      </w:r>
      <w:r w:rsidRPr="00AD7BF8">
        <w:rPr>
          <w:rFonts w:cs="Times New Roman"/>
          <w:sz w:val="16"/>
        </w:rPr>
        <w:t>samples</w:t>
      </w:r>
      <w:r w:rsidRPr="00AD7BF8">
        <w:rPr>
          <w:rFonts w:cs="Times New Roman"/>
          <w:spacing w:val="8"/>
          <w:sz w:val="16"/>
        </w:rPr>
        <w:t xml:space="preserve"> </w:t>
      </w:r>
      <w:r w:rsidRPr="00AD7BF8">
        <w:rPr>
          <w:rFonts w:cs="Times New Roman"/>
          <w:sz w:val="16"/>
        </w:rPr>
        <w:t>for</w:t>
      </w:r>
      <w:r w:rsidRPr="00AD7BF8">
        <w:rPr>
          <w:rFonts w:cs="Times New Roman"/>
          <w:spacing w:val="9"/>
          <w:sz w:val="16"/>
        </w:rPr>
        <w:t xml:space="preserve"> </w:t>
      </w:r>
      <w:r w:rsidRPr="00AD7BF8">
        <w:rPr>
          <w:rFonts w:cs="Times New Roman"/>
          <w:sz w:val="16"/>
        </w:rPr>
        <w:t>pharmacokinetics</w:t>
      </w:r>
      <w:r w:rsidRPr="00AD7BF8">
        <w:rPr>
          <w:rFonts w:cs="Times New Roman"/>
          <w:spacing w:val="7"/>
          <w:sz w:val="16"/>
        </w:rPr>
        <w:t xml:space="preserve"> </w:t>
      </w:r>
      <w:r w:rsidRPr="00AD7BF8">
        <w:rPr>
          <w:rFonts w:cs="Times New Roman"/>
          <w:sz w:val="16"/>
        </w:rPr>
        <w:t>(PK)</w:t>
      </w:r>
      <w:r w:rsidRPr="00AD7BF8">
        <w:rPr>
          <w:rFonts w:cs="Times New Roman"/>
          <w:spacing w:val="9"/>
          <w:sz w:val="16"/>
        </w:rPr>
        <w:t xml:space="preserve"> </w:t>
      </w:r>
      <w:r w:rsidRPr="00AD7BF8">
        <w:rPr>
          <w:rFonts w:cs="Times New Roman"/>
          <w:sz w:val="16"/>
        </w:rPr>
        <w:t>at</w:t>
      </w:r>
      <w:r w:rsidRPr="00AD7BF8">
        <w:rPr>
          <w:rFonts w:cs="Times New Roman"/>
          <w:spacing w:val="8"/>
          <w:sz w:val="16"/>
        </w:rPr>
        <w:t xml:space="preserve"> </w:t>
      </w:r>
      <w:r w:rsidRPr="00AD7BF8">
        <w:rPr>
          <w:rFonts w:cs="Times New Roman"/>
          <w:sz w:val="16"/>
        </w:rPr>
        <w:t>pre-dose</w:t>
      </w:r>
      <w:r w:rsidRPr="00AD7BF8">
        <w:rPr>
          <w:rFonts w:cs="Times New Roman"/>
          <w:spacing w:val="3"/>
          <w:sz w:val="16"/>
        </w:rPr>
        <w:t xml:space="preserve"> </w:t>
      </w:r>
      <w:r w:rsidRPr="00AD7BF8">
        <w:rPr>
          <w:rFonts w:cs="Times New Roman"/>
          <w:sz w:val="16"/>
        </w:rPr>
        <w:t>and</w:t>
      </w:r>
      <w:r w:rsidRPr="00AD7BF8">
        <w:rPr>
          <w:rFonts w:cs="Times New Roman"/>
          <w:spacing w:val="8"/>
          <w:sz w:val="16"/>
        </w:rPr>
        <w:t xml:space="preserve"> </w:t>
      </w:r>
      <w:r w:rsidRPr="00AD7BF8">
        <w:rPr>
          <w:rFonts w:cs="Times New Roman"/>
          <w:sz w:val="16"/>
        </w:rPr>
        <w:t>at</w:t>
      </w:r>
      <w:r w:rsidRPr="00AD7BF8">
        <w:rPr>
          <w:rFonts w:cs="Times New Roman"/>
          <w:spacing w:val="8"/>
          <w:sz w:val="16"/>
        </w:rPr>
        <w:t xml:space="preserve"> </w:t>
      </w:r>
      <w:r w:rsidRPr="00AD7BF8">
        <w:rPr>
          <w:rFonts w:cs="Times New Roman"/>
          <w:sz w:val="16"/>
        </w:rPr>
        <w:t>5,</w:t>
      </w:r>
      <w:r w:rsidRPr="00AD7BF8">
        <w:rPr>
          <w:rFonts w:cs="Times New Roman"/>
          <w:spacing w:val="4"/>
          <w:sz w:val="16"/>
        </w:rPr>
        <w:t xml:space="preserve"> </w:t>
      </w:r>
      <w:r w:rsidRPr="00AD7BF8">
        <w:rPr>
          <w:rFonts w:cs="Times New Roman"/>
          <w:sz w:val="16"/>
        </w:rPr>
        <w:t>15,</w:t>
      </w:r>
      <w:r w:rsidRPr="00AD7BF8">
        <w:rPr>
          <w:rFonts w:cs="Times New Roman"/>
          <w:spacing w:val="4"/>
          <w:sz w:val="16"/>
        </w:rPr>
        <w:t xml:space="preserve"> </w:t>
      </w:r>
      <w:r w:rsidRPr="00AD7BF8">
        <w:rPr>
          <w:rFonts w:cs="Times New Roman"/>
          <w:sz w:val="16"/>
        </w:rPr>
        <w:t>30</w:t>
      </w:r>
      <w:r w:rsidRPr="00AD7BF8">
        <w:rPr>
          <w:rFonts w:cs="Times New Roman"/>
          <w:spacing w:val="3"/>
          <w:sz w:val="16"/>
        </w:rPr>
        <w:t xml:space="preserve"> </w:t>
      </w:r>
      <w:r w:rsidRPr="00AD7BF8">
        <w:rPr>
          <w:rFonts w:cs="Times New Roman"/>
          <w:sz w:val="16"/>
        </w:rPr>
        <w:t>minutes;</w:t>
      </w:r>
      <w:r w:rsidRPr="00AD7BF8">
        <w:rPr>
          <w:rFonts w:cs="Times New Roman"/>
          <w:spacing w:val="4"/>
          <w:sz w:val="16"/>
        </w:rPr>
        <w:t xml:space="preserve"> </w:t>
      </w:r>
      <w:r w:rsidRPr="00AD7BF8">
        <w:rPr>
          <w:rFonts w:cs="Times New Roman"/>
          <w:sz w:val="16"/>
        </w:rPr>
        <w:t>1,</w:t>
      </w:r>
      <w:r w:rsidRPr="00AD7BF8">
        <w:rPr>
          <w:rFonts w:cs="Times New Roman"/>
          <w:spacing w:val="8"/>
          <w:sz w:val="16"/>
        </w:rPr>
        <w:t xml:space="preserve"> </w:t>
      </w:r>
      <w:r w:rsidRPr="00AD7BF8">
        <w:rPr>
          <w:rFonts w:cs="Times New Roman"/>
          <w:sz w:val="16"/>
        </w:rPr>
        <w:t>2,</w:t>
      </w:r>
      <w:r w:rsidRPr="00AD7BF8">
        <w:rPr>
          <w:rFonts w:cs="Times New Roman"/>
          <w:spacing w:val="8"/>
          <w:sz w:val="16"/>
        </w:rPr>
        <w:t xml:space="preserve"> </w:t>
      </w:r>
      <w:r w:rsidRPr="00AD7BF8">
        <w:rPr>
          <w:rFonts w:cs="Times New Roman"/>
          <w:sz w:val="16"/>
        </w:rPr>
        <w:t>3,</w:t>
      </w:r>
      <w:r w:rsidRPr="00AD7BF8">
        <w:rPr>
          <w:rFonts w:cs="Times New Roman"/>
          <w:spacing w:val="8"/>
          <w:sz w:val="16"/>
        </w:rPr>
        <w:t xml:space="preserve"> </w:t>
      </w:r>
      <w:r w:rsidRPr="00AD7BF8">
        <w:rPr>
          <w:rFonts w:cs="Times New Roman"/>
          <w:sz w:val="16"/>
        </w:rPr>
        <w:t>6</w:t>
      </w:r>
      <w:r w:rsidRPr="00AD7BF8">
        <w:rPr>
          <w:rFonts w:cs="Times New Roman"/>
          <w:spacing w:val="3"/>
          <w:sz w:val="16"/>
        </w:rPr>
        <w:t xml:space="preserve"> </w:t>
      </w:r>
      <w:r w:rsidRPr="00AD7BF8">
        <w:rPr>
          <w:rFonts w:cs="Times New Roman"/>
          <w:sz w:val="16"/>
        </w:rPr>
        <w:t>hours;</w:t>
      </w:r>
      <w:r w:rsidRPr="00AD7BF8">
        <w:rPr>
          <w:rFonts w:cs="Times New Roman"/>
          <w:spacing w:val="8"/>
          <w:sz w:val="16"/>
        </w:rPr>
        <w:t xml:space="preserve"> </w:t>
      </w:r>
      <w:r w:rsidRPr="00AD7BF8">
        <w:rPr>
          <w:rFonts w:cs="Times New Roman"/>
          <w:sz w:val="16"/>
        </w:rPr>
        <w:t>1,</w:t>
      </w:r>
      <w:r w:rsidRPr="00AD7BF8">
        <w:rPr>
          <w:rFonts w:cs="Times New Roman"/>
          <w:spacing w:val="8"/>
          <w:sz w:val="16"/>
        </w:rPr>
        <w:t xml:space="preserve"> </w:t>
      </w:r>
      <w:r w:rsidRPr="00AD7BF8">
        <w:rPr>
          <w:rFonts w:cs="Times New Roman"/>
          <w:sz w:val="16"/>
        </w:rPr>
        <w:t>2-4,</w:t>
      </w:r>
      <w:r w:rsidRPr="00AD7BF8">
        <w:rPr>
          <w:rFonts w:cs="Times New Roman"/>
          <w:spacing w:val="8"/>
          <w:sz w:val="16"/>
        </w:rPr>
        <w:t xml:space="preserve"> </w:t>
      </w:r>
      <w:r w:rsidRPr="00AD7BF8">
        <w:rPr>
          <w:rFonts w:cs="Times New Roman"/>
          <w:sz w:val="16"/>
        </w:rPr>
        <w:t>7</w:t>
      </w:r>
      <w:r w:rsidRPr="00AD7BF8">
        <w:rPr>
          <w:rFonts w:cs="Times New Roman"/>
          <w:spacing w:val="8"/>
          <w:sz w:val="16"/>
        </w:rPr>
        <w:t xml:space="preserve"> </w:t>
      </w:r>
      <w:r w:rsidRPr="00AD7BF8">
        <w:rPr>
          <w:rFonts w:cs="Times New Roman"/>
          <w:sz w:val="16"/>
        </w:rPr>
        <w:t>days</w:t>
      </w:r>
      <w:r w:rsidRPr="00AD7BF8">
        <w:rPr>
          <w:rFonts w:cs="Times New Roman"/>
          <w:spacing w:val="7"/>
          <w:sz w:val="16"/>
        </w:rPr>
        <w:t xml:space="preserve"> </w:t>
      </w:r>
      <w:r w:rsidRPr="00AD7BF8">
        <w:rPr>
          <w:rFonts w:cs="Times New Roman"/>
          <w:sz w:val="16"/>
        </w:rPr>
        <w:t>after administration.</w:t>
      </w:r>
    </w:p>
    <w:p w:rsidR="004C4BC5" w:rsidRPr="00D94592" w:rsidRDefault="004C4BC5" w:rsidP="004C4BC5">
      <w:pPr>
        <w:spacing w:before="161" w:line="360" w:lineRule="auto"/>
        <w:rPr>
          <w:rFonts w:cs="Times New Roman"/>
          <w:sz w:val="16"/>
        </w:rPr>
      </w:pPr>
      <w:r w:rsidRPr="00AD7BF8">
        <w:rPr>
          <w:rFonts w:cs="Times New Roman"/>
          <w:sz w:val="16"/>
          <w:u w:val="single"/>
        </w:rPr>
        <w:t>d: Quality of life details:</w:t>
      </w:r>
      <w:r w:rsidRPr="00AD7BF8">
        <w:rPr>
          <w:rFonts w:cs="Times New Roman"/>
          <w:sz w:val="16"/>
        </w:rPr>
        <w:t xml:space="preserve"> QLQ-C30</w:t>
      </w:r>
      <w:r w:rsidRPr="00AD7BF8">
        <w:rPr>
          <w:rFonts w:cs="Times New Roman"/>
          <w:spacing w:val="-12"/>
          <w:sz w:val="16"/>
        </w:rPr>
        <w:t xml:space="preserve"> </w:t>
      </w:r>
      <w:r w:rsidRPr="00AD7BF8">
        <w:rPr>
          <w:rFonts w:cs="Times New Roman"/>
          <w:sz w:val="16"/>
        </w:rPr>
        <w:t>(general</w:t>
      </w:r>
      <w:r w:rsidRPr="00AD7BF8">
        <w:rPr>
          <w:rFonts w:cs="Times New Roman"/>
          <w:spacing w:val="-7"/>
          <w:sz w:val="16"/>
        </w:rPr>
        <w:t xml:space="preserve"> </w:t>
      </w:r>
      <w:r w:rsidRPr="00AD7BF8">
        <w:rPr>
          <w:rFonts w:cs="Times New Roman"/>
          <w:sz w:val="16"/>
        </w:rPr>
        <w:t>quality</w:t>
      </w:r>
      <w:r w:rsidRPr="00AD7BF8">
        <w:rPr>
          <w:rFonts w:cs="Times New Roman"/>
          <w:spacing w:val="-3"/>
          <w:sz w:val="16"/>
        </w:rPr>
        <w:t xml:space="preserve"> </w:t>
      </w:r>
      <w:r w:rsidRPr="00AD7BF8">
        <w:rPr>
          <w:rFonts w:cs="Times New Roman"/>
          <w:sz w:val="16"/>
        </w:rPr>
        <w:t>of</w:t>
      </w:r>
      <w:r w:rsidRPr="00AD7BF8">
        <w:rPr>
          <w:rFonts w:cs="Times New Roman"/>
          <w:spacing w:val="-7"/>
          <w:sz w:val="16"/>
        </w:rPr>
        <w:t xml:space="preserve"> </w:t>
      </w:r>
      <w:r w:rsidRPr="00AD7BF8">
        <w:rPr>
          <w:rFonts w:cs="Times New Roman"/>
          <w:sz w:val="16"/>
        </w:rPr>
        <w:t>life</w:t>
      </w:r>
      <w:r w:rsidRPr="00AD7BF8">
        <w:rPr>
          <w:rFonts w:cs="Times New Roman"/>
          <w:spacing w:val="-7"/>
          <w:sz w:val="16"/>
        </w:rPr>
        <w:t xml:space="preserve"> </w:t>
      </w:r>
      <w:r w:rsidRPr="00AD7BF8">
        <w:rPr>
          <w:rFonts w:cs="Times New Roman"/>
          <w:sz w:val="16"/>
        </w:rPr>
        <w:t>in</w:t>
      </w:r>
      <w:r w:rsidRPr="00AD7BF8">
        <w:rPr>
          <w:rFonts w:cs="Times New Roman"/>
          <w:spacing w:val="-7"/>
          <w:sz w:val="16"/>
        </w:rPr>
        <w:t xml:space="preserve"> </w:t>
      </w:r>
      <w:r w:rsidRPr="00AD7BF8">
        <w:rPr>
          <w:rFonts w:cs="Times New Roman"/>
          <w:sz w:val="16"/>
        </w:rPr>
        <w:t>oncology)</w:t>
      </w:r>
      <w:r w:rsidRPr="00AD7BF8">
        <w:rPr>
          <w:rFonts w:cs="Times New Roman"/>
          <w:spacing w:val="-6"/>
          <w:sz w:val="16"/>
        </w:rPr>
        <w:t xml:space="preserve"> </w:t>
      </w:r>
      <w:r w:rsidRPr="00AD7BF8">
        <w:rPr>
          <w:rFonts w:cs="Times New Roman"/>
          <w:sz w:val="16"/>
        </w:rPr>
        <w:t>and</w:t>
      </w:r>
      <w:r w:rsidRPr="00AD7BF8">
        <w:rPr>
          <w:rFonts w:cs="Times New Roman"/>
          <w:spacing w:val="-12"/>
          <w:sz w:val="16"/>
        </w:rPr>
        <w:t xml:space="preserve"> </w:t>
      </w:r>
      <w:r w:rsidRPr="00AD7BF8">
        <w:rPr>
          <w:rFonts w:cs="Times New Roman"/>
          <w:sz w:val="16"/>
        </w:rPr>
        <w:t>QLQ-PR25</w:t>
      </w:r>
      <w:r w:rsidRPr="00AD7BF8">
        <w:rPr>
          <w:rFonts w:cs="Times New Roman"/>
          <w:spacing w:val="-7"/>
          <w:sz w:val="16"/>
        </w:rPr>
        <w:t xml:space="preserve"> </w:t>
      </w:r>
      <w:r w:rsidRPr="00AD7BF8">
        <w:rPr>
          <w:rFonts w:cs="Times New Roman"/>
          <w:sz w:val="16"/>
        </w:rPr>
        <w:t>(prostate-specific),</w:t>
      </w:r>
      <w:r w:rsidRPr="00AD7BF8">
        <w:rPr>
          <w:rFonts w:cs="Times New Roman"/>
          <w:spacing w:val="-7"/>
          <w:sz w:val="16"/>
        </w:rPr>
        <w:t xml:space="preserve"> </w:t>
      </w:r>
      <w:r w:rsidRPr="00AD7BF8">
        <w:rPr>
          <w:rFonts w:cs="Times New Roman"/>
          <w:sz w:val="16"/>
        </w:rPr>
        <w:t>at</w:t>
      </w:r>
      <w:r w:rsidRPr="00AD7BF8">
        <w:rPr>
          <w:rFonts w:cs="Times New Roman"/>
          <w:spacing w:val="-7"/>
          <w:sz w:val="16"/>
        </w:rPr>
        <w:t xml:space="preserve"> </w:t>
      </w:r>
      <w:r w:rsidRPr="00AD7BF8">
        <w:rPr>
          <w:rFonts w:cs="Times New Roman"/>
          <w:sz w:val="16"/>
        </w:rPr>
        <w:t>baseline and at three and six months after</w:t>
      </w:r>
      <w:r w:rsidRPr="000E0B63">
        <w:rPr>
          <w:rFonts w:cs="Times New Roman"/>
          <w:spacing w:val="-17"/>
          <w:sz w:val="16"/>
        </w:rPr>
        <w:t xml:space="preserve"> </w:t>
      </w:r>
      <w:r w:rsidRPr="000E0B63">
        <w:rPr>
          <w:rFonts w:cs="Times New Roman"/>
          <w:sz w:val="16"/>
        </w:rPr>
        <w:t>EBRT.</w:t>
      </w:r>
    </w:p>
    <w:p w:rsidR="008D6406" w:rsidRPr="004C4BC5" w:rsidRDefault="008D6406" w:rsidP="008D6406">
      <w:pPr>
        <w:pStyle w:val="Geenafstand"/>
        <w:rPr>
          <w:rFonts w:ascii="Segoe UI" w:hAnsi="Segoe UI" w:cs="Segoe UI"/>
          <w:lang w:val="en-GB"/>
        </w:rPr>
      </w:pPr>
    </w:p>
    <w:sectPr w:rsidR="008D6406" w:rsidRPr="004C4BC5" w:rsidSect="00784C8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18188"/>
      <w:docPartObj>
        <w:docPartGallery w:val="Page Numbers (Bottom of Page)"/>
        <w:docPartUnique/>
      </w:docPartObj>
    </w:sdtPr>
    <w:sdtEndPr/>
    <w:sdtContent>
      <w:p w:rsidR="004C472B" w:rsidRDefault="004C4BC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4BC5">
          <w:rPr>
            <w:noProof/>
            <w:lang w:val="nl-NL"/>
          </w:rPr>
          <w:t>2</w:t>
        </w:r>
        <w:r>
          <w:fldChar w:fldCharType="end"/>
        </w:r>
      </w:p>
    </w:sdtContent>
  </w:sdt>
  <w:p w:rsidR="004C472B" w:rsidRDefault="004C4BC5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2B" w:rsidRDefault="004C4B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C5"/>
    <w:rsid w:val="003F2CDA"/>
    <w:rsid w:val="004C4BC5"/>
    <w:rsid w:val="006F142D"/>
    <w:rsid w:val="008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E6D2"/>
  <w15:chartTrackingRefBased/>
  <w15:docId w15:val="{633D426F-D3FB-4A6A-9A5B-465EC8A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4BC5"/>
    <w:rPr>
      <w:lang w:val="en-GB"/>
    </w:rPr>
  </w:style>
  <w:style w:type="paragraph" w:styleId="Kop1">
    <w:name w:val="heading 1"/>
    <w:basedOn w:val="Standaard"/>
    <w:link w:val="Kop1Char"/>
    <w:uiPriority w:val="1"/>
    <w:qFormat/>
    <w:rsid w:val="004C4BC5"/>
    <w:pPr>
      <w:widowControl w:val="0"/>
      <w:autoSpaceDE w:val="0"/>
      <w:autoSpaceDN w:val="0"/>
      <w:spacing w:after="0" w:line="240" w:lineRule="auto"/>
      <w:ind w:left="985" w:hanging="509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D640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1"/>
    <w:rsid w:val="004C4BC5"/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4C4BC5"/>
  </w:style>
  <w:style w:type="paragraph" w:customStyle="1" w:styleId="TableParagraph">
    <w:name w:val="Table Paragraph"/>
    <w:basedOn w:val="Standaard"/>
    <w:uiPriority w:val="1"/>
    <w:qFormat/>
    <w:rsid w:val="004C4B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4C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BC5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4C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4BC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D9A3-59EA-427E-8D45-9A204519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Sar, E.C.A. van der (Esmee)</dc:creator>
  <cp:keywords/>
  <dc:description/>
  <cp:lastModifiedBy>Sar, E.C.A. van der (Esmee)</cp:lastModifiedBy>
  <cp:revision>1</cp:revision>
  <dcterms:created xsi:type="dcterms:W3CDTF">2022-03-31T13:08:00Z</dcterms:created>
  <dcterms:modified xsi:type="dcterms:W3CDTF">2022-03-31T13:10:00Z</dcterms:modified>
</cp:coreProperties>
</file>