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Bold" w:hAnsi="Times New Roman Bold" w:cs="Times New Roman Bold"/>
          <w:b/>
          <w:bCs/>
          <w:sz w:val="28"/>
          <w:szCs w:val="28"/>
          <w:lang w:eastAsia="zh-Hans"/>
        </w:rPr>
      </w:pPr>
      <w:r>
        <w:rPr>
          <w:rFonts w:hint="default" w:ascii="Times New Roman Bold" w:hAnsi="Times New Roman Bold" w:cs="Times New Roman Bold"/>
          <w:b/>
          <w:bCs/>
          <w:sz w:val="28"/>
          <w:szCs w:val="28"/>
          <w:lang w:val="en-US" w:eastAsia="zh-Hans"/>
        </w:rPr>
        <w:t>T</w:t>
      </w:r>
      <w:r>
        <w:rPr>
          <w:rFonts w:hint="default" w:ascii="Times New Roman Bold" w:hAnsi="Times New Roman Bold" w:cs="Times New Roman Bold"/>
          <w:b/>
          <w:bCs/>
          <w:sz w:val="28"/>
          <w:szCs w:val="28"/>
          <w:lang w:eastAsia="zh-Hans"/>
        </w:rPr>
        <w:t>ABLE S4 Comparison of tumor response in different risk groups using the immunotherapy score</w:t>
      </w:r>
    </w:p>
    <w:tbl>
      <w:tblPr>
        <w:tblStyle w:val="3"/>
        <w:tblpPr w:leftFromText="180" w:rightFromText="180" w:vertAnchor="page" w:horzAnchor="page" w:tblpX="450" w:tblpY="2890"/>
        <w:tblOverlap w:val="never"/>
        <w:tblW w:w="11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24"/>
        <w:gridCol w:w="1362"/>
        <w:gridCol w:w="1242"/>
        <w:gridCol w:w="1011"/>
        <w:gridCol w:w="1058"/>
        <w:gridCol w:w="1380"/>
        <w:gridCol w:w="1275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2" w:hRule="atLeast"/>
        </w:trPr>
        <w:tc>
          <w:tcPr>
            <w:tcW w:w="1707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</w:tcPr>
          <w:p>
            <w:pPr>
              <w:rPr>
                <w:rFonts w:hint="default"/>
                <w:vertAlign w:val="baseline"/>
                <w:lang w:eastAsia="zh-Hans"/>
              </w:rPr>
            </w:pPr>
            <w:bookmarkStart w:id="0" w:name="_GoBack"/>
          </w:p>
        </w:tc>
        <w:tc>
          <w:tcPr>
            <w:tcW w:w="4839" w:type="dxa"/>
            <w:gridSpan w:val="4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Italic" w:hAnsi="Times New Roman Italic" w:cs="Times New Roman Italic" w:eastAsiaTheme="minorEastAsia"/>
                <w:i/>
                <w:iCs/>
                <w:kern w:val="2"/>
                <w:sz w:val="21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kern w:val="2"/>
                <w:sz w:val="21"/>
                <w:szCs w:val="24"/>
                <w:vertAlign w:val="baseline"/>
                <w:lang w:eastAsia="zh-Hans" w:bidi="ar-SA"/>
              </w:rPr>
              <w:t>Internal training cohort</w:t>
            </w:r>
          </w:p>
        </w:tc>
        <w:tc>
          <w:tcPr>
            <w:tcW w:w="4730" w:type="dxa"/>
            <w:gridSpan w:val="4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Italic" w:hAnsi="Times New Roman Italic" w:cs="Times New Roman Italic" w:eastAsiaTheme="minorEastAsia"/>
                <w:i/>
                <w:iCs/>
                <w:kern w:val="2"/>
                <w:sz w:val="21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kern w:val="2"/>
                <w:sz w:val="21"/>
                <w:szCs w:val="24"/>
                <w:vertAlign w:val="baseline"/>
                <w:lang w:eastAsia="zh-Hans" w:bidi="ar-SA"/>
              </w:rPr>
              <w:t>External validation cohort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2" w:hRule="atLeast"/>
        </w:trPr>
        <w:tc>
          <w:tcPr>
            <w:tcW w:w="1707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Tumor response</w:t>
            </w:r>
          </w:p>
        </w:tc>
        <w:tc>
          <w:tcPr>
            <w:tcW w:w="1224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 xml:space="preserve">Low-risk group 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n (%)</w:t>
            </w:r>
          </w:p>
        </w:tc>
        <w:tc>
          <w:tcPr>
            <w:tcW w:w="1362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Intermediate-risk group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n (%)</w:t>
            </w:r>
          </w:p>
        </w:tc>
        <w:tc>
          <w:tcPr>
            <w:tcW w:w="1242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High-risk group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n (%)</w:t>
            </w:r>
          </w:p>
        </w:tc>
        <w:tc>
          <w:tcPr>
            <w:tcW w:w="1011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vertAlign w:val="baseline"/>
                <w:lang w:eastAsia="zh-Hans"/>
              </w:rPr>
              <w:t>P</w:t>
            </w:r>
          </w:p>
        </w:tc>
        <w:tc>
          <w:tcPr>
            <w:tcW w:w="1058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 xml:space="preserve">Low-risk group 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n (%)</w:t>
            </w:r>
          </w:p>
        </w:tc>
        <w:tc>
          <w:tcPr>
            <w:tcW w:w="1380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Intermediate-risk group</w:t>
            </w:r>
          </w:p>
          <w:p>
            <w:pPr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n (%)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High-risk group</w:t>
            </w:r>
          </w:p>
          <w:p>
            <w:pPr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n (%)</w:t>
            </w:r>
          </w:p>
        </w:tc>
        <w:tc>
          <w:tcPr>
            <w:tcW w:w="1017" w:type="dxa"/>
            <w:tcBorders>
              <w:top w:val="single" w:color="auto" w:sz="12" w:space="0"/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  <w:vertAlign w:val="baseline"/>
                <w:lang w:eastAsia="zh-Hans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5" w:hRule="atLeast"/>
        </w:trPr>
        <w:tc>
          <w:tcPr>
            <w:tcW w:w="1707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Response</w:t>
            </w:r>
          </w:p>
        </w:tc>
        <w:tc>
          <w:tcPr>
            <w:tcW w:w="1224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29 (78.4)</w:t>
            </w:r>
          </w:p>
        </w:tc>
        <w:tc>
          <w:tcPr>
            <w:tcW w:w="1362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37 (54.4)</w:t>
            </w:r>
          </w:p>
        </w:tc>
        <w:tc>
          <w:tcPr>
            <w:tcW w:w="1242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11 (25.0)</w:t>
            </w:r>
          </w:p>
        </w:tc>
        <w:tc>
          <w:tcPr>
            <w:tcW w:w="1011" w:type="dxa"/>
            <w:vMerge w:val="restar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&lt; 0.001</w:t>
            </w:r>
          </w:p>
        </w:tc>
        <w:tc>
          <w:tcPr>
            <w:tcW w:w="1058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20 (76.9)</w:t>
            </w:r>
          </w:p>
        </w:tc>
        <w:tc>
          <w:tcPr>
            <w:tcW w:w="1380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25 (53.2)</w:t>
            </w:r>
          </w:p>
        </w:tc>
        <w:tc>
          <w:tcPr>
            <w:tcW w:w="1275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8 (29.6)</w:t>
            </w:r>
          </w:p>
        </w:tc>
        <w:tc>
          <w:tcPr>
            <w:tcW w:w="1017" w:type="dxa"/>
            <w:vMerge w:val="restar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6" w:hRule="atLeast"/>
        </w:trPr>
        <w:tc>
          <w:tcPr>
            <w:tcW w:w="170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Non-response</w:t>
            </w:r>
          </w:p>
        </w:tc>
        <w:tc>
          <w:tcPr>
            <w:tcW w:w="122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8 (21.6)</w:t>
            </w:r>
          </w:p>
        </w:tc>
        <w:tc>
          <w:tcPr>
            <w:tcW w:w="1362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31 (45.6)</w:t>
            </w:r>
          </w:p>
        </w:tc>
        <w:tc>
          <w:tcPr>
            <w:tcW w:w="1242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33 (75.0)</w:t>
            </w:r>
          </w:p>
        </w:tc>
        <w:tc>
          <w:tcPr>
            <w:tcW w:w="1011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</w:p>
        </w:tc>
        <w:tc>
          <w:tcPr>
            <w:tcW w:w="105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6 (23.1)</w:t>
            </w:r>
          </w:p>
        </w:tc>
        <w:tc>
          <w:tcPr>
            <w:tcW w:w="138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22 (46.8)</w:t>
            </w:r>
          </w:p>
        </w:tc>
        <w:tc>
          <w:tcPr>
            <w:tcW w:w="127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  <w:t>19 (70.4)</w:t>
            </w:r>
          </w:p>
        </w:tc>
        <w:tc>
          <w:tcPr>
            <w:tcW w:w="1017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vertAlign w:val="baseline"/>
                <w:lang w:eastAsia="zh-Hans"/>
              </w:rPr>
            </w:pPr>
          </w:p>
        </w:tc>
      </w:tr>
      <w:bookmarkEnd w:id="0"/>
    </w:tbl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BF1A2"/>
    <w:rsid w:val="3DC4A521"/>
    <w:rsid w:val="5FB80AB5"/>
    <w:rsid w:val="67B79D0F"/>
    <w:rsid w:val="79D7821C"/>
    <w:rsid w:val="7D7D9B6D"/>
    <w:rsid w:val="9BBF7E11"/>
    <w:rsid w:val="B6B5B49C"/>
    <w:rsid w:val="BDBF21F6"/>
    <w:rsid w:val="BFB0C320"/>
    <w:rsid w:val="DBDF8464"/>
    <w:rsid w:val="DFF4A39A"/>
    <w:rsid w:val="EFDF52E2"/>
    <w:rsid w:val="F7FBF1A2"/>
    <w:rsid w:val="FE5D744E"/>
    <w:rsid w:val="FFE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2023-02-20T20:25:00Z</dcterms:created>
  <dc:creator>快乐的90后fjk</dc:creator>
  <cp:lastModifiedBy>快乐的90后fjk</cp:lastModifiedBy>
  <dcterms:modified xsi:type="dcterms:W3CDTF">2023-04-21T11:36:42Z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BCA9A1062B4D771D2915F263819445C3</vt:lpwstr>
  </property>
</Properties>
</file>