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4" w:rsidRDefault="00D51564" w:rsidP="00D51564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528A">
        <w:rPr>
          <w:rFonts w:ascii="Times New Roman" w:hAnsi="Times New Roman" w:cs="Times New Roman"/>
          <w:sz w:val="24"/>
          <w:szCs w:val="24"/>
        </w:rPr>
        <w:t>Supplementary Fig 1</w:t>
      </w:r>
      <w:r w:rsidRPr="00476C04">
        <w:t xml:space="preserve"> </w:t>
      </w:r>
      <w:r w:rsidRPr="00476C04">
        <w:rPr>
          <w:rFonts w:ascii="Times New Roman" w:hAnsi="Times New Roman" w:cs="Times New Roman"/>
          <w:sz w:val="24"/>
          <w:szCs w:val="24"/>
        </w:rPr>
        <w:t xml:space="preserve">The read counts for each sample were normalized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Pr="00476C04">
        <w:rPr>
          <w:rFonts w:ascii="Times New Roman" w:hAnsi="Times New Roman" w:cs="Times New Roman"/>
          <w:sz w:val="24"/>
          <w:szCs w:val="24"/>
        </w:rPr>
        <w:t xml:space="preserve"> GSE63</w:t>
      </w:r>
      <w:r>
        <w:rPr>
          <w:rFonts w:ascii="Times New Roman" w:hAnsi="Times New Roman" w:cs="Times New Roman" w:hint="eastAsia"/>
          <w:sz w:val="24"/>
          <w:szCs w:val="24"/>
        </w:rPr>
        <w:t xml:space="preserve">514 </w:t>
      </w:r>
      <w:r w:rsidRPr="00476C04">
        <w:rPr>
          <w:rFonts w:ascii="Times New Roman" w:hAnsi="Times New Roman" w:cs="Times New Roman"/>
          <w:sz w:val="24"/>
          <w:szCs w:val="24"/>
        </w:rPr>
        <w:t>and GSE9750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D51564" w:rsidRDefault="00D51564" w:rsidP="00D51564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3040" cy="5006340"/>
            <wp:effectExtent l="19050" t="0" r="3810" b="0"/>
            <wp:docPr id="2" name="图片 2" descr="D:\吕艳丽投稿单\SY046张春年\一投\SY046张春年-投稿图表-20230410\supplement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吕艳丽投稿单\SY046张春年\一投\SY046张春年-投稿图表-20230410\supplement 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0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64" w:rsidRDefault="00D515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564" w:rsidRDefault="00D51564" w:rsidP="00D51564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C04">
        <w:rPr>
          <w:rFonts w:ascii="Times New Roman" w:hAnsi="Times New Roman" w:cs="Times New Roman"/>
          <w:sz w:val="24"/>
          <w:szCs w:val="24"/>
        </w:rPr>
        <w:lastRenderedPageBreak/>
        <w:t>Supplementary Fig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2 </w:t>
      </w:r>
      <w:r w:rsidRPr="00476C04">
        <w:rPr>
          <w:rFonts w:ascii="Times New Roman" w:hAnsi="Times New Roman" w:cs="Times New Roman"/>
          <w:sz w:val="24"/>
          <w:szCs w:val="24"/>
        </w:rPr>
        <w:t xml:space="preserve">PCA and expression ridgeline analysis of </w:t>
      </w:r>
      <w:r>
        <w:rPr>
          <w:rFonts w:ascii="Times New Roman" w:hAnsi="Times New Roman" w:cs="Times New Roman" w:hint="eastAsia"/>
          <w:sz w:val="24"/>
          <w:szCs w:val="24"/>
        </w:rPr>
        <w:t>hub</w:t>
      </w:r>
      <w:r w:rsidRPr="00476C04">
        <w:rPr>
          <w:rFonts w:ascii="Times New Roman" w:hAnsi="Times New Roman" w:cs="Times New Roman"/>
          <w:sz w:val="24"/>
          <w:szCs w:val="24"/>
        </w:rPr>
        <w:t xml:space="preserve"> genes</w:t>
      </w:r>
      <w:r>
        <w:rPr>
          <w:rFonts w:ascii="Times New Roman" w:hAnsi="Times New Roman" w:cs="Times New Roman" w:hint="eastAsia"/>
          <w:sz w:val="24"/>
          <w:szCs w:val="24"/>
        </w:rPr>
        <w:t xml:space="preserve">. A. </w:t>
      </w:r>
      <w:r w:rsidRPr="00476C04">
        <w:rPr>
          <w:rFonts w:ascii="Times New Roman" w:hAnsi="Times New Roman" w:cs="Times New Roman"/>
          <w:sz w:val="24"/>
          <w:szCs w:val="24"/>
        </w:rPr>
        <w:t>PCA analysis of hub gene, in which the axes PC1 and PC2 are the first and second principal components (explanation rate of differences by potential variables)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7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476C04">
        <w:rPr>
          <w:rFonts w:ascii="Times New Roman" w:hAnsi="Times New Roman" w:cs="Times New Roman"/>
          <w:sz w:val="24"/>
          <w:szCs w:val="24"/>
        </w:rPr>
        <w:t xml:space="preserve">ots represent samples,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476C04">
        <w:rPr>
          <w:rFonts w:ascii="Times New Roman" w:hAnsi="Times New Roman" w:cs="Times New Roman"/>
          <w:sz w:val="24"/>
          <w:szCs w:val="24"/>
        </w:rPr>
        <w:t>different colors indicate different groupings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76C0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 w:hint="eastAsia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ub gene ridge line plot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7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 w:rsidRPr="00476C04">
        <w:rPr>
          <w:rFonts w:ascii="Times New Roman" w:hAnsi="Times New Roman" w:cs="Times New Roman"/>
          <w:sz w:val="24"/>
          <w:szCs w:val="24"/>
        </w:rPr>
        <w:t xml:space="preserve">orizontal coordinates represent gene expression,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476C04">
        <w:rPr>
          <w:rFonts w:ascii="Times New Roman" w:hAnsi="Times New Roman" w:cs="Times New Roman"/>
          <w:sz w:val="24"/>
          <w:szCs w:val="24"/>
        </w:rPr>
        <w:t>vertical coordinates represent sample abundance of the corresponding expression.</w:t>
      </w:r>
    </w:p>
    <w:p w:rsidR="00D51564" w:rsidRDefault="00D51564" w:rsidP="00D51564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3040" cy="2628900"/>
            <wp:effectExtent l="19050" t="0" r="3810" b="0"/>
            <wp:docPr id="3" name="图片 3" descr="D:\吕艳丽投稿单\SY046张春年\一投\SY046张春年-投稿图表-20230410\supplement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吕艳丽投稿单\SY046张春年\一投\SY046张春年-投稿图表-20230410\supplement Fig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64" w:rsidRDefault="00D515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BDD" w:rsidRPr="00D51564" w:rsidRDefault="00D51564" w:rsidP="00D51564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C04">
        <w:rPr>
          <w:rFonts w:ascii="Times New Roman" w:hAnsi="Times New Roman" w:cs="Times New Roman"/>
          <w:sz w:val="24"/>
          <w:szCs w:val="24"/>
        </w:rPr>
        <w:lastRenderedPageBreak/>
        <w:t>Supplementary Fig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A4C59">
        <w:rPr>
          <w:rFonts w:ascii="Times New Roman" w:hAnsi="Times New Roman" w:cs="Times New Roman"/>
          <w:sz w:val="24"/>
          <w:szCs w:val="24"/>
        </w:rPr>
        <w:t>Investigation of the association between RBM15 expression and immune infiltration and survival in CC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725">
        <w:rPr>
          <w:rFonts w:ascii="Times New Roman" w:hAnsi="Times New Roman" w:cs="Times New Roman"/>
          <w:sz w:val="24"/>
          <w:szCs w:val="24"/>
        </w:rPr>
        <w:t xml:space="preserve">A. </w:t>
      </w:r>
      <w:r w:rsidRPr="007E3E83">
        <w:rPr>
          <w:rFonts w:ascii="Times New Roman" w:hAnsi="Times New Roman" w:cs="Times New Roman"/>
          <w:sz w:val="24"/>
          <w:szCs w:val="24"/>
        </w:rPr>
        <w:t>The Kaplan-Meier Plotter database was used to analyze the correlation between RBM15 expression and survival of CC patients</w:t>
      </w:r>
      <w:r w:rsidRPr="00B40725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 w:hint="eastAsia"/>
          <w:sz w:val="24"/>
          <w:szCs w:val="24"/>
        </w:rPr>
        <w:t>-C</w:t>
      </w:r>
      <w:r w:rsidRPr="00B40725">
        <w:rPr>
          <w:rFonts w:ascii="Times New Roman" w:hAnsi="Times New Roman" w:cs="Times New Roman"/>
          <w:sz w:val="24"/>
          <w:szCs w:val="24"/>
        </w:rPr>
        <w:t>. Correlation between RBM15 expression levels and CD4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0725">
        <w:rPr>
          <w:rFonts w:ascii="Times New Roman" w:hAnsi="Times New Roman" w:cs="Times New Roman"/>
          <w:sz w:val="24"/>
          <w:szCs w:val="24"/>
        </w:rPr>
        <w:t xml:space="preserve">+ T cell immune infiltration. </w:t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273040" cy="3322320"/>
            <wp:effectExtent l="19050" t="0" r="3810" b="0"/>
            <wp:docPr id="4" name="图片 4" descr="D:\吕艳丽投稿单\SY046张春年\一投\SY046张春年-投稿图表-20230410\supplement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吕艳丽投稿单\SY046张春年\一投\SY046张春年-投稿图表-20230410\supplement Figur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BDD" w:rsidRPr="00D51564" w:rsidSect="004F4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564"/>
    <w:rsid w:val="00236BDD"/>
    <w:rsid w:val="00D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5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HY-1改</dc:creator>
  <cp:keywords/>
  <dc:description/>
  <cp:lastModifiedBy>HY-1改</cp:lastModifiedBy>
  <cp:revision>2</cp:revision>
  <dcterms:created xsi:type="dcterms:W3CDTF">2023-04-11T02:29:00Z</dcterms:created>
  <dcterms:modified xsi:type="dcterms:W3CDTF">2023-04-11T02:29:00Z</dcterms:modified>
</cp:coreProperties>
</file>