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51C" w:rsidRPr="008E0F6E" w:rsidRDefault="00183D64">
      <w:pPr>
        <w:spacing w:line="360" w:lineRule="auto"/>
        <w:jc w:val="center"/>
        <w:rPr>
          <w:rFonts w:ascii="Times New Roman Regular" w:hAnsi="Times New Roman Regular" w:cs="Times New Roman Regular" w:hint="eastAsia"/>
          <w:sz w:val="28"/>
          <w:szCs w:val="28"/>
        </w:rPr>
      </w:pPr>
      <w:r w:rsidRPr="008E0F6E">
        <w:rPr>
          <w:rFonts w:ascii="Times New Roman Regular" w:hAnsi="Times New Roman Regular" w:cs="Times New Roman Regular" w:hint="eastAsia"/>
          <w:b/>
          <w:bCs/>
          <w:sz w:val="28"/>
          <w:szCs w:val="28"/>
        </w:rPr>
        <w:t>Additional file 1</w:t>
      </w:r>
    </w:p>
    <w:p w:rsidR="00A6051C" w:rsidRPr="008E0F6E" w:rsidRDefault="00A6051C">
      <w:pPr>
        <w:spacing w:line="360" w:lineRule="auto"/>
        <w:rPr>
          <w:rFonts w:ascii="Times New Roman Regular" w:hAnsi="Times New Roman Regular" w:cs="Times New Roman Regular" w:hint="eastAsia"/>
          <w:sz w:val="28"/>
          <w:szCs w:val="28"/>
        </w:rPr>
      </w:pPr>
    </w:p>
    <w:p w:rsidR="00A6051C" w:rsidRPr="008E0F6E" w:rsidRDefault="00183D64">
      <w:pPr>
        <w:spacing w:line="360" w:lineRule="auto"/>
        <w:rPr>
          <w:rFonts w:ascii="Times New Roman Regular" w:hAnsi="Times New Roman Regular" w:cs="Times New Roman Regular" w:hint="eastAsia"/>
          <w:b/>
          <w:bCs/>
          <w:sz w:val="28"/>
          <w:szCs w:val="28"/>
        </w:rPr>
      </w:pPr>
      <w:proofErr w:type="spellStart"/>
      <w:proofErr w:type="gramStart"/>
      <w:r w:rsidRPr="008E0F6E">
        <w:rPr>
          <w:rFonts w:ascii="Times New Roman Regular" w:hAnsi="Times New Roman Regular" w:cs="Times New Roman Regular"/>
          <w:b/>
          <w:bCs/>
          <w:sz w:val="28"/>
          <w:szCs w:val="28"/>
        </w:rPr>
        <w:t>eMethods</w:t>
      </w:r>
      <w:proofErr w:type="spellEnd"/>
      <w:proofErr w:type="gramEnd"/>
    </w:p>
    <w:p w:rsidR="00A6051C" w:rsidRPr="008E0F6E" w:rsidRDefault="00183D64">
      <w:pPr>
        <w:spacing w:line="360" w:lineRule="auto"/>
        <w:rPr>
          <w:rFonts w:ascii="Times New Roman Regular" w:hAnsi="Times New Roman Regular" w:cs="Times New Roman Regular" w:hint="eastAsia"/>
          <w:b/>
          <w:bCs/>
          <w:sz w:val="28"/>
          <w:szCs w:val="28"/>
        </w:rPr>
      </w:pPr>
      <w:proofErr w:type="spellStart"/>
      <w:proofErr w:type="gramStart"/>
      <w:r w:rsidRPr="008E0F6E">
        <w:rPr>
          <w:rFonts w:ascii="Times New Roman Regular" w:hAnsi="Times New Roman Regular" w:cs="Times New Roman Regular"/>
          <w:b/>
          <w:bCs/>
          <w:sz w:val="28"/>
          <w:szCs w:val="28"/>
        </w:rPr>
        <w:t>eFigure</w:t>
      </w:r>
      <w:proofErr w:type="spellEnd"/>
      <w:proofErr w:type="gramEnd"/>
      <w:r w:rsidRPr="008E0F6E">
        <w:rPr>
          <w:rFonts w:ascii="Times New Roman Regular" w:hAnsi="Times New Roman Regular" w:cs="Times New Roman Regular"/>
          <w:b/>
          <w:bCs/>
          <w:sz w:val="28"/>
          <w:szCs w:val="28"/>
        </w:rPr>
        <w:t xml:space="preserve"> 1</w:t>
      </w:r>
    </w:p>
    <w:p w:rsidR="00A6051C" w:rsidRPr="008E0F6E" w:rsidRDefault="00A6051C">
      <w:pPr>
        <w:spacing w:line="360" w:lineRule="auto"/>
        <w:rPr>
          <w:rFonts w:ascii="Times New Roman Regular" w:hAnsi="Times New Roman Regular" w:cs="Times New Roman Regular" w:hint="eastAsia"/>
          <w:sz w:val="28"/>
          <w:szCs w:val="28"/>
        </w:rPr>
      </w:pPr>
    </w:p>
    <w:p w:rsidR="00A6051C" w:rsidRPr="008E0F6E" w:rsidRDefault="00183D64">
      <w:pPr>
        <w:spacing w:line="360" w:lineRule="auto"/>
        <w:rPr>
          <w:rFonts w:ascii="Times New Roman Regular" w:hAnsi="Times New Roman Regular" w:cs="Times New Roman Regular" w:hint="eastAsia"/>
          <w:sz w:val="22"/>
          <w:szCs w:val="22"/>
        </w:rPr>
      </w:pPr>
      <w:r w:rsidRPr="008E0F6E">
        <w:rPr>
          <w:rFonts w:ascii="Times New Roman Regular" w:hAnsi="Times New Roman Regular" w:cs="Times New Roman Regular"/>
          <w:sz w:val="22"/>
          <w:szCs w:val="22"/>
        </w:rPr>
        <w:t>This supplementary material has been provided by the authors to give readers additional information about their work.</w:t>
      </w:r>
    </w:p>
    <w:p w:rsidR="00A6051C" w:rsidRPr="008E0F6E" w:rsidRDefault="00A6051C">
      <w:pPr>
        <w:spacing w:line="360" w:lineRule="auto"/>
        <w:rPr>
          <w:rFonts w:ascii="Times New Roman Regular" w:hAnsi="Times New Roman Regular" w:cs="Times New Roman Regular" w:hint="eastAsia"/>
          <w:sz w:val="28"/>
          <w:szCs w:val="28"/>
        </w:rPr>
      </w:pPr>
    </w:p>
    <w:p w:rsidR="00A6051C" w:rsidRPr="008E0F6E" w:rsidRDefault="00A6051C">
      <w:pPr>
        <w:spacing w:line="360" w:lineRule="auto"/>
        <w:rPr>
          <w:rFonts w:ascii="Times New Roman Regular" w:hAnsi="Times New Roman Regular" w:cs="Times New Roman Regular" w:hint="eastAsia"/>
          <w:sz w:val="28"/>
          <w:szCs w:val="28"/>
        </w:rPr>
      </w:pPr>
    </w:p>
    <w:p w:rsidR="00A6051C" w:rsidRPr="008E0F6E" w:rsidRDefault="00A6051C">
      <w:pPr>
        <w:spacing w:line="360" w:lineRule="auto"/>
        <w:rPr>
          <w:rFonts w:ascii="Times New Roman Regular" w:hAnsi="Times New Roman Regular" w:cs="Times New Roman Regular" w:hint="eastAsia"/>
          <w:sz w:val="28"/>
          <w:szCs w:val="28"/>
        </w:rPr>
      </w:pPr>
    </w:p>
    <w:p w:rsidR="00A6051C" w:rsidRPr="008E0F6E" w:rsidRDefault="00A6051C">
      <w:pPr>
        <w:spacing w:line="360" w:lineRule="auto"/>
        <w:rPr>
          <w:rFonts w:ascii="Times New Roman Regular" w:hAnsi="Times New Roman Regular" w:cs="Times New Roman Regular" w:hint="eastAsia"/>
          <w:sz w:val="28"/>
          <w:szCs w:val="28"/>
        </w:rPr>
      </w:pPr>
    </w:p>
    <w:p w:rsidR="00A6051C" w:rsidRPr="008E0F6E" w:rsidRDefault="00A6051C">
      <w:pPr>
        <w:spacing w:line="360" w:lineRule="auto"/>
        <w:rPr>
          <w:rFonts w:ascii="Times New Roman Regular" w:hAnsi="Times New Roman Regular" w:cs="Times New Roman Regular" w:hint="eastAsia"/>
          <w:sz w:val="28"/>
          <w:szCs w:val="28"/>
        </w:rPr>
      </w:pPr>
    </w:p>
    <w:p w:rsidR="00A6051C" w:rsidRPr="008E0F6E" w:rsidRDefault="00A6051C">
      <w:pPr>
        <w:spacing w:line="360" w:lineRule="auto"/>
        <w:rPr>
          <w:rFonts w:ascii="Times New Roman Regular" w:hAnsi="Times New Roman Regular" w:cs="Times New Roman Regular" w:hint="eastAsia"/>
          <w:sz w:val="28"/>
          <w:szCs w:val="28"/>
        </w:rPr>
      </w:pPr>
    </w:p>
    <w:p w:rsidR="00A6051C" w:rsidRPr="008E0F6E" w:rsidRDefault="00A6051C">
      <w:pPr>
        <w:spacing w:line="360" w:lineRule="auto"/>
        <w:rPr>
          <w:rFonts w:ascii="Times New Roman Regular" w:hAnsi="Times New Roman Regular" w:cs="Times New Roman Regular" w:hint="eastAsia"/>
          <w:sz w:val="28"/>
          <w:szCs w:val="28"/>
        </w:rPr>
      </w:pPr>
    </w:p>
    <w:p w:rsidR="00A6051C" w:rsidRPr="008E0F6E" w:rsidRDefault="00A6051C">
      <w:pPr>
        <w:spacing w:line="360" w:lineRule="auto"/>
        <w:rPr>
          <w:rFonts w:ascii="Times New Roman Regular" w:hAnsi="Times New Roman Regular" w:cs="Times New Roman Regular" w:hint="eastAsia"/>
          <w:sz w:val="28"/>
          <w:szCs w:val="28"/>
        </w:rPr>
      </w:pPr>
    </w:p>
    <w:p w:rsidR="00A6051C" w:rsidRPr="008E0F6E" w:rsidRDefault="00A6051C">
      <w:pPr>
        <w:spacing w:line="360" w:lineRule="auto"/>
        <w:rPr>
          <w:rFonts w:ascii="Times New Roman Regular" w:hAnsi="Times New Roman Regular" w:cs="Times New Roman Regular" w:hint="eastAsia"/>
          <w:sz w:val="28"/>
          <w:szCs w:val="28"/>
        </w:rPr>
      </w:pPr>
    </w:p>
    <w:p w:rsidR="00A6051C" w:rsidRPr="008E0F6E" w:rsidRDefault="00A6051C">
      <w:pPr>
        <w:spacing w:line="360" w:lineRule="auto"/>
        <w:rPr>
          <w:rFonts w:ascii="Times New Roman Regular" w:hAnsi="Times New Roman Regular" w:cs="Times New Roman Regular" w:hint="eastAsia"/>
          <w:sz w:val="28"/>
          <w:szCs w:val="28"/>
        </w:rPr>
      </w:pPr>
    </w:p>
    <w:p w:rsidR="00A6051C" w:rsidRPr="008E0F6E" w:rsidRDefault="00A6051C">
      <w:pPr>
        <w:spacing w:line="360" w:lineRule="auto"/>
        <w:rPr>
          <w:rFonts w:ascii="Times New Roman Regular" w:hAnsi="Times New Roman Regular" w:cs="Times New Roman Regular" w:hint="eastAsia"/>
          <w:sz w:val="28"/>
          <w:szCs w:val="28"/>
        </w:rPr>
      </w:pPr>
    </w:p>
    <w:p w:rsidR="00A6051C" w:rsidRPr="008E0F6E" w:rsidRDefault="00A6051C">
      <w:pPr>
        <w:spacing w:line="360" w:lineRule="auto"/>
        <w:rPr>
          <w:rFonts w:ascii="Times New Roman Regular" w:hAnsi="Times New Roman Regular" w:cs="Times New Roman Regular" w:hint="eastAsia"/>
          <w:sz w:val="28"/>
          <w:szCs w:val="28"/>
        </w:rPr>
      </w:pPr>
    </w:p>
    <w:p w:rsidR="00A6051C" w:rsidRPr="008E0F6E" w:rsidRDefault="00A6051C">
      <w:pPr>
        <w:spacing w:line="360" w:lineRule="auto"/>
        <w:rPr>
          <w:rFonts w:ascii="Times New Roman Regular" w:hAnsi="Times New Roman Regular" w:cs="Times New Roman Regular" w:hint="eastAsia"/>
          <w:sz w:val="28"/>
          <w:szCs w:val="28"/>
        </w:rPr>
      </w:pPr>
    </w:p>
    <w:p w:rsidR="00A6051C" w:rsidRPr="008E0F6E" w:rsidRDefault="00A6051C">
      <w:pPr>
        <w:spacing w:line="360" w:lineRule="auto"/>
        <w:rPr>
          <w:rFonts w:ascii="Times New Roman Regular" w:hAnsi="Times New Roman Regular" w:cs="Times New Roman Regular" w:hint="eastAsia"/>
          <w:sz w:val="28"/>
          <w:szCs w:val="28"/>
        </w:rPr>
      </w:pPr>
    </w:p>
    <w:p w:rsidR="00A6051C" w:rsidRPr="008E0F6E" w:rsidRDefault="00A6051C">
      <w:pPr>
        <w:spacing w:line="360" w:lineRule="auto"/>
        <w:rPr>
          <w:rFonts w:ascii="Times New Roman Regular" w:hAnsi="Times New Roman Regular" w:cs="Times New Roman Regular" w:hint="eastAsia"/>
          <w:sz w:val="28"/>
          <w:szCs w:val="28"/>
        </w:rPr>
      </w:pPr>
    </w:p>
    <w:p w:rsidR="00A6051C" w:rsidRPr="008E0F6E" w:rsidRDefault="00A6051C">
      <w:pPr>
        <w:spacing w:line="360" w:lineRule="auto"/>
        <w:rPr>
          <w:rFonts w:ascii="Times New Roman Regular" w:hAnsi="Times New Roman Regular" w:cs="Times New Roman Regular" w:hint="eastAsia"/>
          <w:sz w:val="28"/>
          <w:szCs w:val="28"/>
        </w:rPr>
      </w:pPr>
    </w:p>
    <w:p w:rsidR="00A6051C" w:rsidRPr="008E0F6E" w:rsidRDefault="00183D64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  <w:proofErr w:type="spellStart"/>
      <w:proofErr w:type="gramStart"/>
      <w:r w:rsidRPr="008E0F6E">
        <w:rPr>
          <w:rFonts w:ascii="Times New Roman" w:hAnsi="Times New Roman" w:cs="Times New Roman"/>
          <w:b/>
          <w:bCs/>
          <w:sz w:val="24"/>
        </w:rPr>
        <w:t>eMethods</w:t>
      </w:r>
      <w:proofErr w:type="spellEnd"/>
      <w:proofErr w:type="gramEnd"/>
    </w:p>
    <w:p w:rsidR="00A6051C" w:rsidRPr="008E0F6E" w:rsidRDefault="00183D64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  <w:r w:rsidRPr="008E0F6E">
        <w:rPr>
          <w:rFonts w:ascii="Times New Roman" w:hAnsi="Times New Roman" w:cs="Times New Roman"/>
          <w:b/>
          <w:bCs/>
          <w:sz w:val="24"/>
        </w:rPr>
        <w:t>Whole exome sequencing (WES)</w:t>
      </w:r>
    </w:p>
    <w:p w:rsidR="00A6051C" w:rsidRPr="008E0F6E" w:rsidRDefault="00183D64">
      <w:pPr>
        <w:spacing w:line="480" w:lineRule="auto"/>
        <w:rPr>
          <w:rFonts w:ascii="Times New Roman" w:hAnsi="Times New Roman" w:cs="Times New Roman"/>
          <w:sz w:val="24"/>
        </w:rPr>
      </w:pPr>
      <w:r w:rsidRPr="008E0F6E">
        <w:rPr>
          <w:rFonts w:ascii="Times New Roman" w:hAnsi="Times New Roman" w:cs="Times New Roman"/>
          <w:sz w:val="24"/>
        </w:rPr>
        <w:t xml:space="preserve">Genomic </w:t>
      </w:r>
      <w:proofErr w:type="gramStart"/>
      <w:r w:rsidRPr="008E0F6E">
        <w:rPr>
          <w:rFonts w:ascii="Times New Roman" w:hAnsi="Times New Roman" w:cs="Times New Roman"/>
          <w:sz w:val="24"/>
        </w:rPr>
        <w:t>DNA(</w:t>
      </w:r>
      <w:proofErr w:type="gramEnd"/>
      <w:r w:rsidRPr="008E0F6E">
        <w:rPr>
          <w:rFonts w:ascii="Times New Roman" w:hAnsi="Times New Roman" w:cs="Times New Roman"/>
          <w:sz w:val="24"/>
        </w:rPr>
        <w:t xml:space="preserve">1-3μg) was fragmented into </w:t>
      </w:r>
      <w:r w:rsidRPr="008E0F6E">
        <w:rPr>
          <w:rFonts w:ascii="Times New Roman" w:hAnsi="Times New Roman" w:cs="Times New Roman"/>
          <w:sz w:val="24"/>
        </w:rPr>
        <w:t xml:space="preserve">300-450 base pairs by endonuclease digestion, which were then utilized to capture the genomic exon sequences. The enrichment libraries were sequenced on platform </w:t>
      </w:r>
      <w:proofErr w:type="spellStart"/>
      <w:r w:rsidRPr="008E0F6E">
        <w:rPr>
          <w:rFonts w:ascii="Times New Roman" w:hAnsi="Times New Roman" w:cs="Times New Roman"/>
          <w:sz w:val="24"/>
        </w:rPr>
        <w:t>NextSeq</w:t>
      </w:r>
      <w:proofErr w:type="spellEnd"/>
      <w:r w:rsidRPr="008E0F6E">
        <w:rPr>
          <w:rFonts w:ascii="Times New Roman" w:hAnsi="Times New Roman" w:cs="Times New Roman"/>
          <w:sz w:val="24"/>
        </w:rPr>
        <w:t xml:space="preserve"> 500 (Illumina, Inc., San Diego, CA, USA) as 100-bp paired-end reads, according to the </w:t>
      </w:r>
      <w:r w:rsidRPr="008E0F6E">
        <w:rPr>
          <w:rFonts w:ascii="Times New Roman" w:hAnsi="Times New Roman" w:cs="Times New Roman"/>
          <w:sz w:val="24"/>
        </w:rPr>
        <w:t xml:space="preserve">Manufacturer’s procedure. The high-quality reads were aligned with the reference human genome (hg19) by the Burrows–Wheeler Aligner after removing low-quality or duplicated reads using </w:t>
      </w:r>
      <w:proofErr w:type="spellStart"/>
      <w:r w:rsidRPr="008E0F6E">
        <w:rPr>
          <w:rFonts w:ascii="Times New Roman" w:hAnsi="Times New Roman" w:cs="Times New Roman"/>
          <w:sz w:val="24"/>
        </w:rPr>
        <w:t>fastq_mcf</w:t>
      </w:r>
      <w:proofErr w:type="spellEnd"/>
      <w:r w:rsidRPr="008E0F6E">
        <w:rPr>
          <w:rFonts w:ascii="Times New Roman" w:hAnsi="Times New Roman" w:cs="Times New Roman"/>
          <w:sz w:val="24"/>
        </w:rPr>
        <w:t xml:space="preserve"> software and Picard tools. Single nucleotide polymorphisms (S</w:t>
      </w:r>
      <w:r w:rsidRPr="008E0F6E">
        <w:rPr>
          <w:rFonts w:ascii="Times New Roman" w:hAnsi="Times New Roman" w:cs="Times New Roman"/>
          <w:sz w:val="24"/>
        </w:rPr>
        <w:t xml:space="preserve">NPs) and small deletions or insertions were called using the Genomic Analysis Toolkit Haplotype Caller. These variants were further annotated using ANNOVAR. </w:t>
      </w:r>
    </w:p>
    <w:p w:rsidR="00A6051C" w:rsidRPr="008E0F6E" w:rsidRDefault="00183D64">
      <w:pPr>
        <w:spacing w:line="480" w:lineRule="auto"/>
        <w:rPr>
          <w:rFonts w:ascii="Times New Roman Regular" w:hAnsi="Times New Roman Regular" w:cs="Times New Roman Regular" w:hint="eastAsia"/>
          <w:b/>
          <w:bCs/>
          <w:sz w:val="24"/>
        </w:rPr>
      </w:pPr>
      <w:proofErr w:type="spellStart"/>
      <w:r w:rsidRPr="008E0F6E">
        <w:rPr>
          <w:rFonts w:ascii="Times New Roman Regular" w:hAnsi="Times New Roman Regular" w:cs="Times New Roman Regular"/>
          <w:b/>
          <w:bCs/>
          <w:sz w:val="24"/>
        </w:rPr>
        <w:t>Minigene</w:t>
      </w:r>
      <w:proofErr w:type="spellEnd"/>
      <w:r w:rsidRPr="008E0F6E">
        <w:rPr>
          <w:rFonts w:ascii="Times New Roman Regular" w:hAnsi="Times New Roman Regular" w:cs="Times New Roman Regular"/>
          <w:b/>
          <w:bCs/>
          <w:sz w:val="24"/>
        </w:rPr>
        <w:t xml:space="preserve"> Assay in Human embryonic kidney-293T (HEK-293T) Cells</w:t>
      </w:r>
    </w:p>
    <w:p w:rsidR="00A6051C" w:rsidRPr="008E0F6E" w:rsidRDefault="00183D64">
      <w:pPr>
        <w:spacing w:line="480" w:lineRule="auto"/>
        <w:rPr>
          <w:rFonts w:ascii="Times New Roman Regular" w:hAnsi="Times New Roman Regular" w:cs="Times New Roman Regular" w:hint="eastAsia"/>
          <w:sz w:val="24"/>
        </w:rPr>
      </w:pPr>
      <w:r w:rsidRPr="008E0F6E">
        <w:rPr>
          <w:rFonts w:ascii="Times New Roman Regular" w:hAnsi="Times New Roman Regular" w:cs="Times New Roman Regular"/>
          <w:sz w:val="24"/>
        </w:rPr>
        <w:t xml:space="preserve">The variant </w:t>
      </w:r>
      <w:r w:rsidRPr="008E0F6E">
        <w:rPr>
          <w:rFonts w:ascii="Times New Roman Regular" w:hAnsi="Times New Roman Regular" w:cs="Times New Roman Regular"/>
          <w:sz w:val="24"/>
        </w:rPr>
        <w:t>c.218T&gt;G</w:t>
      </w:r>
      <w:r w:rsidRPr="008E0F6E">
        <w:rPr>
          <w:rFonts w:ascii="Times New Roman Regular" w:hAnsi="Times New Roman Regular" w:cs="Times New Roman Regular"/>
          <w:sz w:val="24"/>
        </w:rPr>
        <w:t xml:space="preserve"> in </w:t>
      </w:r>
      <w:r w:rsidRPr="008E0F6E">
        <w:rPr>
          <w:rFonts w:ascii="Times New Roman Regular" w:hAnsi="Times New Roman Regular" w:cs="Times New Roman Regular"/>
          <w:i/>
          <w:iCs/>
          <w:sz w:val="24"/>
        </w:rPr>
        <w:t>BEST1</w:t>
      </w:r>
      <w:r w:rsidRPr="008E0F6E">
        <w:rPr>
          <w:rFonts w:ascii="Times New Roman Regular" w:hAnsi="Times New Roman Regular" w:cs="Times New Roman Regular"/>
          <w:sz w:val="24"/>
        </w:rPr>
        <w:t xml:space="preserve"> was evaluated for an effect on splicing with the pET01-based exon trapping system (</w:t>
      </w:r>
      <w:proofErr w:type="spellStart"/>
      <w:r w:rsidRPr="008E0F6E">
        <w:rPr>
          <w:rFonts w:ascii="Times New Roman Regular" w:hAnsi="Times New Roman Regular" w:cs="Times New Roman Regular"/>
          <w:sz w:val="24"/>
        </w:rPr>
        <w:t>Exontrap</w:t>
      </w:r>
      <w:proofErr w:type="spellEnd"/>
      <w:r w:rsidRPr="008E0F6E">
        <w:rPr>
          <w:rFonts w:ascii="Times New Roman Regular" w:hAnsi="Times New Roman Regular" w:cs="Times New Roman Regular"/>
          <w:sz w:val="24"/>
        </w:rPr>
        <w:t xml:space="preserve">, </w:t>
      </w:r>
      <w:proofErr w:type="spellStart"/>
      <w:r w:rsidRPr="008E0F6E">
        <w:rPr>
          <w:rFonts w:ascii="Times New Roman Regular" w:hAnsi="Times New Roman Regular" w:cs="Times New Roman Regular"/>
          <w:sz w:val="24"/>
        </w:rPr>
        <w:t>MoBiTec</w:t>
      </w:r>
      <w:proofErr w:type="spellEnd"/>
      <w:r w:rsidRPr="008E0F6E">
        <w:rPr>
          <w:rFonts w:ascii="Times New Roman Regular" w:hAnsi="Times New Roman Regular" w:cs="Times New Roman Regular"/>
          <w:sz w:val="24"/>
        </w:rPr>
        <w:t xml:space="preserve"> GmbH, </w:t>
      </w:r>
      <w:proofErr w:type="spellStart"/>
      <w:r w:rsidRPr="008E0F6E">
        <w:rPr>
          <w:rFonts w:ascii="Times New Roman Regular" w:hAnsi="Times New Roman Regular" w:cs="Times New Roman Regular"/>
          <w:sz w:val="24"/>
        </w:rPr>
        <w:t>Goettingen</w:t>
      </w:r>
      <w:proofErr w:type="spellEnd"/>
      <w:r w:rsidRPr="008E0F6E">
        <w:rPr>
          <w:rFonts w:ascii="Times New Roman Regular" w:hAnsi="Times New Roman Regular" w:cs="Times New Roman Regular"/>
          <w:sz w:val="24"/>
        </w:rPr>
        <w:t>, Germany). Sequences including exon 3 (</w:t>
      </w:r>
      <w:r w:rsidRPr="008E0F6E">
        <w:rPr>
          <w:rFonts w:ascii="Times New Roman Regular" w:hAnsi="Times New Roman Regular" w:cs="Times New Roman Regular"/>
          <w:sz w:val="24"/>
        </w:rPr>
        <w:t>c.218T&gt;G</w:t>
      </w:r>
      <w:r w:rsidRPr="008E0F6E">
        <w:rPr>
          <w:rFonts w:ascii="Times New Roman Regular" w:hAnsi="Times New Roman Regular" w:cs="Times New Roman Regular"/>
          <w:sz w:val="24"/>
        </w:rPr>
        <w:t xml:space="preserve"> in exon3) and exon4 of </w:t>
      </w:r>
      <w:r w:rsidRPr="008E0F6E">
        <w:rPr>
          <w:rFonts w:ascii="Times New Roman Regular" w:hAnsi="Times New Roman Regular" w:cs="Times New Roman Regular"/>
          <w:i/>
          <w:iCs/>
          <w:sz w:val="24"/>
        </w:rPr>
        <w:t>BEST1</w:t>
      </w:r>
      <w:r w:rsidRPr="008E0F6E">
        <w:rPr>
          <w:rFonts w:ascii="Times New Roman Regular" w:hAnsi="Times New Roman Regular" w:cs="Times New Roman Regular"/>
          <w:sz w:val="24"/>
        </w:rPr>
        <w:t xml:space="preserve"> were PCR amplified from genomic DNA using oligonucleotide pr</w:t>
      </w:r>
      <w:r w:rsidRPr="008E0F6E">
        <w:rPr>
          <w:rFonts w:ascii="Times New Roman Regular" w:hAnsi="Times New Roman Regular" w:cs="Times New Roman Regular"/>
          <w:sz w:val="24"/>
        </w:rPr>
        <w:t xml:space="preserve">imer pairs (Primer1 and 2). The 5’ end of the forward primers was designed to include a </w:t>
      </w:r>
      <w:proofErr w:type="spellStart"/>
      <w:r w:rsidRPr="008E0F6E">
        <w:rPr>
          <w:rFonts w:ascii="Times New Roman Regular" w:hAnsi="Times New Roman Regular" w:cs="Times New Roman Regular"/>
          <w:sz w:val="24"/>
        </w:rPr>
        <w:t>BamHI</w:t>
      </w:r>
      <w:proofErr w:type="spellEnd"/>
      <w:r w:rsidRPr="008E0F6E">
        <w:rPr>
          <w:rFonts w:ascii="Times New Roman Regular" w:hAnsi="Times New Roman Regular" w:cs="Times New Roman Regular"/>
          <w:sz w:val="24"/>
        </w:rPr>
        <w:t xml:space="preserve"> site (GGATCC), and the 5’ end of the reverse primers included a </w:t>
      </w:r>
      <w:proofErr w:type="spellStart"/>
      <w:r w:rsidRPr="008E0F6E">
        <w:rPr>
          <w:rFonts w:ascii="Times New Roman Regular" w:hAnsi="Times New Roman Regular" w:cs="Times New Roman Regular"/>
          <w:sz w:val="24"/>
        </w:rPr>
        <w:t>NotI</w:t>
      </w:r>
      <w:proofErr w:type="spellEnd"/>
      <w:r w:rsidRPr="008E0F6E">
        <w:rPr>
          <w:rFonts w:ascii="Times New Roman Regular" w:hAnsi="Times New Roman Regular" w:cs="Times New Roman Regular"/>
          <w:sz w:val="24"/>
        </w:rPr>
        <w:t xml:space="preserve"> site (GCGGCCGC). The amplified products were cloned into the pET01 vector. Clones with wild-t</w:t>
      </w:r>
      <w:r w:rsidRPr="008E0F6E">
        <w:rPr>
          <w:rFonts w:ascii="Times New Roman Regular" w:hAnsi="Times New Roman Regular" w:cs="Times New Roman Regular"/>
          <w:sz w:val="24"/>
        </w:rPr>
        <w:t xml:space="preserve">ype or mutant-type alleles were detected and screened by Sanger sequencing. </w:t>
      </w:r>
    </w:p>
    <w:p w:rsidR="00A6051C" w:rsidRPr="008E0F6E" w:rsidRDefault="00183D64">
      <w:pPr>
        <w:spacing w:line="480" w:lineRule="auto"/>
        <w:rPr>
          <w:rFonts w:ascii="Times New Roman Regular" w:hAnsi="Times New Roman Regular" w:cs="Times New Roman Regular" w:hint="eastAsia"/>
          <w:sz w:val="24"/>
        </w:rPr>
      </w:pPr>
      <w:r w:rsidRPr="008E0F6E">
        <w:rPr>
          <w:rFonts w:ascii="Times New Roman Regular" w:hAnsi="Times New Roman Regular" w:cs="Times New Roman Regular"/>
          <w:sz w:val="24"/>
        </w:rPr>
        <w:t>HEK293T cells were maintained in Dulbecco’s modified Eagle medium/High Glucose (</w:t>
      </w:r>
      <w:proofErr w:type="spellStart"/>
      <w:r w:rsidRPr="008E0F6E">
        <w:rPr>
          <w:rFonts w:ascii="Times New Roman Regular" w:hAnsi="Times New Roman Regular" w:cs="Times New Roman Regular"/>
          <w:sz w:val="24"/>
        </w:rPr>
        <w:t>Cytiva</w:t>
      </w:r>
      <w:proofErr w:type="spellEnd"/>
      <w:r w:rsidRPr="008E0F6E">
        <w:rPr>
          <w:rFonts w:ascii="Times New Roman Regular" w:hAnsi="Times New Roman Regular" w:cs="Times New Roman Regular"/>
          <w:sz w:val="24"/>
        </w:rPr>
        <w:t>) supplemented with 10% fetal bovine serum (Sigma) and 1% Penicillin Streptomycin (</w:t>
      </w:r>
      <w:proofErr w:type="spellStart"/>
      <w:r w:rsidRPr="008E0F6E">
        <w:rPr>
          <w:rFonts w:ascii="Times New Roman Regular" w:hAnsi="Times New Roman Regular" w:cs="Times New Roman Regular"/>
          <w:sz w:val="24"/>
        </w:rPr>
        <w:t>Gibco</w:t>
      </w:r>
      <w:proofErr w:type="spellEnd"/>
      <w:r w:rsidRPr="008E0F6E">
        <w:rPr>
          <w:rFonts w:ascii="Times New Roman Regular" w:hAnsi="Times New Roman Regular" w:cs="Times New Roman Regular"/>
          <w:sz w:val="24"/>
        </w:rPr>
        <w:t xml:space="preserve">). The cells were transfected with 3 µg of the selected </w:t>
      </w:r>
      <w:proofErr w:type="spellStart"/>
      <w:r w:rsidRPr="008E0F6E">
        <w:rPr>
          <w:rFonts w:ascii="Times New Roman Regular" w:hAnsi="Times New Roman Regular" w:cs="Times New Roman Regular"/>
          <w:sz w:val="24"/>
        </w:rPr>
        <w:t>minigene</w:t>
      </w:r>
      <w:proofErr w:type="spellEnd"/>
      <w:r w:rsidRPr="008E0F6E">
        <w:rPr>
          <w:rFonts w:ascii="Times New Roman Regular" w:hAnsi="Times New Roman Regular" w:cs="Times New Roman Regular"/>
          <w:sz w:val="24"/>
        </w:rPr>
        <w:t xml:space="preserve"> plasmids using </w:t>
      </w:r>
      <w:proofErr w:type="spellStart"/>
      <w:r w:rsidRPr="008E0F6E">
        <w:rPr>
          <w:rFonts w:ascii="Times New Roman Regular" w:hAnsi="Times New Roman Regular" w:cs="Times New Roman Regular"/>
          <w:sz w:val="24"/>
        </w:rPr>
        <w:t>Li</w:t>
      </w:r>
      <w:r w:rsidRPr="008E0F6E">
        <w:rPr>
          <w:rFonts w:ascii="Times New Roman Regular" w:hAnsi="Times New Roman Regular" w:cs="Times New Roman Regular"/>
          <w:sz w:val="24"/>
        </w:rPr>
        <w:t>pofectamine</w:t>
      </w:r>
      <w:proofErr w:type="spellEnd"/>
      <w:r w:rsidRPr="008E0F6E">
        <w:rPr>
          <w:rFonts w:ascii="Times New Roman Regular" w:hAnsi="Times New Roman Regular" w:cs="Times New Roman Regular"/>
          <w:sz w:val="24"/>
        </w:rPr>
        <w:t xml:space="preserve"> 2000 DNA transfection reagent (Invitrogen, Carlsbad, CA, USA). After 48 h, the transfected cells were harvested, and total RNA was extracted using </w:t>
      </w:r>
      <w:r w:rsidRPr="008E0F6E">
        <w:rPr>
          <w:rFonts w:ascii="Times New Roman Regular" w:hAnsi="Times New Roman Regular" w:cs="Times New Roman Regular" w:hint="eastAsia"/>
          <w:sz w:val="24"/>
        </w:rPr>
        <w:t xml:space="preserve">the </w:t>
      </w:r>
      <w:proofErr w:type="spellStart"/>
      <w:r w:rsidRPr="008E0F6E">
        <w:rPr>
          <w:rFonts w:ascii="Times New Roman Regular" w:hAnsi="Times New Roman Regular" w:cs="Times New Roman Regular" w:hint="eastAsia"/>
          <w:sz w:val="24"/>
        </w:rPr>
        <w:t>RNAprep</w:t>
      </w:r>
      <w:proofErr w:type="spellEnd"/>
      <w:r w:rsidRPr="008E0F6E">
        <w:rPr>
          <w:rFonts w:ascii="Times New Roman Regular" w:hAnsi="Times New Roman Regular" w:cs="Times New Roman Regular" w:hint="eastAsia"/>
          <w:sz w:val="24"/>
        </w:rPr>
        <w:t xml:space="preserve"> Pure Cell/Bacteria kit (</w:t>
      </w:r>
      <w:proofErr w:type="spellStart"/>
      <w:r w:rsidRPr="008E0F6E">
        <w:rPr>
          <w:rFonts w:ascii="Times New Roman Regular" w:hAnsi="Times New Roman Regular" w:cs="Times New Roman Regular" w:hint="eastAsia"/>
          <w:sz w:val="24"/>
        </w:rPr>
        <w:t>Tiangen</w:t>
      </w:r>
      <w:proofErr w:type="spellEnd"/>
      <w:r w:rsidRPr="008E0F6E">
        <w:rPr>
          <w:rFonts w:ascii="Times New Roman Regular" w:hAnsi="Times New Roman Regular" w:cs="Times New Roman Regular" w:hint="eastAsia"/>
          <w:sz w:val="24"/>
        </w:rPr>
        <w:t>, Beijing, China)</w:t>
      </w:r>
      <w:r w:rsidRPr="008E0F6E">
        <w:rPr>
          <w:rFonts w:ascii="Times New Roman Regular" w:hAnsi="Times New Roman Regular" w:cs="Times New Roman Regular"/>
          <w:sz w:val="24"/>
        </w:rPr>
        <w:t>. The reverse transcription PCR (RT-P</w:t>
      </w:r>
      <w:r w:rsidRPr="008E0F6E">
        <w:rPr>
          <w:rFonts w:ascii="Times New Roman Regular" w:hAnsi="Times New Roman Regular" w:cs="Times New Roman Regular"/>
          <w:sz w:val="24"/>
        </w:rPr>
        <w:t xml:space="preserve">CR) was performed with a pair of specific primers ETPR04 and ETPR05 in the exons of pET01) and the </w:t>
      </w:r>
      <w:proofErr w:type="spellStart"/>
      <w:r w:rsidRPr="008E0F6E">
        <w:rPr>
          <w:rFonts w:ascii="Times New Roman Regular" w:hAnsi="Times New Roman Regular" w:cs="Times New Roman Regular"/>
          <w:sz w:val="24"/>
        </w:rPr>
        <w:t>FastKing</w:t>
      </w:r>
      <w:proofErr w:type="spellEnd"/>
      <w:r w:rsidRPr="008E0F6E">
        <w:rPr>
          <w:rFonts w:ascii="Times New Roman Regular" w:hAnsi="Times New Roman Regular" w:cs="Times New Roman Regular"/>
          <w:sz w:val="24"/>
        </w:rPr>
        <w:t xml:space="preserve"> One-Step RT-PCR Kit (</w:t>
      </w:r>
      <w:proofErr w:type="spellStart"/>
      <w:r w:rsidRPr="008E0F6E">
        <w:rPr>
          <w:rFonts w:ascii="Times New Roman Regular" w:hAnsi="Times New Roman Regular" w:cs="Times New Roman Regular"/>
          <w:sz w:val="24"/>
        </w:rPr>
        <w:t>Tiangen</w:t>
      </w:r>
      <w:proofErr w:type="spellEnd"/>
      <w:r w:rsidRPr="008E0F6E">
        <w:rPr>
          <w:rFonts w:ascii="Times New Roman Regular" w:hAnsi="Times New Roman Regular" w:cs="Times New Roman Regular"/>
          <w:sz w:val="24"/>
        </w:rPr>
        <w:t xml:space="preserve"> Biotech, China). The products were separated by electrophoresis on 2% agarose gels, excised, and sequenced.</w:t>
      </w:r>
    </w:p>
    <w:p w:rsidR="00A6051C" w:rsidRPr="008E0F6E" w:rsidRDefault="00A6051C">
      <w:pPr>
        <w:spacing w:line="480" w:lineRule="auto"/>
        <w:rPr>
          <w:rFonts w:ascii="Times New Roman Regular" w:hAnsi="Times New Roman Regular" w:cs="Times New Roman Regular" w:hint="eastAsia"/>
          <w:b/>
          <w:bCs/>
          <w:sz w:val="24"/>
        </w:rPr>
      </w:pPr>
    </w:p>
    <w:p w:rsidR="00A6051C" w:rsidRPr="008E0F6E" w:rsidRDefault="00183D64">
      <w:pPr>
        <w:spacing w:line="480" w:lineRule="auto"/>
        <w:rPr>
          <w:rFonts w:ascii="Times New Roman Regular" w:hAnsi="Times New Roman Regular" w:cs="Times New Roman Regular" w:hint="eastAsia"/>
          <w:b/>
          <w:bCs/>
          <w:sz w:val="24"/>
        </w:rPr>
      </w:pPr>
      <w:r w:rsidRPr="008E0F6E">
        <w:rPr>
          <w:rFonts w:ascii="Times New Roman Regular" w:hAnsi="Times New Roman Regular" w:cs="Times New Roman Regular"/>
          <w:sz w:val="24"/>
        </w:rPr>
        <w:t>Primer seq</w:t>
      </w:r>
      <w:r w:rsidRPr="008E0F6E">
        <w:rPr>
          <w:rFonts w:ascii="Times New Roman Regular" w:hAnsi="Times New Roman Regular" w:cs="Times New Roman Regular"/>
          <w:sz w:val="24"/>
        </w:rPr>
        <w:t xml:space="preserve">uences: </w:t>
      </w:r>
    </w:p>
    <w:p w:rsidR="00A6051C" w:rsidRPr="008E0F6E" w:rsidRDefault="00183D64">
      <w:pPr>
        <w:spacing w:line="480" w:lineRule="auto"/>
        <w:rPr>
          <w:rFonts w:ascii="Times New Roman Regular" w:hAnsi="Times New Roman Regular" w:cs="Times New Roman Regular" w:hint="eastAsia"/>
          <w:sz w:val="24"/>
        </w:rPr>
      </w:pPr>
      <w:r w:rsidRPr="008E0F6E">
        <w:rPr>
          <w:rFonts w:ascii="Times New Roman Regular" w:hAnsi="Times New Roman Regular" w:cs="Times New Roman Regular"/>
          <w:sz w:val="24"/>
        </w:rPr>
        <w:t>Primer1 (Forward): 5’-GCGCGGATCCgtgtctctttgctcctcccc-3’;</w:t>
      </w:r>
    </w:p>
    <w:p w:rsidR="00A6051C" w:rsidRPr="008E0F6E" w:rsidRDefault="00183D64">
      <w:pPr>
        <w:spacing w:line="480" w:lineRule="auto"/>
        <w:rPr>
          <w:rFonts w:ascii="Times New Roman Regular" w:hAnsi="Times New Roman Regular" w:cs="Times New Roman Regular" w:hint="eastAsia"/>
          <w:b/>
          <w:bCs/>
          <w:sz w:val="24"/>
        </w:rPr>
      </w:pPr>
      <w:r w:rsidRPr="008E0F6E">
        <w:rPr>
          <w:rFonts w:ascii="Times New Roman Regular" w:hAnsi="Times New Roman Regular" w:cs="Times New Roman Regular"/>
          <w:sz w:val="24"/>
        </w:rPr>
        <w:t xml:space="preserve">Primer2 (Reverse): 5’-GCGCGGCCGCcgatcttcccacctttgcct-3’ </w:t>
      </w:r>
    </w:p>
    <w:p w:rsidR="00A6051C" w:rsidRPr="008E0F6E" w:rsidRDefault="00183D64">
      <w:pPr>
        <w:spacing w:line="480" w:lineRule="auto"/>
        <w:rPr>
          <w:rFonts w:ascii="Times New Roman Regular" w:hAnsi="Times New Roman Regular" w:cs="Times New Roman Regular" w:hint="eastAsia"/>
          <w:sz w:val="24"/>
        </w:rPr>
      </w:pPr>
      <w:r w:rsidRPr="008E0F6E">
        <w:rPr>
          <w:rFonts w:ascii="Times New Roman Regular" w:hAnsi="Times New Roman Regular" w:cs="Times New Roman Regular"/>
          <w:sz w:val="24"/>
        </w:rPr>
        <w:t>Primer ETPR04: 5’-GGATTCTTCTACACACCC-3’</w:t>
      </w:r>
    </w:p>
    <w:p w:rsidR="00A6051C" w:rsidRPr="008E0F6E" w:rsidRDefault="00183D64">
      <w:pPr>
        <w:spacing w:line="480" w:lineRule="auto"/>
        <w:rPr>
          <w:rFonts w:ascii="Times New Roman Regular" w:hAnsi="Times New Roman Regular" w:cs="Times New Roman Regular" w:hint="eastAsia"/>
          <w:sz w:val="24"/>
        </w:rPr>
      </w:pPr>
      <w:r w:rsidRPr="008E0F6E">
        <w:rPr>
          <w:rFonts w:ascii="Times New Roman Regular" w:hAnsi="Times New Roman Regular" w:cs="Times New Roman Regular"/>
          <w:sz w:val="24"/>
        </w:rPr>
        <w:t>Primer ETPR05: 5’-TCCACCCAGCTCCAGTTG-3’</w:t>
      </w:r>
    </w:p>
    <w:p w:rsidR="00A6051C" w:rsidRPr="008E0F6E" w:rsidRDefault="00A6051C">
      <w:pPr>
        <w:spacing w:line="360" w:lineRule="auto"/>
        <w:jc w:val="left"/>
        <w:rPr>
          <w:rFonts w:ascii="Times New Roman Regular" w:hAnsi="Times New Roman Regular" w:cs="Times New Roman Regular" w:hint="eastAsia"/>
          <w:sz w:val="28"/>
          <w:szCs w:val="28"/>
        </w:rPr>
      </w:pPr>
    </w:p>
    <w:p w:rsidR="00A6051C" w:rsidRPr="008E0F6E" w:rsidRDefault="00A6051C">
      <w:pPr>
        <w:spacing w:line="360" w:lineRule="auto"/>
        <w:jc w:val="left"/>
        <w:rPr>
          <w:rFonts w:ascii="Times New Roman Regular" w:hAnsi="Times New Roman Regular" w:cs="Times New Roman Regular" w:hint="eastAsia"/>
          <w:sz w:val="28"/>
          <w:szCs w:val="28"/>
        </w:rPr>
      </w:pPr>
    </w:p>
    <w:p w:rsidR="00A6051C" w:rsidRPr="008E0F6E" w:rsidRDefault="00A6051C">
      <w:pPr>
        <w:spacing w:line="360" w:lineRule="auto"/>
        <w:jc w:val="left"/>
        <w:rPr>
          <w:rFonts w:ascii="Times New Roman Regular" w:hAnsi="Times New Roman Regular" w:cs="Times New Roman Regular" w:hint="eastAsia"/>
          <w:sz w:val="28"/>
          <w:szCs w:val="28"/>
        </w:rPr>
      </w:pPr>
    </w:p>
    <w:p w:rsidR="00A6051C" w:rsidRPr="008E0F6E" w:rsidRDefault="00A6051C">
      <w:pPr>
        <w:spacing w:line="360" w:lineRule="auto"/>
        <w:jc w:val="left"/>
        <w:rPr>
          <w:rFonts w:ascii="Times New Roman Regular" w:hAnsi="Times New Roman Regular" w:cs="Times New Roman Regular" w:hint="eastAsia"/>
          <w:sz w:val="28"/>
          <w:szCs w:val="28"/>
        </w:rPr>
      </w:pPr>
    </w:p>
    <w:p w:rsidR="00A6051C" w:rsidRPr="008E0F6E" w:rsidRDefault="00A6051C">
      <w:pPr>
        <w:spacing w:line="360" w:lineRule="auto"/>
        <w:jc w:val="left"/>
        <w:rPr>
          <w:rFonts w:ascii="Times New Roman Regular" w:hAnsi="Times New Roman Regular" w:cs="Times New Roman Regular" w:hint="eastAsia"/>
          <w:sz w:val="28"/>
          <w:szCs w:val="28"/>
        </w:rPr>
      </w:pPr>
    </w:p>
    <w:p w:rsidR="00A6051C" w:rsidRPr="008E0F6E" w:rsidRDefault="00A6051C">
      <w:pPr>
        <w:spacing w:line="360" w:lineRule="auto"/>
        <w:jc w:val="left"/>
        <w:rPr>
          <w:rFonts w:ascii="Times New Roman Regular" w:hAnsi="Times New Roman Regular" w:cs="Times New Roman Regular" w:hint="eastAsia"/>
          <w:sz w:val="28"/>
          <w:szCs w:val="28"/>
        </w:rPr>
      </w:pPr>
    </w:p>
    <w:p w:rsidR="00A6051C" w:rsidRPr="008E0F6E" w:rsidRDefault="00A6051C">
      <w:pPr>
        <w:spacing w:line="360" w:lineRule="auto"/>
        <w:jc w:val="left"/>
        <w:rPr>
          <w:rFonts w:ascii="Times New Roman Regular" w:hAnsi="Times New Roman Regular" w:cs="Times New Roman Regular" w:hint="eastAsia"/>
          <w:sz w:val="28"/>
          <w:szCs w:val="28"/>
        </w:rPr>
      </w:pPr>
    </w:p>
    <w:p w:rsidR="00A6051C" w:rsidRPr="008E0F6E" w:rsidRDefault="00183D64">
      <w:pPr>
        <w:spacing w:line="480" w:lineRule="auto"/>
        <w:jc w:val="left"/>
        <w:rPr>
          <w:rFonts w:ascii="Times New Roman" w:hAnsi="Times New Roman" w:cs="Times New Roman"/>
          <w:b/>
          <w:bCs/>
          <w:sz w:val="24"/>
        </w:rPr>
      </w:pPr>
      <w:proofErr w:type="spellStart"/>
      <w:proofErr w:type="gramStart"/>
      <w:r w:rsidRPr="008E0F6E">
        <w:rPr>
          <w:rFonts w:ascii="Times New Roman" w:hAnsi="Times New Roman" w:cs="Times New Roman"/>
          <w:b/>
          <w:bCs/>
          <w:sz w:val="24"/>
        </w:rPr>
        <w:t>eFigure</w:t>
      </w:r>
      <w:proofErr w:type="spellEnd"/>
      <w:proofErr w:type="gramEnd"/>
      <w:r w:rsidRPr="008E0F6E">
        <w:rPr>
          <w:rFonts w:ascii="Times New Roman" w:hAnsi="Times New Roman" w:cs="Times New Roman"/>
          <w:b/>
          <w:bCs/>
          <w:sz w:val="24"/>
        </w:rPr>
        <w:t xml:space="preserve"> 1.</w:t>
      </w:r>
    </w:p>
    <w:p w:rsidR="00A6051C" w:rsidRPr="008E0F6E" w:rsidRDefault="00183D64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 w:rsidRPr="008E0F6E">
        <w:rPr>
          <w:rFonts w:ascii="Times New Roman" w:hAnsi="Times New Roman" w:cs="Times New Roman"/>
          <w:b/>
          <w:bCs/>
          <w:sz w:val="24"/>
        </w:rPr>
        <w:t xml:space="preserve">Splicing results of </w:t>
      </w:r>
      <w:proofErr w:type="spellStart"/>
      <w:r w:rsidRPr="008E0F6E">
        <w:rPr>
          <w:rFonts w:ascii="Times New Roman" w:hAnsi="Times New Roman" w:cs="Times New Roman"/>
          <w:b/>
          <w:bCs/>
          <w:sz w:val="24"/>
        </w:rPr>
        <w:t>minigene</w:t>
      </w:r>
      <w:proofErr w:type="spellEnd"/>
      <w:r w:rsidRPr="008E0F6E">
        <w:rPr>
          <w:rFonts w:ascii="Times New Roman" w:hAnsi="Times New Roman" w:cs="Times New Roman"/>
          <w:b/>
          <w:bCs/>
          <w:sz w:val="24"/>
        </w:rPr>
        <w:t xml:space="preserve"> assays</w:t>
      </w:r>
      <w:r w:rsidRPr="008E0F6E">
        <w:rPr>
          <w:rFonts w:ascii="Times New Roman" w:hAnsi="Times New Roman" w:cs="Times New Roman"/>
          <w:b/>
          <w:bCs/>
          <w:sz w:val="24"/>
        </w:rPr>
        <w:t xml:space="preserve"> for the variant in </w:t>
      </w:r>
      <w:r w:rsidRPr="008E0F6E">
        <w:rPr>
          <w:rFonts w:ascii="Times New Roman" w:hAnsi="Times New Roman" w:cs="Times New Roman"/>
          <w:b/>
          <w:bCs/>
          <w:i/>
          <w:iCs/>
          <w:sz w:val="24"/>
        </w:rPr>
        <w:t>BEST1</w:t>
      </w:r>
      <w:r w:rsidRPr="008E0F6E">
        <w:rPr>
          <w:rFonts w:ascii="Times New Roman" w:hAnsi="Times New Roman" w:cs="Times New Roman"/>
          <w:b/>
          <w:bCs/>
          <w:sz w:val="24"/>
        </w:rPr>
        <w:t xml:space="preserve"> in the HEK-293T cell line. </w:t>
      </w:r>
      <w:r w:rsidRPr="008E0F6E">
        <w:rPr>
          <w:rFonts w:ascii="Times New Roman" w:hAnsi="Times New Roman" w:cs="Times New Roman"/>
          <w:sz w:val="24"/>
        </w:rPr>
        <w:t xml:space="preserve">The variant </w:t>
      </w:r>
      <w:r w:rsidRPr="008E0F6E">
        <w:rPr>
          <w:rFonts w:ascii="Times New Roman" w:hAnsi="Times New Roman" w:cs="Times New Roman"/>
          <w:sz w:val="24"/>
        </w:rPr>
        <w:t>c.218T&gt;G</w:t>
      </w:r>
      <w:r w:rsidRPr="008E0F6E">
        <w:rPr>
          <w:rFonts w:ascii="Times New Roman" w:hAnsi="Times New Roman" w:cs="Times New Roman"/>
          <w:sz w:val="24"/>
        </w:rPr>
        <w:t xml:space="preserve"> did not show an abnormal splicing band. V1 and V2 are exons in pET01. M1, </w:t>
      </w:r>
      <w:r w:rsidRPr="008E0F6E">
        <w:rPr>
          <w:rFonts w:ascii="Times New Roman" w:hAnsi="Times New Roman" w:cs="Times New Roman"/>
          <w:i/>
          <w:iCs/>
          <w:sz w:val="24"/>
        </w:rPr>
        <w:t xml:space="preserve">BEST1 </w:t>
      </w:r>
      <w:r w:rsidRPr="008E0F6E">
        <w:rPr>
          <w:rFonts w:ascii="Times New Roman" w:hAnsi="Times New Roman" w:cs="Times New Roman"/>
          <w:sz w:val="24"/>
        </w:rPr>
        <w:t>c.218T&gt;G</w:t>
      </w:r>
      <w:r w:rsidRPr="008E0F6E">
        <w:rPr>
          <w:rFonts w:ascii="Times New Roman" w:hAnsi="Times New Roman" w:cs="Times New Roman"/>
          <w:sz w:val="24"/>
        </w:rPr>
        <w:t xml:space="preserve"> p</w:t>
      </w:r>
      <w:proofErr w:type="gramStart"/>
      <w:r w:rsidRPr="008E0F6E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r w:rsidRPr="008E0F6E">
        <w:rPr>
          <w:rFonts w:ascii="Times New Roman" w:hAnsi="Times New Roman" w:cs="Times New Roman"/>
          <w:sz w:val="24"/>
        </w:rPr>
        <w:t>(</w:t>
      </w:r>
      <w:proofErr w:type="gramEnd"/>
      <w:r w:rsidRPr="008E0F6E">
        <w:rPr>
          <w:rFonts w:ascii="Times New Roman" w:hAnsi="Times New Roman" w:cs="Times New Roman"/>
          <w:sz w:val="24"/>
        </w:rPr>
        <w:t>Ile73Arg); WT, wildtype. The asterisk indicates the fragment without sequence information.</w:t>
      </w:r>
    </w:p>
    <w:p w:rsidR="00A6051C" w:rsidRPr="008E0F6E" w:rsidRDefault="00183D64">
      <w:pPr>
        <w:spacing w:line="360" w:lineRule="auto"/>
        <w:jc w:val="left"/>
        <w:rPr>
          <w:rFonts w:ascii="Times New Roman Regular" w:hAnsi="Times New Roman Regular" w:cs="Times New Roman Regular" w:hint="eastAsia"/>
          <w:b/>
          <w:bCs/>
          <w:sz w:val="28"/>
          <w:szCs w:val="28"/>
        </w:rPr>
      </w:pPr>
      <w:r w:rsidRPr="008E0F6E">
        <w:rPr>
          <w:rFonts w:ascii="Times New Roman Regular" w:hAnsi="Times New Roman Regular" w:cs="Times New Roman Regular"/>
          <w:b/>
          <w:bCs/>
          <w:noProof/>
          <w:sz w:val="28"/>
          <w:szCs w:val="28"/>
          <w:lang w:val="en-PH" w:eastAsia="en-PH"/>
        </w:rPr>
        <w:drawing>
          <wp:inline distT="0" distB="0" distL="114300" distR="114300">
            <wp:extent cx="3096260" cy="2065655"/>
            <wp:effectExtent l="0" t="0" r="2540" b="17145"/>
            <wp:docPr id="2" name="图片 2" descr="Fig-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ig-S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51C" w:rsidRPr="008E0F6E" w:rsidRDefault="00A6051C">
      <w:pPr>
        <w:spacing w:line="360" w:lineRule="auto"/>
        <w:jc w:val="left"/>
        <w:rPr>
          <w:rFonts w:ascii="Times New Roman Regular" w:hAnsi="Times New Roman Regular" w:cs="Times New Roman Regular" w:hint="eastAsia"/>
          <w:b/>
          <w:bCs/>
          <w:sz w:val="28"/>
          <w:szCs w:val="28"/>
        </w:rPr>
      </w:pPr>
    </w:p>
    <w:p w:rsidR="00A6051C" w:rsidRPr="008E0F6E" w:rsidRDefault="00183D64">
      <w:pPr>
        <w:spacing w:line="480" w:lineRule="auto"/>
        <w:jc w:val="left"/>
        <w:rPr>
          <w:rFonts w:ascii="Times New Roman Regular" w:hAnsi="Times New Roman Regular" w:cs="Times New Roman Regular" w:hint="eastAsia"/>
          <w:b/>
          <w:bCs/>
          <w:sz w:val="24"/>
        </w:rPr>
      </w:pPr>
      <w:proofErr w:type="spellStart"/>
      <w:proofErr w:type="gramStart"/>
      <w:r w:rsidRPr="008E0F6E">
        <w:rPr>
          <w:rFonts w:ascii="Times New Roman Regular" w:hAnsi="Times New Roman Regular" w:cs="Times New Roman Regular"/>
          <w:b/>
          <w:bCs/>
          <w:sz w:val="24"/>
        </w:rPr>
        <w:t>eFigure</w:t>
      </w:r>
      <w:proofErr w:type="spellEnd"/>
      <w:proofErr w:type="gramEnd"/>
      <w:r w:rsidRPr="008E0F6E">
        <w:rPr>
          <w:rFonts w:ascii="Times New Roman Regular" w:hAnsi="Times New Roman Regular" w:cs="Times New Roman Regular"/>
          <w:b/>
          <w:bCs/>
          <w:sz w:val="24"/>
        </w:rPr>
        <w:t xml:space="preserve"> 2.</w:t>
      </w:r>
    </w:p>
    <w:p w:rsidR="00A6051C" w:rsidRPr="008E0F6E" w:rsidRDefault="00183D64">
      <w:pPr>
        <w:spacing w:line="480" w:lineRule="auto"/>
        <w:jc w:val="left"/>
        <w:rPr>
          <w:rFonts w:ascii="Times New Roman Regular" w:hAnsi="Times New Roman Regular" w:cs="Times New Roman Regular" w:hint="eastAsia"/>
          <w:sz w:val="24"/>
        </w:rPr>
      </w:pPr>
      <w:r w:rsidRPr="008E0F6E">
        <w:rPr>
          <w:rFonts w:ascii="Times New Roman Regular" w:hAnsi="Times New Roman Regular" w:cs="Times New Roman Regular"/>
          <w:b/>
          <w:bCs/>
          <w:sz w:val="24"/>
        </w:rPr>
        <w:t xml:space="preserve">Locations of variants in a 3-dimensional model of a bestrophin-1 subunit (the Protein Data Bank archive ID: 8D1I). </w:t>
      </w:r>
      <w:r w:rsidRPr="008E0F6E">
        <w:rPr>
          <w:rFonts w:ascii="Times New Roman Regular" w:hAnsi="Times New Roman Regular" w:cs="Times New Roman Regular"/>
          <w:sz w:val="24"/>
        </w:rPr>
        <w:t>The five variants identified in patients with ADVIRC from other studies were noted as blue. The variant identified in our stud</w:t>
      </w:r>
      <w:r w:rsidRPr="008E0F6E">
        <w:rPr>
          <w:rFonts w:ascii="Times New Roman Regular" w:hAnsi="Times New Roman Regular" w:cs="Times New Roman Regular"/>
          <w:sz w:val="24"/>
        </w:rPr>
        <w:t>y was noted as red.</w:t>
      </w:r>
    </w:p>
    <w:p w:rsidR="00A6051C" w:rsidRPr="008E0F6E" w:rsidRDefault="00A6051C">
      <w:pPr>
        <w:spacing w:line="360" w:lineRule="auto"/>
        <w:rPr>
          <w:rFonts w:ascii="Times New Roman Regular" w:hAnsi="Times New Roman Regular" w:cs="Times New Roman Regular" w:hint="eastAsia"/>
          <w:b/>
          <w:bCs/>
          <w:sz w:val="28"/>
          <w:szCs w:val="28"/>
        </w:rPr>
      </w:pPr>
    </w:p>
    <w:p w:rsidR="00A6051C" w:rsidRPr="008E0F6E" w:rsidRDefault="00183D64">
      <w:pPr>
        <w:spacing w:line="360" w:lineRule="auto"/>
        <w:rPr>
          <w:rFonts w:ascii="Times New Roman Regular" w:hAnsi="Times New Roman Regular" w:cs="Times New Roman Regular" w:hint="eastAsia"/>
          <w:sz w:val="28"/>
          <w:szCs w:val="28"/>
        </w:rPr>
      </w:pPr>
      <w:r w:rsidRPr="008E0F6E">
        <w:rPr>
          <w:rFonts w:ascii="Times New Roman Regular" w:hAnsi="Times New Roman Regular" w:cs="Times New Roman Regular"/>
          <w:noProof/>
          <w:sz w:val="28"/>
          <w:szCs w:val="28"/>
          <w:lang w:val="en-PH" w:eastAsia="en-PH"/>
        </w:rPr>
        <w:drawing>
          <wp:inline distT="0" distB="0" distL="114300" distR="114300">
            <wp:extent cx="3387725" cy="2263140"/>
            <wp:effectExtent l="0" t="0" r="15875" b="22860"/>
            <wp:docPr id="1" name="图片 1" descr="Fig 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ig S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7725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51C" w:rsidRPr="008E0F6E" w:rsidRDefault="00A6051C">
      <w:pPr>
        <w:spacing w:line="360" w:lineRule="auto"/>
        <w:rPr>
          <w:rFonts w:ascii="Times New Roman Regular" w:hAnsi="Times New Roman Regular" w:cs="Times New Roman Regular" w:hint="eastAsia"/>
          <w:sz w:val="28"/>
          <w:szCs w:val="28"/>
          <w:highlight w:val="yellow"/>
          <w:lang w:eastAsia="zh-Hans"/>
        </w:rPr>
      </w:pPr>
    </w:p>
    <w:p w:rsidR="00A6051C" w:rsidRPr="008E0F6E" w:rsidRDefault="00A6051C">
      <w:pPr>
        <w:spacing w:line="360" w:lineRule="auto"/>
        <w:rPr>
          <w:rFonts w:ascii="Times New Roman Regular" w:hAnsi="Times New Roman Regular" w:cs="Times New Roman Regular" w:hint="eastAsia"/>
          <w:sz w:val="28"/>
          <w:szCs w:val="28"/>
        </w:rPr>
      </w:pPr>
    </w:p>
    <w:sectPr w:rsidR="00A6051C" w:rsidRPr="008E0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EEB9DDF"/>
    <w:rsid w:val="AEEB9DDF"/>
    <w:rsid w:val="FF6E53FC"/>
    <w:rsid w:val="FFFF98A7"/>
    <w:rsid w:val="00183D64"/>
    <w:rsid w:val="002E551A"/>
    <w:rsid w:val="004C76B7"/>
    <w:rsid w:val="00520595"/>
    <w:rsid w:val="006E7E2A"/>
    <w:rsid w:val="008A72A6"/>
    <w:rsid w:val="008E0F6E"/>
    <w:rsid w:val="00A6051C"/>
    <w:rsid w:val="00C34D63"/>
    <w:rsid w:val="00DD0963"/>
    <w:rsid w:val="00F71250"/>
    <w:rsid w:val="24D75F5E"/>
    <w:rsid w:val="2EBF6658"/>
    <w:rsid w:val="37B743E4"/>
    <w:rsid w:val="3BF702CE"/>
    <w:rsid w:val="47EE23E0"/>
    <w:rsid w:val="4C36F533"/>
    <w:rsid w:val="61ADD10F"/>
    <w:rsid w:val="6BE96566"/>
    <w:rsid w:val="70FC1179"/>
    <w:rsid w:val="767C8E29"/>
    <w:rsid w:val="76D73F90"/>
    <w:rsid w:val="7AE9613E"/>
    <w:rsid w:val="7AFC5C84"/>
    <w:rsid w:val="7BFB1C88"/>
    <w:rsid w:val="7BFD2517"/>
    <w:rsid w:val="7DCFFA28"/>
    <w:rsid w:val="7E477062"/>
    <w:rsid w:val="7E6B7C9C"/>
    <w:rsid w:val="87D7712E"/>
    <w:rsid w:val="9FEF365B"/>
    <w:rsid w:val="AEEB9DDF"/>
    <w:rsid w:val="D2B6BBF5"/>
    <w:rsid w:val="E7BBAF41"/>
    <w:rsid w:val="EA6D7674"/>
    <w:rsid w:val="EDFF20BE"/>
    <w:rsid w:val="EE6F1BE6"/>
    <w:rsid w:val="F2CF4515"/>
    <w:rsid w:val="F3FDA60C"/>
    <w:rsid w:val="F5A972FB"/>
    <w:rsid w:val="F6EB7453"/>
    <w:rsid w:val="F79C5E05"/>
    <w:rsid w:val="F7DB9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2EE179-5F07-4231-B217-D2A0BE2C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jieshi</dc:creator>
  <cp:lastModifiedBy>Hernando Sevilla</cp:lastModifiedBy>
  <cp:revision>8</cp:revision>
  <dcterms:created xsi:type="dcterms:W3CDTF">2022-08-22T08:14:00Z</dcterms:created>
  <dcterms:modified xsi:type="dcterms:W3CDTF">2023-04-18T10:12:00Z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40129A7324D9D87864E11664F5AAC3F7</vt:lpwstr>
  </property>
</Properties>
</file>