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60F" w:rsidRPr="004D260F" w:rsidRDefault="004D260F" w:rsidP="004D260F">
      <w:pPr>
        <w:spacing w:after="120"/>
        <w:rPr>
          <w:rFonts w:ascii="Arial" w:eastAsiaTheme="minorHAnsi" w:hAnsi="Arial" w:cs="Arial"/>
        </w:rPr>
      </w:pPr>
      <w:r w:rsidRPr="00357AE9">
        <w:rPr>
          <w:rFonts w:ascii="Arial" w:eastAsiaTheme="minorHAnsi" w:hAnsi="Arial" w:cs="Arial"/>
          <w:b/>
        </w:rPr>
        <w:t>Supplementary Document 1</w:t>
      </w:r>
      <w:r w:rsidRPr="004D260F">
        <w:rPr>
          <w:rFonts w:ascii="Arial" w:eastAsiaTheme="minorHAnsi" w:hAnsi="Arial" w:cs="Arial"/>
        </w:rPr>
        <w:t xml:space="preserve"> (</w:t>
      </w:r>
      <w:r w:rsidR="00655BB3">
        <w:rPr>
          <w:rFonts w:ascii="Arial" w:eastAsiaTheme="minorHAnsi" w:hAnsi="Arial" w:cs="Arial"/>
          <w:i/>
        </w:rPr>
        <w:t>December</w:t>
      </w:r>
      <w:bookmarkStart w:id="0" w:name="_GoBack"/>
      <w:bookmarkEnd w:id="0"/>
      <w:r w:rsidRPr="004D260F">
        <w:rPr>
          <w:rFonts w:ascii="Arial" w:eastAsiaTheme="minorHAnsi" w:hAnsi="Arial" w:cs="Arial"/>
          <w:i/>
        </w:rPr>
        <w:t>, 2016</w:t>
      </w:r>
      <w:r w:rsidRPr="004D260F">
        <w:rPr>
          <w:rFonts w:ascii="Arial" w:eastAsiaTheme="minorHAnsi" w:hAnsi="Arial" w:cs="Arial"/>
        </w:rPr>
        <w:t>):</w:t>
      </w:r>
    </w:p>
    <w:p w:rsidR="004D260F" w:rsidRPr="00A37EF9" w:rsidRDefault="004D260F" w:rsidP="004D260F">
      <w:pPr>
        <w:rPr>
          <w:rFonts w:ascii="Arial" w:hAnsi="Arial" w:cs="Arial"/>
          <w:b/>
          <w:color w:val="17365D" w:themeColor="text2" w:themeShade="BF"/>
        </w:rPr>
      </w:pPr>
      <w:r w:rsidRPr="00A37EF9">
        <w:rPr>
          <w:rFonts w:ascii="Arial" w:hAnsi="Arial" w:cs="Arial"/>
          <w:b/>
          <w:color w:val="17365D" w:themeColor="text2" w:themeShade="BF"/>
        </w:rPr>
        <w:t>Perceived impacts on and relevance of ‘recovery domains’: Responses from a recent survey of MH clinicians (</w:t>
      </w:r>
      <w:r w:rsidRPr="00A37EF9">
        <w:rPr>
          <w:rFonts w:ascii="Arial" w:hAnsi="Arial" w:cs="Arial"/>
          <w:b/>
          <w:i/>
          <w:color w:val="17365D" w:themeColor="text2" w:themeShade="BF"/>
        </w:rPr>
        <w:t>N</w:t>
      </w:r>
      <w:r w:rsidRPr="00A37EF9">
        <w:rPr>
          <w:rFonts w:ascii="Arial" w:hAnsi="Arial" w:cs="Arial"/>
          <w:b/>
          <w:color w:val="17365D" w:themeColor="text2" w:themeShade="BF"/>
        </w:rPr>
        <w:t xml:space="preserve"> = 251)</w:t>
      </w:r>
    </w:p>
    <w:tbl>
      <w:tblPr>
        <w:tblStyle w:val="TableGrid"/>
        <w:tblW w:w="14283" w:type="dxa"/>
        <w:tblLayout w:type="fixed"/>
        <w:tblLook w:val="04A0" w:firstRow="1" w:lastRow="0" w:firstColumn="1" w:lastColumn="0" w:noHBand="0" w:noVBand="1"/>
      </w:tblPr>
      <w:tblGrid>
        <w:gridCol w:w="4644"/>
        <w:gridCol w:w="2552"/>
        <w:gridCol w:w="2268"/>
        <w:gridCol w:w="2410"/>
        <w:gridCol w:w="2409"/>
      </w:tblGrid>
      <w:tr w:rsidR="004D260F" w:rsidRPr="009C1465" w:rsidTr="0018698E">
        <w:tc>
          <w:tcPr>
            <w:tcW w:w="4644" w:type="dxa"/>
            <w:vMerge w:val="restart"/>
            <w:tcBorders>
              <w:top w:val="single" w:sz="4" w:space="0" w:color="auto"/>
              <w:left w:val="nil"/>
              <w:bottom w:val="single" w:sz="4" w:space="0" w:color="auto"/>
              <w:right w:val="nil"/>
            </w:tcBorders>
            <w:vAlign w:val="center"/>
          </w:tcPr>
          <w:p w:rsidR="004D260F" w:rsidRPr="0018698E" w:rsidRDefault="004D260F" w:rsidP="00753014">
            <w:pPr>
              <w:rPr>
                <w:rFonts w:ascii="Arial" w:hAnsi="Arial" w:cs="Arial"/>
                <w:b/>
                <w:color w:val="000000" w:themeColor="text1"/>
                <w:sz w:val="22"/>
                <w:szCs w:val="22"/>
              </w:rPr>
            </w:pPr>
            <w:r w:rsidRPr="0018698E">
              <w:rPr>
                <w:rFonts w:ascii="Arial" w:hAnsi="Arial" w:cs="Arial"/>
                <w:b/>
                <w:color w:val="000000" w:themeColor="text1"/>
                <w:sz w:val="22"/>
                <w:szCs w:val="22"/>
              </w:rPr>
              <w:t>Recovery domain</w:t>
            </w:r>
          </w:p>
        </w:tc>
        <w:tc>
          <w:tcPr>
            <w:tcW w:w="2552" w:type="dxa"/>
            <w:tcBorders>
              <w:top w:val="single" w:sz="4" w:space="0" w:color="auto"/>
              <w:left w:val="nil"/>
              <w:bottom w:val="nil"/>
              <w:right w:val="nil"/>
            </w:tcBorders>
            <w:vAlign w:val="center"/>
          </w:tcPr>
          <w:p w:rsidR="004D260F" w:rsidRPr="0018698E" w:rsidRDefault="004D260F" w:rsidP="00753014">
            <w:pPr>
              <w:pBdr>
                <w:bottom w:val="single" w:sz="4" w:space="1" w:color="auto"/>
              </w:pBdr>
              <w:jc w:val="center"/>
              <w:rPr>
                <w:rFonts w:ascii="Arial" w:hAnsi="Arial" w:cs="Arial"/>
                <w:b/>
                <w:color w:val="000000" w:themeColor="text1"/>
                <w:sz w:val="22"/>
                <w:szCs w:val="22"/>
              </w:rPr>
            </w:pPr>
            <w:r w:rsidRPr="0018698E">
              <w:rPr>
                <w:rFonts w:ascii="Arial" w:hAnsi="Arial" w:cs="Arial"/>
                <w:b/>
                <w:color w:val="000000" w:themeColor="text1"/>
                <w:sz w:val="22"/>
                <w:szCs w:val="22"/>
              </w:rPr>
              <w:t>Perceived impact of treatment practices:</w:t>
            </w:r>
          </w:p>
        </w:tc>
        <w:tc>
          <w:tcPr>
            <w:tcW w:w="7087" w:type="dxa"/>
            <w:gridSpan w:val="3"/>
            <w:tcBorders>
              <w:top w:val="single" w:sz="4" w:space="0" w:color="auto"/>
              <w:left w:val="nil"/>
              <w:bottom w:val="nil"/>
              <w:right w:val="nil"/>
            </w:tcBorders>
            <w:vAlign w:val="center"/>
          </w:tcPr>
          <w:p w:rsidR="004D260F" w:rsidRPr="0018698E" w:rsidRDefault="004D260F" w:rsidP="00753014">
            <w:pPr>
              <w:pBdr>
                <w:bottom w:val="single" w:sz="4" w:space="1" w:color="auto"/>
              </w:pBdr>
              <w:jc w:val="center"/>
              <w:rPr>
                <w:rFonts w:ascii="Arial" w:hAnsi="Arial" w:cs="Arial"/>
                <w:b/>
                <w:color w:val="000000" w:themeColor="text1"/>
                <w:sz w:val="22"/>
                <w:szCs w:val="22"/>
              </w:rPr>
            </w:pPr>
            <w:r w:rsidRPr="0018698E">
              <w:rPr>
                <w:rFonts w:ascii="Arial" w:hAnsi="Arial" w:cs="Arial"/>
                <w:b/>
                <w:color w:val="000000" w:themeColor="text1"/>
                <w:sz w:val="22"/>
                <w:szCs w:val="22"/>
              </w:rPr>
              <w:t>Perceived importance for care planning</w:t>
            </w:r>
          </w:p>
          <w:p w:rsidR="004D260F" w:rsidRPr="0018698E" w:rsidRDefault="004D260F" w:rsidP="00753014">
            <w:pPr>
              <w:pBdr>
                <w:bottom w:val="single" w:sz="4" w:space="1" w:color="auto"/>
              </w:pBdr>
              <w:jc w:val="center"/>
              <w:rPr>
                <w:rFonts w:ascii="Arial" w:hAnsi="Arial" w:cs="Arial"/>
                <w:b/>
                <w:color w:val="000000" w:themeColor="text1"/>
                <w:sz w:val="22"/>
                <w:szCs w:val="22"/>
              </w:rPr>
            </w:pPr>
            <w:r w:rsidRPr="0018698E">
              <w:rPr>
                <w:rFonts w:ascii="Arial" w:hAnsi="Arial" w:cs="Arial"/>
                <w:b/>
                <w:color w:val="000000" w:themeColor="text1"/>
                <w:sz w:val="22"/>
                <w:szCs w:val="22"/>
              </w:rPr>
              <w:t>within your unit/service:</w:t>
            </w:r>
          </w:p>
        </w:tc>
      </w:tr>
      <w:tr w:rsidR="004D260F" w:rsidRPr="009C1465" w:rsidTr="0018698E">
        <w:tc>
          <w:tcPr>
            <w:tcW w:w="4644" w:type="dxa"/>
            <w:vMerge/>
            <w:tcBorders>
              <w:top w:val="single" w:sz="4" w:space="0" w:color="auto"/>
              <w:left w:val="nil"/>
              <w:bottom w:val="single" w:sz="4" w:space="0" w:color="auto"/>
              <w:right w:val="nil"/>
            </w:tcBorders>
          </w:tcPr>
          <w:p w:rsidR="004D260F" w:rsidRPr="0018698E" w:rsidRDefault="004D260F" w:rsidP="00753014">
            <w:pPr>
              <w:rPr>
                <w:rFonts w:ascii="Arial" w:hAnsi="Arial" w:cs="Arial"/>
                <w:b/>
                <w:color w:val="000000" w:themeColor="text1"/>
                <w:sz w:val="22"/>
                <w:szCs w:val="22"/>
              </w:rPr>
            </w:pPr>
          </w:p>
        </w:tc>
        <w:tc>
          <w:tcPr>
            <w:tcW w:w="2552" w:type="dxa"/>
            <w:tcBorders>
              <w:top w:val="nil"/>
              <w:left w:val="nil"/>
              <w:bottom w:val="single" w:sz="4" w:space="0" w:color="auto"/>
              <w:right w:val="nil"/>
            </w:tcBorders>
          </w:tcPr>
          <w:p w:rsidR="004D260F" w:rsidRPr="0018698E" w:rsidRDefault="004D260F" w:rsidP="00753014">
            <w:pPr>
              <w:jc w:val="center"/>
              <w:rPr>
                <w:rFonts w:ascii="Arial" w:hAnsi="Arial" w:cs="Arial"/>
                <w:b/>
                <w:color w:val="000000" w:themeColor="text1"/>
                <w:sz w:val="22"/>
                <w:szCs w:val="22"/>
              </w:rPr>
            </w:pPr>
            <w:r w:rsidRPr="0018698E">
              <w:rPr>
                <w:rFonts w:ascii="Arial" w:hAnsi="Arial" w:cs="Arial"/>
                <w:b/>
                <w:color w:val="000000" w:themeColor="text1"/>
                <w:sz w:val="22"/>
                <w:szCs w:val="22"/>
              </w:rPr>
              <w:t>All clinicians</w:t>
            </w:r>
          </w:p>
          <w:p w:rsidR="004D260F" w:rsidRPr="0018698E" w:rsidRDefault="004D260F" w:rsidP="00753014">
            <w:pPr>
              <w:jc w:val="center"/>
              <w:rPr>
                <w:rFonts w:ascii="Arial" w:hAnsi="Arial" w:cs="Arial"/>
                <w:b/>
                <w:color w:val="000000" w:themeColor="text1"/>
                <w:sz w:val="22"/>
                <w:szCs w:val="22"/>
              </w:rPr>
            </w:pPr>
            <w:r w:rsidRPr="0018698E">
              <w:rPr>
                <w:rFonts w:ascii="Arial" w:hAnsi="Arial" w:cs="Arial"/>
                <w:b/>
                <w:color w:val="000000" w:themeColor="text1"/>
                <w:sz w:val="22"/>
                <w:szCs w:val="22"/>
              </w:rPr>
              <w:t>(N = 251)</w:t>
            </w:r>
          </w:p>
          <w:p w:rsidR="004D260F" w:rsidRPr="0018698E" w:rsidRDefault="004D260F" w:rsidP="00753014">
            <w:pPr>
              <w:pStyle w:val="ListParagraph"/>
              <w:ind w:left="742"/>
              <w:rPr>
                <w:rFonts w:ascii="Arial" w:hAnsi="Arial" w:cs="Arial"/>
                <w:color w:val="000000" w:themeColor="text1"/>
                <w:sz w:val="22"/>
                <w:szCs w:val="22"/>
              </w:rPr>
            </w:pPr>
            <w:r w:rsidRPr="0018698E">
              <w:rPr>
                <w:rFonts w:ascii="Arial" w:hAnsi="Arial" w:cs="Arial"/>
                <w:color w:val="000000" w:themeColor="text1"/>
                <w:sz w:val="22"/>
                <w:szCs w:val="22"/>
              </w:rPr>
              <w:t>Mean (SD)</w:t>
            </w:r>
          </w:p>
        </w:tc>
        <w:tc>
          <w:tcPr>
            <w:tcW w:w="2268" w:type="dxa"/>
            <w:tcBorders>
              <w:top w:val="nil"/>
              <w:left w:val="nil"/>
              <w:bottom w:val="single" w:sz="4" w:space="0" w:color="auto"/>
              <w:right w:val="nil"/>
            </w:tcBorders>
          </w:tcPr>
          <w:p w:rsidR="004D260F" w:rsidRPr="0018698E" w:rsidRDefault="004D260F" w:rsidP="00753014">
            <w:pPr>
              <w:pStyle w:val="ListParagraph"/>
              <w:ind w:left="0"/>
              <w:jc w:val="center"/>
              <w:rPr>
                <w:rFonts w:ascii="Arial" w:hAnsi="Arial" w:cs="Arial"/>
                <w:b/>
                <w:color w:val="000000" w:themeColor="text1"/>
                <w:sz w:val="22"/>
                <w:szCs w:val="22"/>
              </w:rPr>
            </w:pPr>
            <w:r w:rsidRPr="0018698E">
              <w:rPr>
                <w:rFonts w:ascii="Arial" w:hAnsi="Arial" w:cs="Arial"/>
                <w:b/>
                <w:color w:val="000000" w:themeColor="text1"/>
                <w:sz w:val="22"/>
                <w:szCs w:val="22"/>
              </w:rPr>
              <w:t>All clinicians</w:t>
            </w:r>
          </w:p>
          <w:p w:rsidR="004D260F" w:rsidRPr="0018698E" w:rsidRDefault="004D260F" w:rsidP="00753014">
            <w:pPr>
              <w:pStyle w:val="ListParagraph"/>
              <w:ind w:left="0"/>
              <w:jc w:val="center"/>
              <w:rPr>
                <w:rFonts w:ascii="Arial" w:hAnsi="Arial" w:cs="Arial"/>
                <w:b/>
                <w:color w:val="000000" w:themeColor="text1"/>
                <w:sz w:val="22"/>
                <w:szCs w:val="22"/>
              </w:rPr>
            </w:pPr>
            <w:r w:rsidRPr="0018698E">
              <w:rPr>
                <w:rFonts w:ascii="Arial" w:hAnsi="Arial" w:cs="Arial"/>
                <w:b/>
                <w:color w:val="000000" w:themeColor="text1"/>
                <w:sz w:val="22"/>
                <w:szCs w:val="22"/>
              </w:rPr>
              <w:t>(N = 251)</w:t>
            </w:r>
          </w:p>
          <w:p w:rsidR="004D260F" w:rsidRPr="0018698E" w:rsidRDefault="004D260F" w:rsidP="00753014">
            <w:pPr>
              <w:pStyle w:val="ListParagraph"/>
              <w:ind w:left="0"/>
              <w:jc w:val="center"/>
              <w:rPr>
                <w:rFonts w:ascii="Arial" w:hAnsi="Arial" w:cs="Arial"/>
                <w:color w:val="000000" w:themeColor="text1"/>
                <w:sz w:val="22"/>
                <w:szCs w:val="22"/>
              </w:rPr>
            </w:pPr>
            <w:r w:rsidRPr="0018698E">
              <w:rPr>
                <w:rFonts w:ascii="Arial" w:hAnsi="Arial" w:cs="Arial"/>
                <w:color w:val="000000" w:themeColor="text1"/>
                <w:sz w:val="22"/>
                <w:szCs w:val="22"/>
              </w:rPr>
              <w:t>Mean (SD)</w:t>
            </w:r>
          </w:p>
        </w:tc>
        <w:tc>
          <w:tcPr>
            <w:tcW w:w="2410" w:type="dxa"/>
            <w:tcBorders>
              <w:top w:val="nil"/>
              <w:left w:val="nil"/>
              <w:bottom w:val="single" w:sz="4" w:space="0" w:color="auto"/>
              <w:right w:val="nil"/>
            </w:tcBorders>
          </w:tcPr>
          <w:p w:rsidR="004D260F" w:rsidRPr="0018698E" w:rsidRDefault="004D260F" w:rsidP="00753014">
            <w:pPr>
              <w:pStyle w:val="ListParagraph"/>
              <w:ind w:left="0"/>
              <w:jc w:val="center"/>
              <w:rPr>
                <w:rFonts w:ascii="Arial" w:hAnsi="Arial" w:cs="Arial"/>
                <w:b/>
                <w:color w:val="000000" w:themeColor="text1"/>
                <w:sz w:val="22"/>
                <w:szCs w:val="22"/>
              </w:rPr>
            </w:pPr>
            <w:r w:rsidRPr="0018698E">
              <w:rPr>
                <w:rFonts w:ascii="Arial" w:hAnsi="Arial" w:cs="Arial"/>
                <w:b/>
                <w:color w:val="000000" w:themeColor="text1"/>
                <w:sz w:val="22"/>
                <w:szCs w:val="22"/>
              </w:rPr>
              <w:t>Acute inpatient MH units (N = 89)</w:t>
            </w:r>
          </w:p>
          <w:p w:rsidR="004D260F" w:rsidRPr="0018698E" w:rsidRDefault="004D260F" w:rsidP="00753014">
            <w:pPr>
              <w:pStyle w:val="ListParagraph"/>
              <w:ind w:left="0"/>
              <w:jc w:val="center"/>
              <w:rPr>
                <w:rFonts w:ascii="Arial" w:hAnsi="Arial" w:cs="Arial"/>
                <w:color w:val="000000" w:themeColor="text1"/>
                <w:sz w:val="22"/>
                <w:szCs w:val="22"/>
              </w:rPr>
            </w:pPr>
            <w:r w:rsidRPr="0018698E">
              <w:rPr>
                <w:rFonts w:ascii="Arial" w:hAnsi="Arial" w:cs="Arial"/>
                <w:color w:val="000000" w:themeColor="text1"/>
                <w:sz w:val="22"/>
                <w:szCs w:val="22"/>
              </w:rPr>
              <w:t>Mean (SD)</w:t>
            </w:r>
          </w:p>
        </w:tc>
        <w:tc>
          <w:tcPr>
            <w:tcW w:w="2409" w:type="dxa"/>
            <w:tcBorders>
              <w:top w:val="nil"/>
              <w:left w:val="nil"/>
              <w:bottom w:val="single" w:sz="4" w:space="0" w:color="auto"/>
              <w:right w:val="nil"/>
            </w:tcBorders>
          </w:tcPr>
          <w:p w:rsidR="004D260F" w:rsidRPr="0018698E" w:rsidRDefault="004D260F" w:rsidP="00753014">
            <w:pPr>
              <w:pStyle w:val="ListParagraph"/>
              <w:ind w:left="0"/>
              <w:jc w:val="center"/>
              <w:rPr>
                <w:rFonts w:ascii="Arial" w:hAnsi="Arial" w:cs="Arial"/>
                <w:b/>
                <w:color w:val="000000" w:themeColor="text1"/>
                <w:sz w:val="22"/>
                <w:szCs w:val="22"/>
              </w:rPr>
            </w:pPr>
            <w:r w:rsidRPr="0018698E">
              <w:rPr>
                <w:rFonts w:ascii="Arial" w:hAnsi="Arial" w:cs="Arial"/>
                <w:b/>
                <w:color w:val="000000" w:themeColor="text1"/>
                <w:sz w:val="22"/>
                <w:szCs w:val="22"/>
              </w:rPr>
              <w:t>Community</w:t>
            </w:r>
          </w:p>
          <w:p w:rsidR="004D260F" w:rsidRPr="0018698E" w:rsidRDefault="004D260F" w:rsidP="00753014">
            <w:pPr>
              <w:pStyle w:val="ListParagraph"/>
              <w:ind w:left="0"/>
              <w:jc w:val="center"/>
              <w:rPr>
                <w:rFonts w:ascii="Arial" w:hAnsi="Arial" w:cs="Arial"/>
                <w:b/>
                <w:color w:val="000000" w:themeColor="text1"/>
                <w:sz w:val="22"/>
                <w:szCs w:val="22"/>
              </w:rPr>
            </w:pPr>
            <w:r w:rsidRPr="0018698E">
              <w:rPr>
                <w:rFonts w:ascii="Arial" w:hAnsi="Arial" w:cs="Arial"/>
                <w:b/>
                <w:color w:val="000000" w:themeColor="text1"/>
                <w:sz w:val="22"/>
                <w:szCs w:val="22"/>
              </w:rPr>
              <w:t>MH (N = 162)</w:t>
            </w:r>
          </w:p>
          <w:p w:rsidR="004D260F" w:rsidRPr="0018698E" w:rsidRDefault="004D260F" w:rsidP="00753014">
            <w:pPr>
              <w:pStyle w:val="ListParagraph"/>
              <w:ind w:left="0"/>
              <w:jc w:val="center"/>
              <w:rPr>
                <w:rFonts w:ascii="Arial" w:hAnsi="Arial" w:cs="Arial"/>
                <w:color w:val="000000" w:themeColor="text1"/>
                <w:sz w:val="22"/>
                <w:szCs w:val="22"/>
              </w:rPr>
            </w:pPr>
            <w:r w:rsidRPr="0018698E">
              <w:rPr>
                <w:rFonts w:ascii="Arial" w:hAnsi="Arial" w:cs="Arial"/>
                <w:color w:val="000000" w:themeColor="text1"/>
                <w:sz w:val="22"/>
                <w:szCs w:val="22"/>
              </w:rPr>
              <w:t>Mean (SD)</w:t>
            </w:r>
          </w:p>
        </w:tc>
      </w:tr>
      <w:tr w:rsidR="004D260F" w:rsidTr="0018698E">
        <w:tc>
          <w:tcPr>
            <w:tcW w:w="4644" w:type="dxa"/>
            <w:tcBorders>
              <w:top w:val="single" w:sz="4" w:space="0" w:color="auto"/>
              <w:left w:val="nil"/>
              <w:bottom w:val="nil"/>
              <w:right w:val="nil"/>
            </w:tcBorders>
            <w:shd w:val="clear" w:color="auto" w:fill="auto"/>
            <w:vAlign w:val="bottom"/>
          </w:tcPr>
          <w:p w:rsidR="004D260F" w:rsidRPr="00B624BD" w:rsidRDefault="004D260F" w:rsidP="00753014">
            <w:pPr>
              <w:ind w:left="284" w:hanging="284"/>
              <w:rPr>
                <w:rFonts w:ascii="Arial" w:hAnsi="Arial" w:cs="Arial"/>
                <w:color w:val="000000" w:themeColor="text1"/>
                <w:sz w:val="22"/>
                <w:szCs w:val="22"/>
              </w:rPr>
            </w:pPr>
            <w:r w:rsidRPr="00B624BD">
              <w:rPr>
                <w:rFonts w:ascii="Arial" w:hAnsi="Arial" w:cs="Arial"/>
                <w:b/>
                <w:color w:val="000000" w:themeColor="text1"/>
                <w:sz w:val="22"/>
                <w:szCs w:val="22"/>
              </w:rPr>
              <w:t xml:space="preserve">Managing Mental Health </w:t>
            </w:r>
            <w:r w:rsidRPr="00B624BD">
              <w:rPr>
                <w:rFonts w:ascii="Arial" w:hAnsi="Arial" w:cs="Arial"/>
                <w:color w:val="000000" w:themeColor="text1"/>
                <w:sz w:val="22"/>
                <w:szCs w:val="22"/>
              </w:rPr>
              <w:t>(managing symptoms and encouraging self-reliance)</w:t>
            </w:r>
          </w:p>
        </w:tc>
        <w:tc>
          <w:tcPr>
            <w:tcW w:w="2552" w:type="dxa"/>
            <w:tcBorders>
              <w:top w:val="single" w:sz="4" w:space="0" w:color="auto"/>
              <w:left w:val="nil"/>
              <w:bottom w:val="nil"/>
              <w:right w:val="nil"/>
            </w:tcBorders>
            <w:shd w:val="clear" w:color="auto" w:fill="auto"/>
            <w:vAlign w:val="center"/>
          </w:tcPr>
          <w:p w:rsidR="004D260F" w:rsidRPr="00B624BD" w:rsidRDefault="004D260F" w:rsidP="00753014">
            <w:pPr>
              <w:pStyle w:val="ListParagraph"/>
              <w:ind w:left="0"/>
              <w:jc w:val="center"/>
              <w:rPr>
                <w:rFonts w:ascii="Arial" w:hAnsi="Arial" w:cs="Arial"/>
                <w:color w:val="000000" w:themeColor="text1"/>
                <w:sz w:val="22"/>
                <w:szCs w:val="22"/>
              </w:rPr>
            </w:pPr>
            <w:r w:rsidRPr="00B624BD">
              <w:rPr>
                <w:rFonts w:ascii="Arial" w:hAnsi="Arial" w:cs="Arial"/>
                <w:color w:val="000000" w:themeColor="text1"/>
                <w:sz w:val="22"/>
                <w:szCs w:val="22"/>
              </w:rPr>
              <w:t>3.72 (0.95)</w:t>
            </w:r>
          </w:p>
        </w:tc>
        <w:tc>
          <w:tcPr>
            <w:tcW w:w="2268" w:type="dxa"/>
            <w:tcBorders>
              <w:top w:val="single" w:sz="4" w:space="0" w:color="auto"/>
              <w:left w:val="nil"/>
              <w:bottom w:val="nil"/>
              <w:right w:val="nil"/>
            </w:tcBorders>
            <w:shd w:val="clear" w:color="auto" w:fill="auto"/>
            <w:vAlign w:val="center"/>
          </w:tcPr>
          <w:p w:rsidR="004D260F" w:rsidRPr="00B624BD" w:rsidRDefault="004D260F" w:rsidP="00753014">
            <w:pPr>
              <w:pStyle w:val="ListParagraph"/>
              <w:ind w:left="0"/>
              <w:jc w:val="center"/>
              <w:rPr>
                <w:rFonts w:ascii="Arial" w:hAnsi="Arial" w:cs="Arial"/>
                <w:color w:val="000000" w:themeColor="text1"/>
                <w:sz w:val="22"/>
                <w:szCs w:val="22"/>
              </w:rPr>
            </w:pPr>
            <w:r w:rsidRPr="00B624BD">
              <w:rPr>
                <w:rFonts w:ascii="Arial" w:hAnsi="Arial" w:cs="Arial"/>
                <w:color w:val="000000" w:themeColor="text1"/>
                <w:sz w:val="22"/>
                <w:szCs w:val="22"/>
              </w:rPr>
              <w:t>4.13 (0.91)</w:t>
            </w:r>
          </w:p>
        </w:tc>
        <w:tc>
          <w:tcPr>
            <w:tcW w:w="2410" w:type="dxa"/>
            <w:tcBorders>
              <w:top w:val="single" w:sz="4" w:space="0" w:color="auto"/>
              <w:left w:val="nil"/>
              <w:bottom w:val="nil"/>
              <w:right w:val="nil"/>
            </w:tcBorders>
            <w:shd w:val="clear" w:color="auto" w:fill="auto"/>
            <w:vAlign w:val="center"/>
          </w:tcPr>
          <w:p w:rsidR="004D260F" w:rsidRPr="00B624BD" w:rsidRDefault="004D260F" w:rsidP="00753014">
            <w:pPr>
              <w:pStyle w:val="ListParagraph"/>
              <w:ind w:left="0"/>
              <w:jc w:val="center"/>
              <w:rPr>
                <w:rFonts w:ascii="Arial" w:hAnsi="Arial" w:cs="Arial"/>
                <w:color w:val="000000" w:themeColor="text1"/>
                <w:sz w:val="22"/>
                <w:szCs w:val="22"/>
              </w:rPr>
            </w:pPr>
            <w:r w:rsidRPr="00B624BD">
              <w:rPr>
                <w:rFonts w:ascii="Arial" w:hAnsi="Arial" w:cs="Arial"/>
                <w:color w:val="000000" w:themeColor="text1"/>
                <w:sz w:val="22"/>
                <w:szCs w:val="22"/>
              </w:rPr>
              <w:t>3.79 (0.98)</w:t>
            </w:r>
          </w:p>
        </w:tc>
        <w:tc>
          <w:tcPr>
            <w:tcW w:w="2409" w:type="dxa"/>
            <w:tcBorders>
              <w:top w:val="single" w:sz="4" w:space="0" w:color="auto"/>
              <w:left w:val="nil"/>
              <w:bottom w:val="nil"/>
              <w:right w:val="nil"/>
            </w:tcBorders>
            <w:shd w:val="clear" w:color="auto" w:fill="auto"/>
            <w:vAlign w:val="center"/>
          </w:tcPr>
          <w:p w:rsidR="004D260F" w:rsidRPr="00B624BD" w:rsidRDefault="004D260F" w:rsidP="00753014">
            <w:pPr>
              <w:pStyle w:val="ListParagraph"/>
              <w:ind w:left="318"/>
              <w:rPr>
                <w:rFonts w:ascii="Arial" w:hAnsi="Arial" w:cs="Arial"/>
                <w:color w:val="000000" w:themeColor="text1"/>
                <w:sz w:val="22"/>
                <w:szCs w:val="22"/>
              </w:rPr>
            </w:pPr>
            <w:r w:rsidRPr="00B624BD">
              <w:rPr>
                <w:rFonts w:ascii="Arial" w:hAnsi="Arial" w:cs="Arial"/>
                <w:color w:val="000000" w:themeColor="text1"/>
                <w:sz w:val="22"/>
                <w:szCs w:val="22"/>
              </w:rPr>
              <w:t>4.31 (0.82)***</w:t>
            </w:r>
          </w:p>
        </w:tc>
      </w:tr>
      <w:tr w:rsidR="004D260F" w:rsidTr="0018698E">
        <w:tc>
          <w:tcPr>
            <w:tcW w:w="4644" w:type="dxa"/>
            <w:tcBorders>
              <w:top w:val="nil"/>
              <w:left w:val="nil"/>
              <w:bottom w:val="nil"/>
              <w:right w:val="nil"/>
            </w:tcBorders>
            <w:shd w:val="clear" w:color="auto" w:fill="auto"/>
            <w:vAlign w:val="bottom"/>
          </w:tcPr>
          <w:p w:rsidR="004D260F" w:rsidRPr="00B624BD" w:rsidRDefault="004D260F" w:rsidP="00753014">
            <w:pPr>
              <w:ind w:left="284" w:hanging="284"/>
              <w:rPr>
                <w:rFonts w:ascii="Arial" w:hAnsi="Arial" w:cs="Arial"/>
                <w:color w:val="000000" w:themeColor="text1"/>
                <w:sz w:val="22"/>
                <w:szCs w:val="22"/>
              </w:rPr>
            </w:pPr>
            <w:r w:rsidRPr="00B624BD">
              <w:rPr>
                <w:rFonts w:ascii="Arial" w:hAnsi="Arial" w:cs="Arial"/>
                <w:b/>
                <w:color w:val="000000" w:themeColor="text1"/>
                <w:sz w:val="22"/>
                <w:szCs w:val="22"/>
              </w:rPr>
              <w:t xml:space="preserve">Living Skills </w:t>
            </w:r>
            <w:r w:rsidRPr="00B624BD">
              <w:rPr>
                <w:rFonts w:ascii="Arial" w:hAnsi="Arial" w:cs="Arial"/>
                <w:color w:val="000000" w:themeColor="text1"/>
                <w:sz w:val="22"/>
                <w:szCs w:val="22"/>
              </w:rPr>
              <w:t>(ability to live independently, shop, cook, clean, budget)</w:t>
            </w:r>
          </w:p>
        </w:tc>
        <w:tc>
          <w:tcPr>
            <w:tcW w:w="2552" w:type="dxa"/>
            <w:tcBorders>
              <w:top w:val="nil"/>
              <w:left w:val="nil"/>
              <w:bottom w:val="nil"/>
              <w:right w:val="nil"/>
            </w:tcBorders>
            <w:shd w:val="clear" w:color="auto" w:fill="auto"/>
            <w:vAlign w:val="center"/>
          </w:tcPr>
          <w:p w:rsidR="004D260F" w:rsidRPr="00B624BD" w:rsidRDefault="004D260F" w:rsidP="00753014">
            <w:pPr>
              <w:pStyle w:val="ListParagraph"/>
              <w:ind w:left="0"/>
              <w:jc w:val="center"/>
              <w:rPr>
                <w:rFonts w:ascii="Arial" w:hAnsi="Arial" w:cs="Arial"/>
                <w:color w:val="000000" w:themeColor="text1"/>
                <w:sz w:val="22"/>
                <w:szCs w:val="22"/>
              </w:rPr>
            </w:pPr>
            <w:r w:rsidRPr="00B624BD">
              <w:rPr>
                <w:rFonts w:ascii="Arial" w:hAnsi="Arial" w:cs="Arial"/>
                <w:color w:val="000000" w:themeColor="text1"/>
                <w:sz w:val="22"/>
                <w:szCs w:val="22"/>
              </w:rPr>
              <w:t>3.43 (1.06)</w:t>
            </w:r>
          </w:p>
        </w:tc>
        <w:tc>
          <w:tcPr>
            <w:tcW w:w="2268" w:type="dxa"/>
            <w:tcBorders>
              <w:top w:val="nil"/>
              <w:left w:val="nil"/>
              <w:bottom w:val="nil"/>
              <w:right w:val="nil"/>
            </w:tcBorders>
            <w:shd w:val="clear" w:color="auto" w:fill="auto"/>
            <w:vAlign w:val="center"/>
          </w:tcPr>
          <w:p w:rsidR="004D260F" w:rsidRPr="00B624BD" w:rsidRDefault="004D260F" w:rsidP="00753014">
            <w:pPr>
              <w:pStyle w:val="ListParagraph"/>
              <w:ind w:left="0"/>
              <w:jc w:val="center"/>
              <w:rPr>
                <w:rFonts w:ascii="Arial" w:hAnsi="Arial" w:cs="Arial"/>
                <w:color w:val="000000" w:themeColor="text1"/>
                <w:sz w:val="22"/>
                <w:szCs w:val="22"/>
              </w:rPr>
            </w:pPr>
            <w:r w:rsidRPr="00B624BD">
              <w:rPr>
                <w:rFonts w:ascii="Arial" w:hAnsi="Arial" w:cs="Arial"/>
                <w:color w:val="000000" w:themeColor="text1"/>
                <w:sz w:val="22"/>
                <w:szCs w:val="22"/>
              </w:rPr>
              <w:t>3.41 (1.15)</w:t>
            </w:r>
          </w:p>
        </w:tc>
        <w:tc>
          <w:tcPr>
            <w:tcW w:w="2410" w:type="dxa"/>
            <w:tcBorders>
              <w:top w:val="nil"/>
              <w:left w:val="nil"/>
              <w:bottom w:val="nil"/>
              <w:right w:val="nil"/>
            </w:tcBorders>
            <w:shd w:val="clear" w:color="auto" w:fill="auto"/>
            <w:vAlign w:val="center"/>
          </w:tcPr>
          <w:p w:rsidR="004D260F" w:rsidRPr="00B624BD" w:rsidRDefault="004D260F" w:rsidP="00753014">
            <w:pPr>
              <w:pStyle w:val="ListParagraph"/>
              <w:ind w:left="0"/>
              <w:jc w:val="center"/>
              <w:rPr>
                <w:rFonts w:ascii="Arial" w:hAnsi="Arial" w:cs="Arial"/>
                <w:color w:val="000000" w:themeColor="text1"/>
                <w:sz w:val="22"/>
                <w:szCs w:val="22"/>
              </w:rPr>
            </w:pPr>
            <w:r w:rsidRPr="00B624BD">
              <w:rPr>
                <w:rFonts w:ascii="Arial" w:hAnsi="Arial" w:cs="Arial"/>
                <w:color w:val="000000" w:themeColor="text1"/>
                <w:sz w:val="22"/>
                <w:szCs w:val="22"/>
              </w:rPr>
              <w:t>3.07 (1.14)</w:t>
            </w:r>
          </w:p>
        </w:tc>
        <w:tc>
          <w:tcPr>
            <w:tcW w:w="2409" w:type="dxa"/>
            <w:tcBorders>
              <w:top w:val="nil"/>
              <w:left w:val="nil"/>
              <w:bottom w:val="nil"/>
              <w:right w:val="nil"/>
            </w:tcBorders>
            <w:shd w:val="clear" w:color="auto" w:fill="auto"/>
            <w:vAlign w:val="center"/>
          </w:tcPr>
          <w:p w:rsidR="004D260F" w:rsidRPr="00B624BD" w:rsidRDefault="004D260F" w:rsidP="00753014">
            <w:pPr>
              <w:pStyle w:val="ListParagraph"/>
              <w:ind w:left="318"/>
              <w:rPr>
                <w:rFonts w:ascii="Arial" w:hAnsi="Arial" w:cs="Arial"/>
                <w:color w:val="000000" w:themeColor="text1"/>
                <w:sz w:val="22"/>
                <w:szCs w:val="22"/>
              </w:rPr>
            </w:pPr>
            <w:r w:rsidRPr="00B624BD">
              <w:rPr>
                <w:rFonts w:ascii="Arial" w:hAnsi="Arial" w:cs="Arial"/>
                <w:color w:val="000000" w:themeColor="text1"/>
                <w:sz w:val="22"/>
                <w:szCs w:val="22"/>
              </w:rPr>
              <w:t>3.58 (1.12)**</w:t>
            </w:r>
          </w:p>
        </w:tc>
      </w:tr>
      <w:tr w:rsidR="004D260F" w:rsidTr="0018698E">
        <w:tc>
          <w:tcPr>
            <w:tcW w:w="4644" w:type="dxa"/>
            <w:tcBorders>
              <w:top w:val="nil"/>
              <w:left w:val="nil"/>
              <w:bottom w:val="nil"/>
              <w:right w:val="nil"/>
            </w:tcBorders>
            <w:shd w:val="clear" w:color="auto" w:fill="auto"/>
          </w:tcPr>
          <w:p w:rsidR="004D260F" w:rsidRPr="00B624BD" w:rsidRDefault="004D260F" w:rsidP="00753014">
            <w:pPr>
              <w:ind w:left="284" w:hanging="284"/>
              <w:rPr>
                <w:rFonts w:ascii="Arial" w:hAnsi="Arial" w:cs="Arial"/>
                <w:color w:val="000000" w:themeColor="text1"/>
                <w:sz w:val="22"/>
                <w:szCs w:val="22"/>
              </w:rPr>
            </w:pPr>
            <w:r w:rsidRPr="00B624BD">
              <w:rPr>
                <w:rFonts w:ascii="Arial" w:hAnsi="Arial" w:cs="Arial"/>
                <w:b/>
                <w:color w:val="000000" w:themeColor="text1"/>
                <w:sz w:val="22"/>
                <w:szCs w:val="22"/>
              </w:rPr>
              <w:t xml:space="preserve">Trust and Hope </w:t>
            </w:r>
            <w:r w:rsidRPr="00B624BD">
              <w:rPr>
                <w:rFonts w:ascii="Arial" w:hAnsi="Arial" w:cs="Arial"/>
                <w:color w:val="000000" w:themeColor="text1"/>
                <w:sz w:val="22"/>
                <w:szCs w:val="22"/>
              </w:rPr>
              <w:t>(having a sense of hope, and trusting in self and others)</w:t>
            </w:r>
          </w:p>
        </w:tc>
        <w:tc>
          <w:tcPr>
            <w:tcW w:w="2552" w:type="dxa"/>
            <w:tcBorders>
              <w:top w:val="nil"/>
              <w:left w:val="nil"/>
              <w:bottom w:val="nil"/>
              <w:right w:val="nil"/>
            </w:tcBorders>
            <w:shd w:val="clear" w:color="auto" w:fill="auto"/>
            <w:vAlign w:val="center"/>
          </w:tcPr>
          <w:p w:rsidR="004D260F" w:rsidRPr="00B624BD" w:rsidRDefault="004D260F" w:rsidP="00753014">
            <w:pPr>
              <w:pStyle w:val="ListParagraph"/>
              <w:ind w:left="0"/>
              <w:jc w:val="center"/>
              <w:rPr>
                <w:rFonts w:ascii="Arial" w:hAnsi="Arial" w:cs="Arial"/>
                <w:color w:val="000000" w:themeColor="text1"/>
                <w:sz w:val="22"/>
                <w:szCs w:val="22"/>
              </w:rPr>
            </w:pPr>
            <w:r w:rsidRPr="00B624BD">
              <w:rPr>
                <w:rFonts w:ascii="Arial" w:hAnsi="Arial" w:cs="Arial"/>
                <w:color w:val="000000" w:themeColor="text1"/>
                <w:sz w:val="22"/>
                <w:szCs w:val="22"/>
              </w:rPr>
              <w:t>3.36 (1.09)</w:t>
            </w:r>
          </w:p>
        </w:tc>
        <w:tc>
          <w:tcPr>
            <w:tcW w:w="2268" w:type="dxa"/>
            <w:tcBorders>
              <w:top w:val="nil"/>
              <w:left w:val="nil"/>
              <w:bottom w:val="nil"/>
              <w:right w:val="nil"/>
            </w:tcBorders>
            <w:shd w:val="clear" w:color="auto" w:fill="auto"/>
            <w:vAlign w:val="center"/>
          </w:tcPr>
          <w:p w:rsidR="004D260F" w:rsidRPr="00B624BD" w:rsidRDefault="004D260F" w:rsidP="00753014">
            <w:pPr>
              <w:pStyle w:val="ListParagraph"/>
              <w:ind w:left="0"/>
              <w:jc w:val="center"/>
              <w:rPr>
                <w:rFonts w:ascii="Arial" w:hAnsi="Arial" w:cs="Arial"/>
                <w:color w:val="000000" w:themeColor="text1"/>
                <w:sz w:val="22"/>
                <w:szCs w:val="22"/>
              </w:rPr>
            </w:pPr>
            <w:r w:rsidRPr="00B624BD">
              <w:rPr>
                <w:rFonts w:ascii="Arial" w:hAnsi="Arial" w:cs="Arial"/>
                <w:color w:val="000000" w:themeColor="text1"/>
                <w:sz w:val="22"/>
                <w:szCs w:val="22"/>
              </w:rPr>
              <w:t>3.57 (1.13)</w:t>
            </w:r>
          </w:p>
        </w:tc>
        <w:tc>
          <w:tcPr>
            <w:tcW w:w="2410" w:type="dxa"/>
            <w:tcBorders>
              <w:top w:val="nil"/>
              <w:left w:val="nil"/>
              <w:bottom w:val="nil"/>
              <w:right w:val="nil"/>
            </w:tcBorders>
            <w:shd w:val="clear" w:color="auto" w:fill="auto"/>
            <w:vAlign w:val="center"/>
          </w:tcPr>
          <w:p w:rsidR="004D260F" w:rsidRPr="00B624BD" w:rsidRDefault="004D260F" w:rsidP="00753014">
            <w:pPr>
              <w:pStyle w:val="ListParagraph"/>
              <w:ind w:left="0"/>
              <w:jc w:val="center"/>
              <w:rPr>
                <w:rFonts w:ascii="Arial" w:hAnsi="Arial" w:cs="Arial"/>
                <w:color w:val="000000" w:themeColor="text1"/>
                <w:sz w:val="22"/>
                <w:szCs w:val="22"/>
              </w:rPr>
            </w:pPr>
            <w:r w:rsidRPr="00B624BD">
              <w:rPr>
                <w:rFonts w:ascii="Arial" w:hAnsi="Arial" w:cs="Arial"/>
                <w:color w:val="000000" w:themeColor="text1"/>
                <w:sz w:val="22"/>
                <w:szCs w:val="22"/>
              </w:rPr>
              <w:t>3.28 (1.15)</w:t>
            </w:r>
          </w:p>
        </w:tc>
        <w:tc>
          <w:tcPr>
            <w:tcW w:w="2409" w:type="dxa"/>
            <w:tcBorders>
              <w:top w:val="nil"/>
              <w:left w:val="nil"/>
              <w:bottom w:val="nil"/>
              <w:right w:val="nil"/>
            </w:tcBorders>
            <w:shd w:val="clear" w:color="auto" w:fill="auto"/>
            <w:vAlign w:val="center"/>
          </w:tcPr>
          <w:p w:rsidR="004D260F" w:rsidRPr="00B624BD" w:rsidRDefault="004D260F" w:rsidP="00753014">
            <w:pPr>
              <w:pStyle w:val="ListParagraph"/>
              <w:ind w:left="318"/>
              <w:rPr>
                <w:rFonts w:ascii="Arial" w:hAnsi="Arial" w:cs="Arial"/>
                <w:color w:val="000000" w:themeColor="text1"/>
                <w:sz w:val="22"/>
                <w:szCs w:val="22"/>
              </w:rPr>
            </w:pPr>
            <w:r w:rsidRPr="00B624BD">
              <w:rPr>
                <w:rFonts w:ascii="Arial" w:hAnsi="Arial" w:cs="Arial"/>
                <w:color w:val="000000" w:themeColor="text1"/>
                <w:sz w:val="22"/>
                <w:szCs w:val="22"/>
              </w:rPr>
              <w:t>3.72 (1.10)*</w:t>
            </w:r>
          </w:p>
        </w:tc>
      </w:tr>
      <w:tr w:rsidR="004D260F" w:rsidTr="0018698E">
        <w:tc>
          <w:tcPr>
            <w:tcW w:w="4644" w:type="dxa"/>
            <w:tcBorders>
              <w:top w:val="nil"/>
              <w:left w:val="nil"/>
              <w:bottom w:val="nil"/>
              <w:right w:val="nil"/>
            </w:tcBorders>
            <w:shd w:val="clear" w:color="auto" w:fill="auto"/>
            <w:vAlign w:val="bottom"/>
          </w:tcPr>
          <w:p w:rsidR="004D260F" w:rsidRPr="00B624BD" w:rsidRDefault="004D260F" w:rsidP="00753014">
            <w:pPr>
              <w:ind w:left="284" w:hanging="284"/>
              <w:rPr>
                <w:rFonts w:ascii="Arial" w:hAnsi="Arial" w:cs="Arial"/>
                <w:color w:val="000000" w:themeColor="text1"/>
                <w:sz w:val="22"/>
                <w:szCs w:val="22"/>
              </w:rPr>
            </w:pPr>
            <w:r w:rsidRPr="00B624BD">
              <w:rPr>
                <w:rFonts w:ascii="Arial" w:hAnsi="Arial" w:cs="Arial"/>
                <w:b/>
                <w:color w:val="000000" w:themeColor="text1"/>
                <w:sz w:val="22"/>
                <w:szCs w:val="22"/>
              </w:rPr>
              <w:t xml:space="preserve">Identity and Self Esteem </w:t>
            </w:r>
            <w:r w:rsidRPr="00B624BD">
              <w:rPr>
                <w:rFonts w:ascii="Arial" w:hAnsi="Arial" w:cs="Arial"/>
                <w:color w:val="000000" w:themeColor="text1"/>
                <w:sz w:val="22"/>
                <w:szCs w:val="22"/>
              </w:rPr>
              <w:t>(liking who they are, satisfying sense of self)</w:t>
            </w:r>
          </w:p>
        </w:tc>
        <w:tc>
          <w:tcPr>
            <w:tcW w:w="2552" w:type="dxa"/>
            <w:tcBorders>
              <w:top w:val="nil"/>
              <w:left w:val="nil"/>
              <w:bottom w:val="nil"/>
              <w:right w:val="nil"/>
            </w:tcBorders>
            <w:shd w:val="clear" w:color="auto" w:fill="auto"/>
            <w:vAlign w:val="center"/>
          </w:tcPr>
          <w:p w:rsidR="004D260F" w:rsidRPr="00B624BD" w:rsidRDefault="004D260F" w:rsidP="00753014">
            <w:pPr>
              <w:pStyle w:val="ListParagraph"/>
              <w:ind w:left="0"/>
              <w:jc w:val="center"/>
              <w:rPr>
                <w:rFonts w:ascii="Arial" w:hAnsi="Arial" w:cs="Arial"/>
                <w:color w:val="000000" w:themeColor="text1"/>
                <w:sz w:val="22"/>
                <w:szCs w:val="22"/>
              </w:rPr>
            </w:pPr>
            <w:r w:rsidRPr="00B624BD">
              <w:rPr>
                <w:rFonts w:ascii="Arial" w:hAnsi="Arial" w:cs="Arial"/>
                <w:color w:val="000000" w:themeColor="text1"/>
                <w:sz w:val="22"/>
                <w:szCs w:val="22"/>
              </w:rPr>
              <w:t>3.31 (1.06)</w:t>
            </w:r>
          </w:p>
        </w:tc>
        <w:tc>
          <w:tcPr>
            <w:tcW w:w="2268" w:type="dxa"/>
            <w:tcBorders>
              <w:top w:val="nil"/>
              <w:left w:val="nil"/>
              <w:bottom w:val="nil"/>
              <w:right w:val="nil"/>
            </w:tcBorders>
            <w:shd w:val="clear" w:color="auto" w:fill="auto"/>
            <w:vAlign w:val="center"/>
          </w:tcPr>
          <w:p w:rsidR="004D260F" w:rsidRPr="00B624BD" w:rsidRDefault="004D260F" w:rsidP="00753014">
            <w:pPr>
              <w:pStyle w:val="ListParagraph"/>
              <w:ind w:left="0"/>
              <w:jc w:val="center"/>
              <w:rPr>
                <w:rFonts w:ascii="Arial" w:hAnsi="Arial" w:cs="Arial"/>
                <w:color w:val="000000" w:themeColor="text1"/>
                <w:sz w:val="22"/>
                <w:szCs w:val="22"/>
              </w:rPr>
            </w:pPr>
            <w:r w:rsidRPr="00B624BD">
              <w:rPr>
                <w:rFonts w:ascii="Arial" w:hAnsi="Arial" w:cs="Arial"/>
                <w:color w:val="000000" w:themeColor="text1"/>
                <w:sz w:val="22"/>
                <w:szCs w:val="22"/>
              </w:rPr>
              <w:t>3.50 (1.14)</w:t>
            </w:r>
          </w:p>
        </w:tc>
        <w:tc>
          <w:tcPr>
            <w:tcW w:w="2410" w:type="dxa"/>
            <w:tcBorders>
              <w:top w:val="nil"/>
              <w:left w:val="nil"/>
              <w:bottom w:val="nil"/>
              <w:right w:val="nil"/>
            </w:tcBorders>
            <w:shd w:val="clear" w:color="auto" w:fill="auto"/>
            <w:vAlign w:val="center"/>
          </w:tcPr>
          <w:p w:rsidR="004D260F" w:rsidRPr="00B624BD" w:rsidRDefault="004D260F" w:rsidP="00753014">
            <w:pPr>
              <w:pStyle w:val="ListParagraph"/>
              <w:ind w:left="0"/>
              <w:jc w:val="center"/>
              <w:rPr>
                <w:rFonts w:ascii="Arial" w:hAnsi="Arial" w:cs="Arial"/>
                <w:color w:val="000000" w:themeColor="text1"/>
                <w:sz w:val="22"/>
                <w:szCs w:val="22"/>
              </w:rPr>
            </w:pPr>
            <w:r w:rsidRPr="00B624BD">
              <w:rPr>
                <w:rFonts w:ascii="Arial" w:hAnsi="Arial" w:cs="Arial"/>
                <w:color w:val="000000" w:themeColor="text1"/>
                <w:sz w:val="22"/>
                <w:szCs w:val="22"/>
              </w:rPr>
              <w:t>3.14 (1.06)</w:t>
            </w:r>
          </w:p>
        </w:tc>
        <w:tc>
          <w:tcPr>
            <w:tcW w:w="2409" w:type="dxa"/>
            <w:tcBorders>
              <w:top w:val="nil"/>
              <w:left w:val="nil"/>
              <w:bottom w:val="nil"/>
              <w:right w:val="nil"/>
            </w:tcBorders>
            <w:shd w:val="clear" w:color="auto" w:fill="auto"/>
            <w:vAlign w:val="center"/>
          </w:tcPr>
          <w:p w:rsidR="004D260F" w:rsidRPr="00B624BD" w:rsidRDefault="004D260F" w:rsidP="00753014">
            <w:pPr>
              <w:pStyle w:val="ListParagraph"/>
              <w:ind w:left="318"/>
              <w:rPr>
                <w:rFonts w:ascii="Arial" w:hAnsi="Arial" w:cs="Arial"/>
                <w:color w:val="000000" w:themeColor="text1"/>
                <w:sz w:val="22"/>
                <w:szCs w:val="22"/>
              </w:rPr>
            </w:pPr>
            <w:r w:rsidRPr="00B624BD">
              <w:rPr>
                <w:rFonts w:ascii="Arial" w:hAnsi="Arial" w:cs="Arial"/>
                <w:color w:val="000000" w:themeColor="text1"/>
                <w:sz w:val="22"/>
                <w:szCs w:val="22"/>
              </w:rPr>
              <w:t>3.69 (1.14)**</w:t>
            </w:r>
          </w:p>
        </w:tc>
      </w:tr>
      <w:tr w:rsidR="004D260F" w:rsidTr="0018698E">
        <w:tc>
          <w:tcPr>
            <w:tcW w:w="4644" w:type="dxa"/>
            <w:tcBorders>
              <w:top w:val="nil"/>
              <w:left w:val="nil"/>
              <w:bottom w:val="nil"/>
              <w:right w:val="nil"/>
            </w:tcBorders>
            <w:shd w:val="clear" w:color="auto" w:fill="auto"/>
            <w:vAlign w:val="bottom"/>
          </w:tcPr>
          <w:p w:rsidR="004D260F" w:rsidRPr="00B624BD" w:rsidRDefault="004D260F" w:rsidP="00753014">
            <w:pPr>
              <w:ind w:left="284" w:hanging="284"/>
              <w:rPr>
                <w:rFonts w:ascii="Arial" w:hAnsi="Arial" w:cs="Arial"/>
                <w:color w:val="000000" w:themeColor="text1"/>
                <w:sz w:val="22"/>
                <w:szCs w:val="22"/>
              </w:rPr>
            </w:pPr>
            <w:r w:rsidRPr="00B624BD">
              <w:rPr>
                <w:rFonts w:ascii="Arial" w:hAnsi="Arial" w:cs="Arial"/>
                <w:b/>
                <w:color w:val="000000" w:themeColor="text1"/>
                <w:sz w:val="22"/>
                <w:szCs w:val="22"/>
              </w:rPr>
              <w:t xml:space="preserve">Social Networks </w:t>
            </w:r>
            <w:r w:rsidRPr="00B624BD">
              <w:rPr>
                <w:rFonts w:ascii="Arial" w:hAnsi="Arial" w:cs="Arial"/>
                <w:color w:val="000000" w:themeColor="text1"/>
                <w:sz w:val="22"/>
                <w:szCs w:val="22"/>
              </w:rPr>
              <w:t>(encouraging participation and community activities)</w:t>
            </w:r>
          </w:p>
        </w:tc>
        <w:tc>
          <w:tcPr>
            <w:tcW w:w="2552" w:type="dxa"/>
            <w:tcBorders>
              <w:top w:val="nil"/>
              <w:left w:val="nil"/>
              <w:bottom w:val="nil"/>
              <w:right w:val="nil"/>
            </w:tcBorders>
            <w:shd w:val="clear" w:color="auto" w:fill="auto"/>
            <w:vAlign w:val="center"/>
          </w:tcPr>
          <w:p w:rsidR="004D260F" w:rsidRPr="00B624BD" w:rsidRDefault="004D260F" w:rsidP="00753014">
            <w:pPr>
              <w:pStyle w:val="ListParagraph"/>
              <w:ind w:left="0"/>
              <w:jc w:val="center"/>
              <w:rPr>
                <w:rFonts w:ascii="Arial" w:hAnsi="Arial" w:cs="Arial"/>
                <w:color w:val="000000" w:themeColor="text1"/>
                <w:sz w:val="22"/>
                <w:szCs w:val="22"/>
              </w:rPr>
            </w:pPr>
            <w:r w:rsidRPr="00B624BD">
              <w:rPr>
                <w:rFonts w:ascii="Arial" w:hAnsi="Arial" w:cs="Arial"/>
                <w:color w:val="000000" w:themeColor="text1"/>
                <w:sz w:val="22"/>
                <w:szCs w:val="22"/>
              </w:rPr>
              <w:t>3.27 (1.09)</w:t>
            </w:r>
          </w:p>
        </w:tc>
        <w:tc>
          <w:tcPr>
            <w:tcW w:w="2268" w:type="dxa"/>
            <w:tcBorders>
              <w:top w:val="nil"/>
              <w:left w:val="nil"/>
              <w:bottom w:val="nil"/>
              <w:right w:val="nil"/>
            </w:tcBorders>
            <w:shd w:val="clear" w:color="auto" w:fill="auto"/>
            <w:vAlign w:val="center"/>
          </w:tcPr>
          <w:p w:rsidR="004D260F" w:rsidRPr="00B624BD" w:rsidRDefault="004D260F" w:rsidP="00753014">
            <w:pPr>
              <w:pStyle w:val="ListParagraph"/>
              <w:ind w:left="0"/>
              <w:jc w:val="center"/>
              <w:rPr>
                <w:rFonts w:ascii="Arial" w:hAnsi="Arial" w:cs="Arial"/>
                <w:color w:val="000000" w:themeColor="text1"/>
                <w:sz w:val="22"/>
                <w:szCs w:val="22"/>
              </w:rPr>
            </w:pPr>
            <w:r w:rsidRPr="00B624BD">
              <w:rPr>
                <w:rFonts w:ascii="Arial" w:hAnsi="Arial" w:cs="Arial"/>
                <w:color w:val="000000" w:themeColor="text1"/>
                <w:sz w:val="22"/>
                <w:szCs w:val="22"/>
              </w:rPr>
              <w:t>3.49 (1.14)</w:t>
            </w:r>
          </w:p>
        </w:tc>
        <w:tc>
          <w:tcPr>
            <w:tcW w:w="2410" w:type="dxa"/>
            <w:tcBorders>
              <w:top w:val="nil"/>
              <w:left w:val="nil"/>
              <w:bottom w:val="nil"/>
              <w:right w:val="nil"/>
            </w:tcBorders>
            <w:shd w:val="clear" w:color="auto" w:fill="auto"/>
            <w:vAlign w:val="center"/>
          </w:tcPr>
          <w:p w:rsidR="004D260F" w:rsidRPr="00B624BD" w:rsidRDefault="004D260F" w:rsidP="00753014">
            <w:pPr>
              <w:pStyle w:val="ListParagraph"/>
              <w:ind w:left="0"/>
              <w:jc w:val="center"/>
              <w:rPr>
                <w:rFonts w:ascii="Arial" w:hAnsi="Arial" w:cs="Arial"/>
                <w:color w:val="000000" w:themeColor="text1"/>
                <w:sz w:val="22"/>
                <w:szCs w:val="22"/>
              </w:rPr>
            </w:pPr>
            <w:r w:rsidRPr="00B624BD">
              <w:rPr>
                <w:rFonts w:ascii="Arial" w:hAnsi="Arial" w:cs="Arial"/>
                <w:color w:val="000000" w:themeColor="text1"/>
                <w:sz w:val="22"/>
                <w:szCs w:val="22"/>
              </w:rPr>
              <w:t>3.06 (1.20)</w:t>
            </w:r>
          </w:p>
        </w:tc>
        <w:tc>
          <w:tcPr>
            <w:tcW w:w="2409" w:type="dxa"/>
            <w:tcBorders>
              <w:top w:val="nil"/>
              <w:left w:val="nil"/>
              <w:bottom w:val="nil"/>
              <w:right w:val="nil"/>
            </w:tcBorders>
            <w:shd w:val="clear" w:color="auto" w:fill="auto"/>
            <w:vAlign w:val="center"/>
          </w:tcPr>
          <w:p w:rsidR="004D260F" w:rsidRPr="00B624BD" w:rsidRDefault="004D260F" w:rsidP="00753014">
            <w:pPr>
              <w:pStyle w:val="ListParagraph"/>
              <w:ind w:left="318"/>
              <w:rPr>
                <w:rFonts w:ascii="Arial" w:hAnsi="Arial" w:cs="Arial"/>
                <w:color w:val="000000" w:themeColor="text1"/>
                <w:sz w:val="22"/>
                <w:szCs w:val="22"/>
              </w:rPr>
            </w:pPr>
            <w:r w:rsidRPr="00B624BD">
              <w:rPr>
                <w:rFonts w:ascii="Arial" w:hAnsi="Arial" w:cs="Arial"/>
                <w:color w:val="000000" w:themeColor="text1"/>
                <w:sz w:val="22"/>
                <w:szCs w:val="22"/>
              </w:rPr>
              <w:t>3.72 (1.05)***</w:t>
            </w:r>
          </w:p>
        </w:tc>
      </w:tr>
      <w:tr w:rsidR="004D260F" w:rsidTr="0018698E">
        <w:tc>
          <w:tcPr>
            <w:tcW w:w="4644" w:type="dxa"/>
            <w:tcBorders>
              <w:top w:val="nil"/>
              <w:left w:val="nil"/>
              <w:bottom w:val="nil"/>
              <w:right w:val="nil"/>
            </w:tcBorders>
            <w:shd w:val="clear" w:color="auto" w:fill="auto"/>
            <w:vAlign w:val="bottom"/>
          </w:tcPr>
          <w:p w:rsidR="004D260F" w:rsidRPr="00B624BD" w:rsidRDefault="004D260F" w:rsidP="00753014">
            <w:pPr>
              <w:ind w:left="284" w:hanging="284"/>
              <w:rPr>
                <w:rFonts w:ascii="Arial" w:hAnsi="Arial" w:cs="Arial"/>
                <w:color w:val="000000" w:themeColor="text1"/>
                <w:sz w:val="22"/>
                <w:szCs w:val="22"/>
              </w:rPr>
            </w:pPr>
            <w:r w:rsidRPr="00B624BD">
              <w:rPr>
                <w:rFonts w:ascii="Arial" w:hAnsi="Arial" w:cs="Arial"/>
                <w:b/>
                <w:color w:val="000000" w:themeColor="text1"/>
                <w:sz w:val="22"/>
                <w:szCs w:val="22"/>
              </w:rPr>
              <w:t xml:space="preserve">Self-care and Physical Health </w:t>
            </w:r>
            <w:r w:rsidRPr="00B624BD">
              <w:rPr>
                <w:rFonts w:ascii="Arial" w:hAnsi="Arial" w:cs="Arial"/>
                <w:color w:val="000000" w:themeColor="text1"/>
                <w:sz w:val="22"/>
                <w:szCs w:val="22"/>
              </w:rPr>
              <w:t>(managing physical health and self-care)</w:t>
            </w:r>
          </w:p>
        </w:tc>
        <w:tc>
          <w:tcPr>
            <w:tcW w:w="2552" w:type="dxa"/>
            <w:tcBorders>
              <w:top w:val="nil"/>
              <w:left w:val="nil"/>
              <w:bottom w:val="nil"/>
              <w:right w:val="nil"/>
            </w:tcBorders>
            <w:shd w:val="clear" w:color="auto" w:fill="auto"/>
            <w:vAlign w:val="center"/>
          </w:tcPr>
          <w:p w:rsidR="004D260F" w:rsidRPr="00B624BD" w:rsidRDefault="004D260F" w:rsidP="00753014">
            <w:pPr>
              <w:pStyle w:val="ListParagraph"/>
              <w:ind w:left="0"/>
              <w:jc w:val="center"/>
              <w:rPr>
                <w:rFonts w:ascii="Arial" w:hAnsi="Arial" w:cs="Arial"/>
                <w:color w:val="000000" w:themeColor="text1"/>
                <w:sz w:val="22"/>
                <w:szCs w:val="22"/>
              </w:rPr>
            </w:pPr>
            <w:r w:rsidRPr="00B624BD">
              <w:rPr>
                <w:rFonts w:ascii="Arial" w:hAnsi="Arial" w:cs="Arial"/>
                <w:color w:val="000000" w:themeColor="text1"/>
                <w:sz w:val="22"/>
                <w:szCs w:val="22"/>
              </w:rPr>
              <w:t>3.23 (1.01)</w:t>
            </w:r>
          </w:p>
        </w:tc>
        <w:tc>
          <w:tcPr>
            <w:tcW w:w="2268" w:type="dxa"/>
            <w:tcBorders>
              <w:top w:val="nil"/>
              <w:left w:val="nil"/>
              <w:bottom w:val="nil"/>
              <w:right w:val="nil"/>
            </w:tcBorders>
            <w:shd w:val="clear" w:color="auto" w:fill="auto"/>
            <w:vAlign w:val="center"/>
          </w:tcPr>
          <w:p w:rsidR="004D260F" w:rsidRPr="00B624BD" w:rsidRDefault="004D260F" w:rsidP="00753014">
            <w:pPr>
              <w:pStyle w:val="ListParagraph"/>
              <w:ind w:left="0"/>
              <w:jc w:val="center"/>
              <w:rPr>
                <w:rFonts w:ascii="Arial" w:hAnsi="Arial" w:cs="Arial"/>
                <w:color w:val="000000" w:themeColor="text1"/>
                <w:sz w:val="22"/>
                <w:szCs w:val="22"/>
              </w:rPr>
            </w:pPr>
            <w:r w:rsidRPr="00B624BD">
              <w:rPr>
                <w:rFonts w:ascii="Arial" w:hAnsi="Arial" w:cs="Arial"/>
                <w:color w:val="000000" w:themeColor="text1"/>
                <w:sz w:val="22"/>
                <w:szCs w:val="22"/>
              </w:rPr>
              <w:t>3.62 (1.03)</w:t>
            </w:r>
          </w:p>
        </w:tc>
        <w:tc>
          <w:tcPr>
            <w:tcW w:w="2410" w:type="dxa"/>
            <w:tcBorders>
              <w:top w:val="nil"/>
              <w:left w:val="nil"/>
              <w:bottom w:val="nil"/>
              <w:right w:val="nil"/>
            </w:tcBorders>
            <w:shd w:val="clear" w:color="auto" w:fill="auto"/>
            <w:vAlign w:val="center"/>
          </w:tcPr>
          <w:p w:rsidR="004D260F" w:rsidRPr="00B624BD" w:rsidRDefault="004D260F" w:rsidP="00753014">
            <w:pPr>
              <w:pStyle w:val="ListParagraph"/>
              <w:ind w:left="0"/>
              <w:jc w:val="center"/>
              <w:rPr>
                <w:rFonts w:ascii="Arial" w:hAnsi="Arial" w:cs="Arial"/>
                <w:color w:val="000000" w:themeColor="text1"/>
                <w:sz w:val="22"/>
                <w:szCs w:val="22"/>
              </w:rPr>
            </w:pPr>
            <w:r w:rsidRPr="00B624BD">
              <w:rPr>
                <w:rFonts w:ascii="Arial" w:hAnsi="Arial" w:cs="Arial"/>
                <w:color w:val="000000" w:themeColor="text1"/>
                <w:sz w:val="22"/>
                <w:szCs w:val="22"/>
              </w:rPr>
              <w:t>3.55 (1.01)</w:t>
            </w:r>
          </w:p>
        </w:tc>
        <w:tc>
          <w:tcPr>
            <w:tcW w:w="2409" w:type="dxa"/>
            <w:tcBorders>
              <w:top w:val="nil"/>
              <w:left w:val="nil"/>
              <w:bottom w:val="nil"/>
              <w:right w:val="nil"/>
            </w:tcBorders>
            <w:shd w:val="clear" w:color="auto" w:fill="auto"/>
            <w:vAlign w:val="center"/>
          </w:tcPr>
          <w:p w:rsidR="004D260F" w:rsidRPr="00B624BD" w:rsidRDefault="004D260F" w:rsidP="00753014">
            <w:pPr>
              <w:pStyle w:val="ListParagraph"/>
              <w:ind w:left="318"/>
              <w:rPr>
                <w:rFonts w:ascii="Arial" w:hAnsi="Arial" w:cs="Arial"/>
                <w:color w:val="000000" w:themeColor="text1"/>
                <w:sz w:val="22"/>
                <w:szCs w:val="22"/>
              </w:rPr>
            </w:pPr>
            <w:r w:rsidRPr="00B624BD">
              <w:rPr>
                <w:rFonts w:ascii="Arial" w:hAnsi="Arial" w:cs="Arial"/>
                <w:color w:val="000000" w:themeColor="text1"/>
                <w:sz w:val="22"/>
                <w:szCs w:val="22"/>
              </w:rPr>
              <w:t>3.66 (1.04)</w:t>
            </w:r>
          </w:p>
        </w:tc>
      </w:tr>
      <w:tr w:rsidR="004D260F" w:rsidTr="0018698E">
        <w:tc>
          <w:tcPr>
            <w:tcW w:w="4644" w:type="dxa"/>
            <w:tcBorders>
              <w:top w:val="nil"/>
              <w:left w:val="nil"/>
              <w:bottom w:val="nil"/>
              <w:right w:val="nil"/>
            </w:tcBorders>
            <w:shd w:val="clear" w:color="auto" w:fill="auto"/>
            <w:vAlign w:val="bottom"/>
          </w:tcPr>
          <w:p w:rsidR="004D260F" w:rsidRPr="00B624BD" w:rsidRDefault="004D260F" w:rsidP="00753014">
            <w:pPr>
              <w:ind w:left="284" w:hanging="284"/>
              <w:rPr>
                <w:rFonts w:ascii="Arial" w:hAnsi="Arial" w:cs="Arial"/>
                <w:color w:val="000000" w:themeColor="text1"/>
                <w:sz w:val="22"/>
                <w:szCs w:val="22"/>
              </w:rPr>
            </w:pPr>
            <w:r w:rsidRPr="00B624BD">
              <w:rPr>
                <w:rFonts w:ascii="Arial" w:hAnsi="Arial" w:cs="Arial"/>
                <w:b/>
                <w:color w:val="000000" w:themeColor="text1"/>
                <w:sz w:val="22"/>
                <w:szCs w:val="22"/>
              </w:rPr>
              <w:t xml:space="preserve">Relationships </w:t>
            </w:r>
            <w:r w:rsidRPr="00B624BD">
              <w:rPr>
                <w:rFonts w:ascii="Arial" w:hAnsi="Arial" w:cs="Arial"/>
                <w:color w:val="000000" w:themeColor="text1"/>
                <w:sz w:val="22"/>
                <w:szCs w:val="22"/>
              </w:rPr>
              <w:t>(developing closeness with family, friends or partner)</w:t>
            </w:r>
          </w:p>
        </w:tc>
        <w:tc>
          <w:tcPr>
            <w:tcW w:w="2552" w:type="dxa"/>
            <w:tcBorders>
              <w:top w:val="nil"/>
              <w:left w:val="nil"/>
              <w:bottom w:val="nil"/>
              <w:right w:val="nil"/>
            </w:tcBorders>
            <w:shd w:val="clear" w:color="auto" w:fill="auto"/>
            <w:vAlign w:val="center"/>
          </w:tcPr>
          <w:p w:rsidR="004D260F" w:rsidRPr="00B624BD" w:rsidRDefault="004D260F" w:rsidP="00753014">
            <w:pPr>
              <w:pStyle w:val="ListParagraph"/>
              <w:ind w:left="0"/>
              <w:jc w:val="center"/>
              <w:rPr>
                <w:rFonts w:ascii="Arial" w:hAnsi="Arial" w:cs="Arial"/>
                <w:color w:val="000000" w:themeColor="text1"/>
                <w:sz w:val="22"/>
                <w:szCs w:val="22"/>
              </w:rPr>
            </w:pPr>
            <w:r w:rsidRPr="00B624BD">
              <w:rPr>
                <w:rFonts w:ascii="Arial" w:hAnsi="Arial" w:cs="Arial"/>
                <w:color w:val="000000" w:themeColor="text1"/>
                <w:sz w:val="22"/>
                <w:szCs w:val="22"/>
              </w:rPr>
              <w:t>3.21 (1.03)</w:t>
            </w:r>
          </w:p>
        </w:tc>
        <w:tc>
          <w:tcPr>
            <w:tcW w:w="2268" w:type="dxa"/>
            <w:tcBorders>
              <w:top w:val="nil"/>
              <w:left w:val="nil"/>
              <w:bottom w:val="nil"/>
              <w:right w:val="nil"/>
            </w:tcBorders>
            <w:shd w:val="clear" w:color="auto" w:fill="auto"/>
            <w:vAlign w:val="center"/>
          </w:tcPr>
          <w:p w:rsidR="004D260F" w:rsidRPr="00B624BD" w:rsidRDefault="004D260F" w:rsidP="00753014">
            <w:pPr>
              <w:pStyle w:val="ListParagraph"/>
              <w:ind w:left="0"/>
              <w:jc w:val="center"/>
              <w:rPr>
                <w:rFonts w:ascii="Arial" w:hAnsi="Arial" w:cs="Arial"/>
                <w:color w:val="000000" w:themeColor="text1"/>
                <w:sz w:val="22"/>
                <w:szCs w:val="22"/>
              </w:rPr>
            </w:pPr>
            <w:r w:rsidRPr="00B624BD">
              <w:rPr>
                <w:rFonts w:ascii="Arial" w:hAnsi="Arial" w:cs="Arial"/>
                <w:color w:val="000000" w:themeColor="text1"/>
                <w:sz w:val="22"/>
                <w:szCs w:val="22"/>
              </w:rPr>
              <w:t>3.51 (1.11)</w:t>
            </w:r>
          </w:p>
        </w:tc>
        <w:tc>
          <w:tcPr>
            <w:tcW w:w="2410" w:type="dxa"/>
            <w:tcBorders>
              <w:top w:val="nil"/>
              <w:left w:val="nil"/>
              <w:bottom w:val="nil"/>
              <w:right w:val="nil"/>
            </w:tcBorders>
            <w:shd w:val="clear" w:color="auto" w:fill="auto"/>
            <w:vAlign w:val="center"/>
          </w:tcPr>
          <w:p w:rsidR="004D260F" w:rsidRPr="00B624BD" w:rsidRDefault="004D260F" w:rsidP="00753014">
            <w:pPr>
              <w:pStyle w:val="ListParagraph"/>
              <w:ind w:left="0"/>
              <w:jc w:val="center"/>
              <w:rPr>
                <w:rFonts w:ascii="Arial" w:hAnsi="Arial" w:cs="Arial"/>
                <w:color w:val="000000" w:themeColor="text1"/>
                <w:sz w:val="22"/>
                <w:szCs w:val="22"/>
              </w:rPr>
            </w:pPr>
            <w:r w:rsidRPr="00B624BD">
              <w:rPr>
                <w:rFonts w:ascii="Arial" w:hAnsi="Arial" w:cs="Arial"/>
                <w:color w:val="000000" w:themeColor="text1"/>
                <w:sz w:val="22"/>
                <w:szCs w:val="22"/>
              </w:rPr>
              <w:t>3.26 (1.08)</w:t>
            </w:r>
          </w:p>
        </w:tc>
        <w:tc>
          <w:tcPr>
            <w:tcW w:w="2409" w:type="dxa"/>
            <w:tcBorders>
              <w:top w:val="nil"/>
              <w:left w:val="nil"/>
              <w:bottom w:val="nil"/>
              <w:right w:val="nil"/>
            </w:tcBorders>
            <w:shd w:val="clear" w:color="auto" w:fill="auto"/>
            <w:vAlign w:val="center"/>
          </w:tcPr>
          <w:p w:rsidR="004D260F" w:rsidRPr="00B624BD" w:rsidRDefault="004D260F" w:rsidP="00753014">
            <w:pPr>
              <w:pStyle w:val="ListParagraph"/>
              <w:ind w:left="318"/>
              <w:rPr>
                <w:rFonts w:ascii="Arial" w:hAnsi="Arial" w:cs="Arial"/>
                <w:color w:val="000000" w:themeColor="text1"/>
                <w:sz w:val="22"/>
                <w:szCs w:val="22"/>
              </w:rPr>
            </w:pPr>
            <w:r w:rsidRPr="00B624BD">
              <w:rPr>
                <w:rFonts w:ascii="Arial" w:hAnsi="Arial" w:cs="Arial"/>
                <w:color w:val="000000" w:themeColor="text1"/>
                <w:sz w:val="22"/>
                <w:szCs w:val="22"/>
              </w:rPr>
              <w:t>3.64 (1.10)</w:t>
            </w:r>
          </w:p>
        </w:tc>
      </w:tr>
      <w:tr w:rsidR="004D260F" w:rsidTr="0018698E">
        <w:tc>
          <w:tcPr>
            <w:tcW w:w="4644" w:type="dxa"/>
            <w:tcBorders>
              <w:top w:val="nil"/>
              <w:left w:val="nil"/>
              <w:bottom w:val="nil"/>
              <w:right w:val="nil"/>
            </w:tcBorders>
            <w:shd w:val="clear" w:color="auto" w:fill="auto"/>
            <w:vAlign w:val="bottom"/>
          </w:tcPr>
          <w:p w:rsidR="004D260F" w:rsidRPr="00B624BD" w:rsidRDefault="004D260F" w:rsidP="00753014">
            <w:pPr>
              <w:ind w:left="284" w:hanging="284"/>
              <w:rPr>
                <w:rFonts w:ascii="Arial" w:hAnsi="Arial" w:cs="Arial"/>
                <w:color w:val="000000" w:themeColor="text1"/>
                <w:sz w:val="22"/>
                <w:szCs w:val="22"/>
              </w:rPr>
            </w:pPr>
            <w:r w:rsidRPr="00B624BD">
              <w:rPr>
                <w:rFonts w:ascii="Arial" w:hAnsi="Arial" w:cs="Arial"/>
                <w:b/>
                <w:color w:val="000000" w:themeColor="text1"/>
                <w:sz w:val="22"/>
                <w:szCs w:val="22"/>
              </w:rPr>
              <w:t xml:space="preserve">Responsibilities </w:t>
            </w:r>
            <w:r w:rsidRPr="00B624BD">
              <w:rPr>
                <w:rFonts w:ascii="Arial" w:hAnsi="Arial" w:cs="Arial"/>
                <w:color w:val="000000" w:themeColor="text1"/>
                <w:sz w:val="22"/>
                <w:szCs w:val="22"/>
              </w:rPr>
              <w:t>(self-managing daily responsibilities - i.e., bills, neighbours)</w:t>
            </w:r>
          </w:p>
        </w:tc>
        <w:tc>
          <w:tcPr>
            <w:tcW w:w="2552" w:type="dxa"/>
            <w:tcBorders>
              <w:top w:val="nil"/>
              <w:left w:val="nil"/>
              <w:bottom w:val="nil"/>
              <w:right w:val="nil"/>
            </w:tcBorders>
            <w:shd w:val="clear" w:color="auto" w:fill="auto"/>
            <w:vAlign w:val="center"/>
          </w:tcPr>
          <w:p w:rsidR="004D260F" w:rsidRPr="00B624BD" w:rsidRDefault="004D260F" w:rsidP="00753014">
            <w:pPr>
              <w:pStyle w:val="ListParagraph"/>
              <w:ind w:left="0"/>
              <w:jc w:val="center"/>
              <w:rPr>
                <w:rFonts w:ascii="Arial" w:hAnsi="Arial" w:cs="Arial"/>
                <w:color w:val="000000" w:themeColor="text1"/>
                <w:sz w:val="22"/>
                <w:szCs w:val="22"/>
              </w:rPr>
            </w:pPr>
            <w:r w:rsidRPr="00B624BD">
              <w:rPr>
                <w:rFonts w:ascii="Arial" w:hAnsi="Arial" w:cs="Arial"/>
                <w:color w:val="000000" w:themeColor="text1"/>
                <w:sz w:val="22"/>
                <w:szCs w:val="22"/>
              </w:rPr>
              <w:t>3.21 (1.03)</w:t>
            </w:r>
          </w:p>
        </w:tc>
        <w:tc>
          <w:tcPr>
            <w:tcW w:w="2268" w:type="dxa"/>
            <w:tcBorders>
              <w:top w:val="nil"/>
              <w:left w:val="nil"/>
              <w:bottom w:val="nil"/>
              <w:right w:val="nil"/>
            </w:tcBorders>
            <w:shd w:val="clear" w:color="auto" w:fill="auto"/>
            <w:vAlign w:val="center"/>
          </w:tcPr>
          <w:p w:rsidR="004D260F" w:rsidRPr="00B624BD" w:rsidRDefault="004D260F" w:rsidP="00753014">
            <w:pPr>
              <w:pStyle w:val="ListParagraph"/>
              <w:ind w:left="0"/>
              <w:jc w:val="center"/>
              <w:rPr>
                <w:rFonts w:ascii="Arial" w:hAnsi="Arial" w:cs="Arial"/>
                <w:color w:val="000000" w:themeColor="text1"/>
                <w:sz w:val="22"/>
                <w:szCs w:val="22"/>
              </w:rPr>
            </w:pPr>
            <w:r w:rsidRPr="00B624BD">
              <w:rPr>
                <w:rFonts w:ascii="Arial" w:hAnsi="Arial" w:cs="Arial"/>
                <w:color w:val="000000" w:themeColor="text1"/>
                <w:sz w:val="22"/>
                <w:szCs w:val="22"/>
              </w:rPr>
              <w:t>3.44 (1.08)</w:t>
            </w:r>
          </w:p>
        </w:tc>
        <w:tc>
          <w:tcPr>
            <w:tcW w:w="2410" w:type="dxa"/>
            <w:tcBorders>
              <w:top w:val="nil"/>
              <w:left w:val="nil"/>
              <w:bottom w:val="nil"/>
              <w:right w:val="nil"/>
            </w:tcBorders>
            <w:shd w:val="clear" w:color="auto" w:fill="auto"/>
            <w:vAlign w:val="center"/>
          </w:tcPr>
          <w:p w:rsidR="004D260F" w:rsidRPr="00B624BD" w:rsidRDefault="004D260F" w:rsidP="00753014">
            <w:pPr>
              <w:pStyle w:val="ListParagraph"/>
              <w:ind w:left="0"/>
              <w:jc w:val="center"/>
              <w:rPr>
                <w:rFonts w:ascii="Arial" w:hAnsi="Arial" w:cs="Arial"/>
                <w:color w:val="000000" w:themeColor="text1"/>
                <w:sz w:val="22"/>
                <w:szCs w:val="22"/>
              </w:rPr>
            </w:pPr>
            <w:r w:rsidRPr="00B624BD">
              <w:rPr>
                <w:rFonts w:ascii="Arial" w:hAnsi="Arial" w:cs="Arial"/>
                <w:color w:val="000000" w:themeColor="text1"/>
                <w:sz w:val="22"/>
                <w:szCs w:val="22"/>
              </w:rPr>
              <w:t>3.11 (1.16)</w:t>
            </w:r>
          </w:p>
        </w:tc>
        <w:tc>
          <w:tcPr>
            <w:tcW w:w="2409" w:type="dxa"/>
            <w:tcBorders>
              <w:top w:val="nil"/>
              <w:left w:val="nil"/>
              <w:bottom w:val="nil"/>
              <w:right w:val="nil"/>
            </w:tcBorders>
            <w:shd w:val="clear" w:color="auto" w:fill="auto"/>
            <w:vAlign w:val="center"/>
          </w:tcPr>
          <w:p w:rsidR="004D260F" w:rsidRPr="00B624BD" w:rsidRDefault="004D260F" w:rsidP="00753014">
            <w:pPr>
              <w:pStyle w:val="ListParagraph"/>
              <w:ind w:left="318"/>
              <w:rPr>
                <w:rFonts w:ascii="Arial" w:hAnsi="Arial" w:cs="Arial"/>
                <w:color w:val="000000" w:themeColor="text1"/>
                <w:sz w:val="22"/>
                <w:szCs w:val="22"/>
              </w:rPr>
            </w:pPr>
            <w:r w:rsidRPr="00B624BD">
              <w:rPr>
                <w:rFonts w:ascii="Arial" w:hAnsi="Arial" w:cs="Arial"/>
                <w:color w:val="000000" w:themeColor="text1"/>
                <w:sz w:val="22"/>
                <w:szCs w:val="22"/>
              </w:rPr>
              <w:t>3.61 (1.01)**</w:t>
            </w:r>
          </w:p>
        </w:tc>
      </w:tr>
      <w:tr w:rsidR="004D260F" w:rsidTr="0018698E">
        <w:tc>
          <w:tcPr>
            <w:tcW w:w="4644" w:type="dxa"/>
            <w:tcBorders>
              <w:top w:val="nil"/>
              <w:left w:val="nil"/>
              <w:bottom w:val="nil"/>
              <w:right w:val="nil"/>
            </w:tcBorders>
            <w:shd w:val="clear" w:color="auto" w:fill="auto"/>
            <w:vAlign w:val="bottom"/>
          </w:tcPr>
          <w:p w:rsidR="004D260F" w:rsidRPr="00B624BD" w:rsidRDefault="004D260F" w:rsidP="00753014">
            <w:pPr>
              <w:ind w:left="284" w:hanging="284"/>
              <w:rPr>
                <w:rFonts w:ascii="Arial" w:hAnsi="Arial" w:cs="Arial"/>
                <w:color w:val="000000" w:themeColor="text1"/>
                <w:sz w:val="22"/>
                <w:szCs w:val="22"/>
              </w:rPr>
            </w:pPr>
            <w:r w:rsidRPr="00B624BD">
              <w:rPr>
                <w:rFonts w:ascii="Arial" w:hAnsi="Arial" w:cs="Arial"/>
                <w:b/>
                <w:color w:val="000000" w:themeColor="text1"/>
                <w:sz w:val="22"/>
                <w:szCs w:val="22"/>
              </w:rPr>
              <w:t xml:space="preserve">Addictive Behaviour </w:t>
            </w:r>
            <w:r w:rsidRPr="00B624BD">
              <w:rPr>
                <w:rFonts w:ascii="Arial" w:hAnsi="Arial" w:cs="Arial"/>
                <w:color w:val="000000" w:themeColor="text1"/>
                <w:sz w:val="22"/>
                <w:szCs w:val="22"/>
              </w:rPr>
              <w:t>(developing coping strategies to reduce potential harm)</w:t>
            </w:r>
          </w:p>
        </w:tc>
        <w:tc>
          <w:tcPr>
            <w:tcW w:w="2552" w:type="dxa"/>
            <w:tcBorders>
              <w:top w:val="nil"/>
              <w:left w:val="nil"/>
              <w:bottom w:val="nil"/>
              <w:right w:val="nil"/>
            </w:tcBorders>
            <w:shd w:val="clear" w:color="auto" w:fill="auto"/>
            <w:vAlign w:val="center"/>
          </w:tcPr>
          <w:p w:rsidR="004D260F" w:rsidRPr="00B624BD" w:rsidRDefault="004D260F" w:rsidP="00753014">
            <w:pPr>
              <w:pStyle w:val="ListParagraph"/>
              <w:ind w:left="0"/>
              <w:jc w:val="center"/>
              <w:rPr>
                <w:rFonts w:ascii="Arial" w:hAnsi="Arial" w:cs="Arial"/>
                <w:color w:val="000000" w:themeColor="text1"/>
                <w:sz w:val="22"/>
                <w:szCs w:val="22"/>
              </w:rPr>
            </w:pPr>
            <w:r w:rsidRPr="00B624BD">
              <w:rPr>
                <w:rFonts w:ascii="Arial" w:hAnsi="Arial" w:cs="Arial"/>
                <w:color w:val="000000" w:themeColor="text1"/>
                <w:sz w:val="22"/>
                <w:szCs w:val="22"/>
              </w:rPr>
              <w:t>3.13 (1.05)</w:t>
            </w:r>
          </w:p>
        </w:tc>
        <w:tc>
          <w:tcPr>
            <w:tcW w:w="2268" w:type="dxa"/>
            <w:tcBorders>
              <w:top w:val="nil"/>
              <w:left w:val="nil"/>
              <w:bottom w:val="nil"/>
              <w:right w:val="nil"/>
            </w:tcBorders>
            <w:shd w:val="clear" w:color="auto" w:fill="auto"/>
            <w:vAlign w:val="center"/>
          </w:tcPr>
          <w:p w:rsidR="004D260F" w:rsidRPr="00B624BD" w:rsidRDefault="004D260F" w:rsidP="00753014">
            <w:pPr>
              <w:pStyle w:val="ListParagraph"/>
              <w:ind w:left="0"/>
              <w:jc w:val="center"/>
              <w:rPr>
                <w:rFonts w:ascii="Arial" w:hAnsi="Arial" w:cs="Arial"/>
                <w:color w:val="000000" w:themeColor="text1"/>
                <w:sz w:val="22"/>
                <w:szCs w:val="22"/>
              </w:rPr>
            </w:pPr>
            <w:r w:rsidRPr="00B624BD">
              <w:rPr>
                <w:rFonts w:ascii="Arial" w:hAnsi="Arial" w:cs="Arial"/>
                <w:color w:val="000000" w:themeColor="text1"/>
                <w:sz w:val="22"/>
                <w:szCs w:val="22"/>
              </w:rPr>
              <w:t>3.54 (1.09)</w:t>
            </w:r>
          </w:p>
        </w:tc>
        <w:tc>
          <w:tcPr>
            <w:tcW w:w="2410" w:type="dxa"/>
            <w:tcBorders>
              <w:top w:val="nil"/>
              <w:left w:val="nil"/>
              <w:bottom w:val="nil"/>
              <w:right w:val="nil"/>
            </w:tcBorders>
            <w:shd w:val="clear" w:color="auto" w:fill="auto"/>
            <w:vAlign w:val="center"/>
          </w:tcPr>
          <w:p w:rsidR="004D260F" w:rsidRPr="00B624BD" w:rsidRDefault="004D260F" w:rsidP="00753014">
            <w:pPr>
              <w:pStyle w:val="ListParagraph"/>
              <w:ind w:left="0"/>
              <w:jc w:val="center"/>
              <w:rPr>
                <w:rFonts w:ascii="Arial" w:hAnsi="Arial" w:cs="Arial"/>
                <w:color w:val="000000" w:themeColor="text1"/>
                <w:sz w:val="22"/>
                <w:szCs w:val="22"/>
              </w:rPr>
            </w:pPr>
            <w:r w:rsidRPr="00B624BD">
              <w:rPr>
                <w:rFonts w:ascii="Arial" w:hAnsi="Arial" w:cs="Arial"/>
                <w:color w:val="000000" w:themeColor="text1"/>
                <w:sz w:val="22"/>
                <w:szCs w:val="22"/>
              </w:rPr>
              <w:t>3.33 (0.98)</w:t>
            </w:r>
          </w:p>
        </w:tc>
        <w:tc>
          <w:tcPr>
            <w:tcW w:w="2409" w:type="dxa"/>
            <w:tcBorders>
              <w:top w:val="nil"/>
              <w:left w:val="nil"/>
              <w:bottom w:val="nil"/>
              <w:right w:val="nil"/>
            </w:tcBorders>
            <w:shd w:val="clear" w:color="auto" w:fill="auto"/>
            <w:vAlign w:val="center"/>
          </w:tcPr>
          <w:p w:rsidR="004D260F" w:rsidRPr="00B624BD" w:rsidRDefault="004D260F" w:rsidP="00753014">
            <w:pPr>
              <w:pStyle w:val="ListParagraph"/>
              <w:ind w:left="318"/>
              <w:rPr>
                <w:rFonts w:ascii="Arial" w:hAnsi="Arial" w:cs="Arial"/>
                <w:color w:val="000000" w:themeColor="text1"/>
                <w:sz w:val="22"/>
                <w:szCs w:val="22"/>
              </w:rPr>
            </w:pPr>
            <w:r w:rsidRPr="00B624BD">
              <w:rPr>
                <w:rFonts w:ascii="Arial" w:hAnsi="Arial" w:cs="Arial"/>
                <w:color w:val="000000" w:themeColor="text1"/>
                <w:sz w:val="22"/>
                <w:szCs w:val="22"/>
              </w:rPr>
              <w:t>3.65 (1.13)</w:t>
            </w:r>
          </w:p>
        </w:tc>
      </w:tr>
      <w:tr w:rsidR="004D260F" w:rsidTr="0018698E">
        <w:tc>
          <w:tcPr>
            <w:tcW w:w="4644" w:type="dxa"/>
            <w:tcBorders>
              <w:top w:val="nil"/>
              <w:left w:val="nil"/>
              <w:bottom w:val="single" w:sz="4" w:space="0" w:color="auto"/>
              <w:right w:val="nil"/>
            </w:tcBorders>
            <w:shd w:val="clear" w:color="auto" w:fill="auto"/>
            <w:vAlign w:val="bottom"/>
          </w:tcPr>
          <w:p w:rsidR="004D260F" w:rsidRPr="00B624BD" w:rsidRDefault="004D260F" w:rsidP="00753014">
            <w:pPr>
              <w:ind w:left="284" w:hanging="284"/>
              <w:rPr>
                <w:rFonts w:ascii="Arial" w:hAnsi="Arial" w:cs="Arial"/>
                <w:color w:val="000000" w:themeColor="text1"/>
                <w:sz w:val="22"/>
                <w:szCs w:val="22"/>
              </w:rPr>
            </w:pPr>
            <w:r w:rsidRPr="00B624BD">
              <w:rPr>
                <w:rFonts w:ascii="Arial" w:hAnsi="Arial" w:cs="Arial"/>
                <w:b/>
                <w:color w:val="000000" w:themeColor="text1"/>
                <w:sz w:val="22"/>
                <w:szCs w:val="22"/>
              </w:rPr>
              <w:t xml:space="preserve">Work </w:t>
            </w:r>
            <w:r w:rsidRPr="00B624BD">
              <w:rPr>
                <w:rFonts w:ascii="Arial" w:hAnsi="Arial" w:cs="Arial"/>
                <w:color w:val="000000" w:themeColor="text1"/>
                <w:sz w:val="22"/>
                <w:szCs w:val="22"/>
              </w:rPr>
              <w:t>(full or part-time work, studying or volunteering)</w:t>
            </w:r>
          </w:p>
        </w:tc>
        <w:tc>
          <w:tcPr>
            <w:tcW w:w="2552" w:type="dxa"/>
            <w:tcBorders>
              <w:top w:val="nil"/>
              <w:left w:val="nil"/>
              <w:bottom w:val="single" w:sz="4" w:space="0" w:color="auto"/>
              <w:right w:val="nil"/>
            </w:tcBorders>
            <w:shd w:val="clear" w:color="auto" w:fill="auto"/>
            <w:vAlign w:val="center"/>
          </w:tcPr>
          <w:p w:rsidR="004D260F" w:rsidRPr="00B624BD" w:rsidRDefault="004D260F" w:rsidP="00753014">
            <w:pPr>
              <w:pStyle w:val="ListParagraph"/>
              <w:ind w:left="0"/>
              <w:jc w:val="center"/>
              <w:rPr>
                <w:rFonts w:ascii="Arial" w:hAnsi="Arial" w:cs="Arial"/>
                <w:color w:val="000000" w:themeColor="text1"/>
                <w:sz w:val="22"/>
                <w:szCs w:val="22"/>
              </w:rPr>
            </w:pPr>
            <w:r w:rsidRPr="00B624BD">
              <w:rPr>
                <w:rFonts w:ascii="Arial" w:hAnsi="Arial" w:cs="Arial"/>
                <w:color w:val="000000" w:themeColor="text1"/>
                <w:sz w:val="22"/>
                <w:szCs w:val="22"/>
              </w:rPr>
              <w:t>3.12 (1.06)</w:t>
            </w:r>
          </w:p>
        </w:tc>
        <w:tc>
          <w:tcPr>
            <w:tcW w:w="2268" w:type="dxa"/>
            <w:tcBorders>
              <w:top w:val="nil"/>
              <w:left w:val="nil"/>
              <w:bottom w:val="single" w:sz="4" w:space="0" w:color="auto"/>
              <w:right w:val="nil"/>
            </w:tcBorders>
            <w:shd w:val="clear" w:color="auto" w:fill="auto"/>
            <w:vAlign w:val="center"/>
          </w:tcPr>
          <w:p w:rsidR="004D260F" w:rsidRPr="00B624BD" w:rsidRDefault="004D260F" w:rsidP="00753014">
            <w:pPr>
              <w:pStyle w:val="ListParagraph"/>
              <w:ind w:left="0"/>
              <w:jc w:val="center"/>
              <w:rPr>
                <w:rFonts w:ascii="Arial" w:hAnsi="Arial" w:cs="Arial"/>
                <w:color w:val="000000" w:themeColor="text1"/>
                <w:sz w:val="22"/>
                <w:szCs w:val="22"/>
              </w:rPr>
            </w:pPr>
            <w:r w:rsidRPr="00B624BD">
              <w:rPr>
                <w:rFonts w:ascii="Arial" w:hAnsi="Arial" w:cs="Arial"/>
                <w:color w:val="000000" w:themeColor="text1"/>
                <w:sz w:val="22"/>
                <w:szCs w:val="22"/>
              </w:rPr>
              <w:t>3.24 (1.20)</w:t>
            </w:r>
          </w:p>
        </w:tc>
        <w:tc>
          <w:tcPr>
            <w:tcW w:w="2410" w:type="dxa"/>
            <w:tcBorders>
              <w:top w:val="nil"/>
              <w:left w:val="nil"/>
              <w:bottom w:val="single" w:sz="4" w:space="0" w:color="auto"/>
              <w:right w:val="nil"/>
            </w:tcBorders>
            <w:shd w:val="clear" w:color="auto" w:fill="auto"/>
            <w:vAlign w:val="center"/>
          </w:tcPr>
          <w:p w:rsidR="004D260F" w:rsidRPr="00B624BD" w:rsidRDefault="004D260F" w:rsidP="00753014">
            <w:pPr>
              <w:pStyle w:val="ListParagraph"/>
              <w:ind w:left="0"/>
              <w:jc w:val="center"/>
              <w:rPr>
                <w:rFonts w:ascii="Arial" w:hAnsi="Arial" w:cs="Arial"/>
                <w:color w:val="000000" w:themeColor="text1"/>
                <w:sz w:val="22"/>
                <w:szCs w:val="22"/>
              </w:rPr>
            </w:pPr>
            <w:r w:rsidRPr="00B624BD">
              <w:rPr>
                <w:rFonts w:ascii="Arial" w:hAnsi="Arial" w:cs="Arial"/>
                <w:color w:val="000000" w:themeColor="text1"/>
                <w:sz w:val="22"/>
                <w:szCs w:val="22"/>
              </w:rPr>
              <w:t>2.59 (1.07)</w:t>
            </w:r>
          </w:p>
        </w:tc>
        <w:tc>
          <w:tcPr>
            <w:tcW w:w="2409" w:type="dxa"/>
            <w:tcBorders>
              <w:top w:val="nil"/>
              <w:left w:val="nil"/>
              <w:bottom w:val="single" w:sz="4" w:space="0" w:color="auto"/>
              <w:right w:val="nil"/>
            </w:tcBorders>
            <w:shd w:val="clear" w:color="auto" w:fill="auto"/>
            <w:vAlign w:val="center"/>
          </w:tcPr>
          <w:p w:rsidR="004D260F" w:rsidRPr="00B624BD" w:rsidRDefault="004D260F" w:rsidP="00753014">
            <w:pPr>
              <w:pStyle w:val="ListParagraph"/>
              <w:ind w:left="318"/>
              <w:rPr>
                <w:rFonts w:ascii="Arial" w:hAnsi="Arial" w:cs="Arial"/>
                <w:color w:val="000000" w:themeColor="text1"/>
                <w:sz w:val="22"/>
                <w:szCs w:val="22"/>
              </w:rPr>
            </w:pPr>
            <w:r w:rsidRPr="00B624BD">
              <w:rPr>
                <w:rFonts w:ascii="Arial" w:hAnsi="Arial" w:cs="Arial"/>
                <w:color w:val="000000" w:themeColor="text1"/>
                <w:sz w:val="22"/>
                <w:szCs w:val="22"/>
              </w:rPr>
              <w:t>3.57 (1.13)***</w:t>
            </w:r>
          </w:p>
        </w:tc>
      </w:tr>
      <w:tr w:rsidR="004D260F" w:rsidTr="0018698E">
        <w:tc>
          <w:tcPr>
            <w:tcW w:w="4644" w:type="dxa"/>
            <w:tcBorders>
              <w:top w:val="single" w:sz="4" w:space="0" w:color="auto"/>
              <w:left w:val="nil"/>
              <w:bottom w:val="single" w:sz="4" w:space="0" w:color="auto"/>
              <w:right w:val="nil"/>
            </w:tcBorders>
            <w:shd w:val="clear" w:color="auto" w:fill="auto"/>
            <w:vAlign w:val="bottom"/>
          </w:tcPr>
          <w:p w:rsidR="004D260F" w:rsidRPr="00B624BD" w:rsidRDefault="004D260F" w:rsidP="00753014">
            <w:pPr>
              <w:ind w:left="284" w:hanging="284"/>
              <w:rPr>
                <w:rFonts w:ascii="Arial" w:hAnsi="Arial" w:cs="Arial"/>
                <w:color w:val="000000" w:themeColor="text1"/>
                <w:sz w:val="22"/>
                <w:szCs w:val="22"/>
              </w:rPr>
            </w:pPr>
            <w:r w:rsidRPr="00B624BD">
              <w:rPr>
                <w:rFonts w:ascii="Arial" w:hAnsi="Arial" w:cs="Arial"/>
                <w:b/>
                <w:color w:val="000000" w:themeColor="text1"/>
                <w:sz w:val="22"/>
                <w:szCs w:val="22"/>
              </w:rPr>
              <w:t xml:space="preserve">Overall </w:t>
            </w:r>
            <w:r w:rsidRPr="00B624BD">
              <w:rPr>
                <w:rFonts w:ascii="Arial" w:hAnsi="Arial" w:cs="Arial"/>
                <w:color w:val="000000" w:themeColor="text1"/>
                <w:sz w:val="22"/>
                <w:szCs w:val="22"/>
              </w:rPr>
              <w:t>(average rating)</w:t>
            </w:r>
          </w:p>
        </w:tc>
        <w:tc>
          <w:tcPr>
            <w:tcW w:w="2552" w:type="dxa"/>
            <w:tcBorders>
              <w:top w:val="single" w:sz="4" w:space="0" w:color="auto"/>
              <w:left w:val="nil"/>
              <w:bottom w:val="single" w:sz="4" w:space="0" w:color="auto"/>
              <w:right w:val="nil"/>
            </w:tcBorders>
            <w:shd w:val="clear" w:color="auto" w:fill="auto"/>
            <w:vAlign w:val="center"/>
          </w:tcPr>
          <w:p w:rsidR="004D260F" w:rsidRPr="00B624BD" w:rsidRDefault="004D260F" w:rsidP="00753014">
            <w:pPr>
              <w:pStyle w:val="ListParagraph"/>
              <w:ind w:left="0"/>
              <w:jc w:val="center"/>
              <w:rPr>
                <w:rFonts w:ascii="Arial" w:hAnsi="Arial" w:cs="Arial"/>
                <w:color w:val="000000" w:themeColor="text1"/>
                <w:sz w:val="22"/>
                <w:szCs w:val="22"/>
              </w:rPr>
            </w:pPr>
            <w:r w:rsidRPr="00B624BD">
              <w:rPr>
                <w:rFonts w:ascii="Arial" w:hAnsi="Arial" w:cs="Arial"/>
                <w:color w:val="000000" w:themeColor="text1"/>
                <w:sz w:val="22"/>
                <w:szCs w:val="22"/>
              </w:rPr>
              <w:t>3.30 (0.89)</w:t>
            </w:r>
          </w:p>
        </w:tc>
        <w:tc>
          <w:tcPr>
            <w:tcW w:w="2268" w:type="dxa"/>
            <w:tcBorders>
              <w:top w:val="single" w:sz="4" w:space="0" w:color="auto"/>
              <w:left w:val="nil"/>
              <w:bottom w:val="single" w:sz="4" w:space="0" w:color="auto"/>
              <w:right w:val="nil"/>
            </w:tcBorders>
            <w:shd w:val="clear" w:color="auto" w:fill="auto"/>
            <w:vAlign w:val="center"/>
          </w:tcPr>
          <w:p w:rsidR="004D260F" w:rsidRPr="00B624BD" w:rsidRDefault="004D260F" w:rsidP="00753014">
            <w:pPr>
              <w:pStyle w:val="ListParagraph"/>
              <w:ind w:left="0"/>
              <w:jc w:val="center"/>
              <w:rPr>
                <w:rFonts w:ascii="Arial" w:hAnsi="Arial" w:cs="Arial"/>
                <w:color w:val="000000" w:themeColor="text1"/>
                <w:sz w:val="22"/>
                <w:szCs w:val="22"/>
              </w:rPr>
            </w:pPr>
            <w:r w:rsidRPr="00B624BD">
              <w:rPr>
                <w:rFonts w:ascii="Arial" w:hAnsi="Arial" w:cs="Arial"/>
                <w:color w:val="000000" w:themeColor="text1"/>
                <w:sz w:val="22"/>
                <w:szCs w:val="22"/>
              </w:rPr>
              <w:t>3.54 (0.88)</w:t>
            </w:r>
          </w:p>
        </w:tc>
        <w:tc>
          <w:tcPr>
            <w:tcW w:w="2410" w:type="dxa"/>
            <w:tcBorders>
              <w:top w:val="single" w:sz="4" w:space="0" w:color="auto"/>
              <w:left w:val="nil"/>
              <w:bottom w:val="single" w:sz="4" w:space="0" w:color="auto"/>
              <w:right w:val="nil"/>
            </w:tcBorders>
            <w:shd w:val="clear" w:color="auto" w:fill="auto"/>
            <w:vAlign w:val="center"/>
          </w:tcPr>
          <w:p w:rsidR="004D260F" w:rsidRPr="00B624BD" w:rsidRDefault="004D260F" w:rsidP="00753014">
            <w:pPr>
              <w:pStyle w:val="ListParagraph"/>
              <w:ind w:left="0"/>
              <w:jc w:val="center"/>
              <w:rPr>
                <w:rFonts w:ascii="Arial" w:hAnsi="Arial" w:cs="Arial"/>
                <w:color w:val="000000" w:themeColor="text1"/>
                <w:sz w:val="22"/>
                <w:szCs w:val="22"/>
              </w:rPr>
            </w:pPr>
            <w:r w:rsidRPr="00B624BD">
              <w:rPr>
                <w:rFonts w:ascii="Arial" w:hAnsi="Arial" w:cs="Arial"/>
                <w:color w:val="000000" w:themeColor="text1"/>
                <w:sz w:val="22"/>
                <w:szCs w:val="22"/>
              </w:rPr>
              <w:t>3.21 (0.93)</w:t>
            </w:r>
          </w:p>
        </w:tc>
        <w:tc>
          <w:tcPr>
            <w:tcW w:w="2409" w:type="dxa"/>
            <w:tcBorders>
              <w:top w:val="single" w:sz="4" w:space="0" w:color="auto"/>
              <w:left w:val="nil"/>
              <w:bottom w:val="single" w:sz="4" w:space="0" w:color="auto"/>
              <w:right w:val="nil"/>
            </w:tcBorders>
            <w:shd w:val="clear" w:color="auto" w:fill="auto"/>
            <w:vAlign w:val="center"/>
          </w:tcPr>
          <w:p w:rsidR="004D260F" w:rsidRPr="00B624BD" w:rsidRDefault="004D260F" w:rsidP="00753014">
            <w:pPr>
              <w:pStyle w:val="ListParagraph"/>
              <w:ind w:left="318"/>
              <w:rPr>
                <w:rFonts w:ascii="Arial" w:hAnsi="Arial" w:cs="Arial"/>
                <w:color w:val="000000" w:themeColor="text1"/>
                <w:sz w:val="22"/>
                <w:szCs w:val="22"/>
              </w:rPr>
            </w:pPr>
            <w:r w:rsidRPr="00B624BD">
              <w:rPr>
                <w:rFonts w:ascii="Arial" w:hAnsi="Arial" w:cs="Arial"/>
                <w:color w:val="000000" w:themeColor="text1"/>
                <w:sz w:val="22"/>
                <w:szCs w:val="22"/>
              </w:rPr>
              <w:t>3.71 (0.81)***</w:t>
            </w:r>
          </w:p>
        </w:tc>
      </w:tr>
      <w:tr w:rsidR="004D260F" w:rsidTr="0018698E">
        <w:tc>
          <w:tcPr>
            <w:tcW w:w="14283" w:type="dxa"/>
            <w:gridSpan w:val="5"/>
            <w:tcBorders>
              <w:top w:val="single" w:sz="4" w:space="0" w:color="auto"/>
              <w:left w:val="nil"/>
              <w:bottom w:val="nil"/>
              <w:right w:val="nil"/>
            </w:tcBorders>
            <w:shd w:val="clear" w:color="auto" w:fill="auto"/>
            <w:vAlign w:val="bottom"/>
          </w:tcPr>
          <w:p w:rsidR="004D260F" w:rsidRPr="0018698E" w:rsidRDefault="004D260F" w:rsidP="00753014">
            <w:pPr>
              <w:pStyle w:val="ListParagraph"/>
              <w:ind w:left="0"/>
              <w:rPr>
                <w:rFonts w:ascii="Arial" w:hAnsi="Arial" w:cs="Arial"/>
                <w:i/>
                <w:color w:val="000000" w:themeColor="text1"/>
                <w:sz w:val="16"/>
                <w:szCs w:val="16"/>
              </w:rPr>
            </w:pPr>
          </w:p>
          <w:p w:rsidR="004D260F" w:rsidRPr="0018698E" w:rsidRDefault="004D260F" w:rsidP="00753014">
            <w:pPr>
              <w:pStyle w:val="ListParagraph"/>
              <w:ind w:left="0"/>
              <w:rPr>
                <w:rFonts w:ascii="Arial" w:hAnsi="Arial" w:cs="Arial"/>
                <w:color w:val="000000" w:themeColor="text1"/>
                <w:sz w:val="20"/>
                <w:szCs w:val="20"/>
              </w:rPr>
            </w:pPr>
            <w:r w:rsidRPr="0018698E">
              <w:rPr>
                <w:rFonts w:ascii="Arial" w:hAnsi="Arial" w:cs="Arial"/>
                <w:b/>
                <w:i/>
                <w:color w:val="000000" w:themeColor="text1"/>
                <w:sz w:val="20"/>
                <w:szCs w:val="20"/>
              </w:rPr>
              <w:t>Note</w:t>
            </w:r>
            <w:r w:rsidRPr="0018698E">
              <w:rPr>
                <w:rFonts w:ascii="Arial" w:hAnsi="Arial" w:cs="Arial"/>
                <w:color w:val="000000" w:themeColor="text1"/>
                <w:sz w:val="20"/>
                <w:szCs w:val="20"/>
              </w:rPr>
              <w:t>. Surveys of MH clinicians (Nursing, 45.4%; Allied Health, 40.2%; Medical/Other, 14.3%) were conducted prior to proposed model of care changes. Some questions were framed in terms of the ten Mental Health Recovery Star (MHRS) domains: “</w:t>
            </w:r>
            <w:r w:rsidRPr="0018698E">
              <w:rPr>
                <w:rFonts w:ascii="Arial" w:hAnsi="Arial" w:cs="Arial"/>
                <w:i/>
                <w:color w:val="000000" w:themeColor="text1"/>
                <w:sz w:val="20"/>
                <w:szCs w:val="20"/>
              </w:rPr>
              <w:t>How much impact (for clients) do you feel our current treatment practices are likely to have on each of these recovery domains?</w:t>
            </w:r>
            <w:r w:rsidRPr="0018698E">
              <w:rPr>
                <w:rFonts w:ascii="Arial" w:hAnsi="Arial" w:cs="Arial"/>
                <w:color w:val="000000" w:themeColor="text1"/>
                <w:sz w:val="20"/>
                <w:szCs w:val="20"/>
              </w:rPr>
              <w:t>”; and “</w:t>
            </w:r>
            <w:r w:rsidRPr="0018698E">
              <w:rPr>
                <w:rFonts w:ascii="Arial" w:hAnsi="Arial" w:cs="Arial"/>
                <w:i/>
                <w:color w:val="000000" w:themeColor="text1"/>
                <w:sz w:val="20"/>
                <w:szCs w:val="20"/>
              </w:rPr>
              <w:t>In developing care plans for clients, how much importance does your unit/service place on each of the following recovery domains?</w:t>
            </w:r>
            <w:r w:rsidRPr="0018698E">
              <w:rPr>
                <w:rFonts w:ascii="Arial" w:hAnsi="Arial" w:cs="Arial"/>
                <w:color w:val="000000" w:themeColor="text1"/>
                <w:sz w:val="20"/>
                <w:szCs w:val="20"/>
              </w:rPr>
              <w:t>”. Five-point rating scales were used (1: None; 2: Some; 3: Moderate; 4: Considerable; 5: High). Statistical comparisons between service location/type based sub-groups controlled for clinicians’ professional background</w:t>
            </w:r>
            <w:r w:rsidR="0018698E" w:rsidRPr="0018698E">
              <w:rPr>
                <w:rFonts w:ascii="Arial" w:hAnsi="Arial" w:cs="Arial"/>
                <w:color w:val="000000" w:themeColor="text1"/>
                <w:sz w:val="20"/>
                <w:szCs w:val="20"/>
              </w:rPr>
              <w:t>.</w:t>
            </w:r>
          </w:p>
          <w:p w:rsidR="004D260F" w:rsidRPr="0018698E" w:rsidRDefault="0018698E" w:rsidP="004D260F">
            <w:pPr>
              <w:pStyle w:val="ListParagraph"/>
              <w:ind w:left="0"/>
              <w:rPr>
                <w:rFonts w:ascii="Arial" w:hAnsi="Arial" w:cs="Arial"/>
                <w:color w:val="000000" w:themeColor="text1"/>
                <w:sz w:val="20"/>
                <w:szCs w:val="20"/>
              </w:rPr>
            </w:pPr>
            <w:r w:rsidRPr="0018698E">
              <w:rPr>
                <w:rFonts w:ascii="Arial" w:hAnsi="Arial" w:cs="Arial"/>
                <w:b/>
                <w:i/>
                <w:color w:val="222222"/>
                <w:sz w:val="20"/>
                <w:szCs w:val="20"/>
                <w:u w:val="single"/>
              </w:rPr>
              <w:t>Conclusion</w:t>
            </w:r>
            <w:r w:rsidRPr="0018698E">
              <w:rPr>
                <w:rFonts w:ascii="Arial" w:hAnsi="Arial" w:cs="Arial"/>
                <w:color w:val="222222"/>
                <w:sz w:val="20"/>
                <w:szCs w:val="20"/>
              </w:rPr>
              <w:t xml:space="preserve">. </w:t>
            </w:r>
            <w:r>
              <w:rPr>
                <w:rFonts w:ascii="Arial" w:hAnsi="Arial" w:cs="Arial"/>
                <w:color w:val="222222"/>
                <w:sz w:val="20"/>
                <w:szCs w:val="20"/>
              </w:rPr>
              <w:t>T</w:t>
            </w:r>
            <w:r w:rsidR="004D260F" w:rsidRPr="0018698E">
              <w:rPr>
                <w:rFonts w:ascii="Arial" w:hAnsi="Arial" w:cs="Arial"/>
                <w:color w:val="222222"/>
                <w:sz w:val="20"/>
                <w:szCs w:val="20"/>
              </w:rPr>
              <w:t>he ‘managing mental health’ domain received consistently higher ratings, while the ‘work’ domain received the lowest ratings, particularly among clinicians from acute inpatient MH units. With respect to perceived importance for care planning, ratings for the recovery domains were substantially higher from community MH clinicians (0.50 points on average), with statistically significant differences on seven of the ten domains</w:t>
            </w:r>
            <w:r w:rsidRPr="0018698E">
              <w:rPr>
                <w:rFonts w:ascii="Arial" w:hAnsi="Arial" w:cs="Arial"/>
                <w:color w:val="000000" w:themeColor="text1"/>
                <w:sz w:val="20"/>
                <w:szCs w:val="20"/>
              </w:rPr>
              <w:t xml:space="preserve">: * </w:t>
            </w:r>
            <w:r w:rsidRPr="0018698E">
              <w:rPr>
                <w:rFonts w:ascii="Arial" w:hAnsi="Arial" w:cs="Arial"/>
                <w:i/>
                <w:color w:val="000000" w:themeColor="text1"/>
                <w:sz w:val="20"/>
                <w:szCs w:val="20"/>
              </w:rPr>
              <w:t xml:space="preserve">p </w:t>
            </w:r>
            <w:r w:rsidRPr="0018698E">
              <w:rPr>
                <w:rFonts w:ascii="Arial" w:hAnsi="Arial" w:cs="Arial"/>
                <w:color w:val="000000" w:themeColor="text1"/>
                <w:sz w:val="20"/>
                <w:szCs w:val="20"/>
              </w:rPr>
              <w:t xml:space="preserve">&lt; .05; ** </w:t>
            </w:r>
            <w:r w:rsidRPr="0018698E">
              <w:rPr>
                <w:rFonts w:ascii="Arial" w:hAnsi="Arial" w:cs="Arial"/>
                <w:i/>
                <w:color w:val="000000" w:themeColor="text1"/>
                <w:sz w:val="20"/>
                <w:szCs w:val="20"/>
              </w:rPr>
              <w:t>p</w:t>
            </w:r>
            <w:r w:rsidRPr="0018698E">
              <w:rPr>
                <w:rFonts w:ascii="Arial" w:hAnsi="Arial" w:cs="Arial"/>
                <w:color w:val="000000" w:themeColor="text1"/>
                <w:sz w:val="20"/>
                <w:szCs w:val="20"/>
              </w:rPr>
              <w:t xml:space="preserve"> &lt; .01; *** </w:t>
            </w:r>
            <w:r w:rsidRPr="0018698E">
              <w:rPr>
                <w:rFonts w:ascii="Arial" w:hAnsi="Arial" w:cs="Arial"/>
                <w:i/>
                <w:color w:val="000000" w:themeColor="text1"/>
                <w:sz w:val="20"/>
                <w:szCs w:val="20"/>
              </w:rPr>
              <w:t>p</w:t>
            </w:r>
            <w:r w:rsidRPr="0018698E">
              <w:rPr>
                <w:rFonts w:ascii="Arial" w:hAnsi="Arial" w:cs="Arial"/>
                <w:color w:val="000000" w:themeColor="text1"/>
                <w:sz w:val="20"/>
                <w:szCs w:val="20"/>
              </w:rPr>
              <w:t xml:space="preserve"> &lt; .001.</w:t>
            </w:r>
          </w:p>
        </w:tc>
      </w:tr>
    </w:tbl>
    <w:p w:rsidR="004D260F" w:rsidRDefault="004D260F" w:rsidP="0018698E"/>
    <w:sectPr w:rsidR="004D260F" w:rsidSect="0018698E">
      <w:pgSz w:w="16838" w:h="11906" w:orient="landscape"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0F"/>
    <w:rsid w:val="0018698E"/>
    <w:rsid w:val="00357AE9"/>
    <w:rsid w:val="003A3C7F"/>
    <w:rsid w:val="004D260F"/>
    <w:rsid w:val="00655BB3"/>
    <w:rsid w:val="00A37EF9"/>
    <w:rsid w:val="00B564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6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6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6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HNELHD</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Lewin</dc:creator>
  <cp:lastModifiedBy>Terry Lewin</cp:lastModifiedBy>
  <cp:revision>5</cp:revision>
  <dcterms:created xsi:type="dcterms:W3CDTF">2016-10-21T07:58:00Z</dcterms:created>
  <dcterms:modified xsi:type="dcterms:W3CDTF">2016-12-06T04:32:00Z</dcterms:modified>
</cp:coreProperties>
</file>