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6922" w14:textId="470AA69F" w:rsidR="009120D2" w:rsidRPr="00696498" w:rsidRDefault="001825DA" w:rsidP="00DE51A0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Additional file 4:</w:t>
      </w:r>
      <w:r w:rsidR="009F570B" w:rsidRPr="00696498">
        <w:rPr>
          <w:b/>
        </w:rPr>
        <w:t xml:space="preserve"> Risk of b</w:t>
      </w:r>
      <w:r w:rsidR="002E3BF1" w:rsidRPr="00696498">
        <w:rPr>
          <w:b/>
        </w:rPr>
        <w:t xml:space="preserve">ias </w:t>
      </w:r>
      <w:r w:rsidR="009F570B" w:rsidRPr="00696498">
        <w:rPr>
          <w:b/>
        </w:rPr>
        <w:t xml:space="preserve">assessment </w:t>
      </w:r>
      <w:r w:rsidR="00696498" w:rsidRPr="00696498">
        <w:rPr>
          <w:b/>
        </w:rPr>
        <w:t>within studies</w:t>
      </w:r>
      <w:bookmarkStart w:id="0" w:name="_GoBack"/>
      <w:bookmarkEnd w:id="0"/>
    </w:p>
    <w:p w14:paraId="00A64F8D" w14:textId="77777777" w:rsidR="00696498" w:rsidRDefault="00696498" w:rsidP="00DE51A0">
      <w:pPr>
        <w:spacing w:before="100" w:beforeAutospacing="1" w:after="100" w:afterAutospacing="1"/>
        <w:contextualSpacing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7"/>
        <w:gridCol w:w="2018"/>
        <w:gridCol w:w="3607"/>
      </w:tblGrid>
      <w:tr w:rsidR="00696498" w:rsidRPr="000C52AC" w14:paraId="4DC742B9" w14:textId="77777777" w:rsidTr="00520595">
        <w:trPr>
          <w:trHeight w:val="163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3A183573" w14:textId="002EF9FC" w:rsidR="00696498" w:rsidRPr="00696498" w:rsidRDefault="00696498" w:rsidP="00696498">
            <w:pPr>
              <w:spacing w:before="100" w:beforeAutospacing="1" w:after="100" w:afterAutospacing="1"/>
              <w:contextualSpacing/>
            </w:pPr>
            <w:r>
              <w:t>Risk of bias assessment for each study using Risk of Bias Assessment Tool for Nonrandomized Studies (</w:t>
            </w:r>
            <w:proofErr w:type="spellStart"/>
            <w:r>
              <w:t>RoBANS</w:t>
            </w:r>
            <w:proofErr w:type="spellEnd"/>
            <w:r>
              <w:t>) tool and using additional reference guideline form A Cochrane Risk of Bias Assessment Tool: for Non-Randomized Studies of Interventions (ACROBAT-NRSI) for supporting judgments.</w:t>
            </w:r>
          </w:p>
        </w:tc>
      </w:tr>
      <w:tr w:rsidR="00520595" w:rsidRPr="000C52AC" w14:paraId="491097D2" w14:textId="77777777" w:rsidTr="00520595">
        <w:trPr>
          <w:trHeight w:val="163"/>
        </w:trPr>
        <w:tc>
          <w:tcPr>
            <w:tcW w:w="5000" w:type="pct"/>
            <w:gridSpan w:val="3"/>
            <w:tcBorders>
              <w:bottom w:val="single" w:sz="24" w:space="0" w:color="auto"/>
            </w:tcBorders>
            <w:hideMark/>
          </w:tcPr>
          <w:p w14:paraId="61491D3D" w14:textId="11F1D770" w:rsidR="00520595" w:rsidRPr="00520595" w:rsidRDefault="00520595" w:rsidP="00240FD2">
            <w:pPr>
              <w:rPr>
                <w:b/>
              </w:rPr>
            </w:pPr>
            <w:r w:rsidRPr="00520595">
              <w:rPr>
                <w:b/>
              </w:rPr>
              <w:t>1. Chen 2012</w:t>
            </w:r>
            <w:r w:rsidR="003E05F5">
              <w:rPr>
                <w:b/>
              </w:rPr>
              <w:t xml:space="preserve"> </w:t>
            </w:r>
            <w:r w:rsidR="003E05F5" w:rsidRPr="003E05F5">
              <w:t>[33]</w:t>
            </w:r>
          </w:p>
          <w:p w14:paraId="359C525D" w14:textId="4CF38C3E" w:rsidR="00520595" w:rsidRPr="000C52AC" w:rsidRDefault="00520595" w:rsidP="00240FD2">
            <w:pPr>
              <w:rPr>
                <w:sz w:val="20"/>
                <w:szCs w:val="20"/>
              </w:rPr>
            </w:pPr>
            <w:r w:rsidRPr="00520595">
              <w:rPr>
                <w:b/>
              </w:rPr>
              <w:t>Study: retrospective case-control study</w:t>
            </w:r>
          </w:p>
        </w:tc>
      </w:tr>
      <w:tr w:rsidR="00ED0E00" w:rsidRPr="000C52AC" w14:paraId="297150FD" w14:textId="77777777" w:rsidTr="00B3121D">
        <w:trPr>
          <w:trHeight w:val="454"/>
        </w:trPr>
        <w:tc>
          <w:tcPr>
            <w:tcW w:w="1700" w:type="pct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1C9D2B8F" w14:textId="77777777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Bias</w:t>
            </w:r>
          </w:p>
        </w:tc>
        <w:tc>
          <w:tcPr>
            <w:tcW w:w="1184" w:type="pct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549CBF60" w14:textId="77777777" w:rsidR="00012624" w:rsidRPr="000C52AC" w:rsidRDefault="00012624" w:rsidP="00240FD2">
            <w:pPr>
              <w:rPr>
                <w:b/>
                <w:bCs/>
                <w:sz w:val="20"/>
                <w:szCs w:val="20"/>
              </w:rPr>
            </w:pPr>
            <w:r w:rsidRPr="000C52AC">
              <w:rPr>
                <w:b/>
                <w:bCs/>
                <w:sz w:val="20"/>
                <w:szCs w:val="20"/>
              </w:rPr>
              <w:t xml:space="preserve">Authors' </w:t>
            </w:r>
            <w:proofErr w:type="spellStart"/>
            <w:r w:rsidRPr="000C52AC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  <w:tc>
          <w:tcPr>
            <w:tcW w:w="2116" w:type="pct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1C66A915" w14:textId="77777777" w:rsidR="00012624" w:rsidRPr="000C52AC" w:rsidRDefault="00012624" w:rsidP="00240FD2">
            <w:pPr>
              <w:rPr>
                <w:b/>
                <w:bCs/>
                <w:sz w:val="20"/>
                <w:szCs w:val="20"/>
              </w:rPr>
            </w:pPr>
            <w:r w:rsidRPr="000C52AC">
              <w:rPr>
                <w:b/>
                <w:bCs/>
                <w:sz w:val="20"/>
                <w:szCs w:val="20"/>
              </w:rPr>
              <w:t xml:space="preserve">Support for </w:t>
            </w:r>
            <w:proofErr w:type="spellStart"/>
            <w:r w:rsidRPr="000C52AC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</w:tr>
      <w:tr w:rsidR="00ED0E00" w:rsidRPr="000C52AC" w14:paraId="64FBC099" w14:textId="77777777" w:rsidTr="00520595">
        <w:trPr>
          <w:trHeight w:val="1846"/>
        </w:trPr>
        <w:tc>
          <w:tcPr>
            <w:tcW w:w="1700" w:type="pct"/>
            <w:tcBorders>
              <w:top w:val="double" w:sz="4" w:space="0" w:color="auto"/>
            </w:tcBorders>
            <w:hideMark/>
          </w:tcPr>
          <w:p w14:paraId="7B3CC2E3" w14:textId="77777777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Selection of participants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hideMark/>
          </w:tcPr>
          <w:p w14:paraId="650D7B85" w14:textId="76460EAB" w:rsidR="00012624" w:rsidRPr="000C52AC" w:rsidRDefault="00E77193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2116" w:type="pct"/>
            <w:tcBorders>
              <w:top w:val="double" w:sz="4" w:space="0" w:color="auto"/>
            </w:tcBorders>
            <w:hideMark/>
          </w:tcPr>
          <w:p w14:paraId="51487D4C" w14:textId="118EF2E5" w:rsidR="00012624" w:rsidRPr="000C52AC" w:rsidRDefault="00865DC3" w:rsidP="00865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AHDH patients were randomly selected form the</w:t>
            </w:r>
            <w:r w:rsidR="00012624" w:rsidRPr="000C52AC">
              <w:rPr>
                <w:sz w:val="20"/>
                <w:szCs w:val="20"/>
              </w:rPr>
              <w:t xml:space="preserve"> National Health Insurance Research Database (NHIRD). The age- and gender-matched control group was randomly identified from the subjects after eliminating patients who had been giv</w:t>
            </w:r>
            <w:r w:rsidR="00E77193">
              <w:rPr>
                <w:sz w:val="20"/>
                <w:szCs w:val="20"/>
              </w:rPr>
              <w:t xml:space="preserve">en a diagnosis of ADHD. </w:t>
            </w:r>
            <w:r w:rsidR="00101464">
              <w:rPr>
                <w:sz w:val="20"/>
                <w:szCs w:val="20"/>
              </w:rPr>
              <w:t xml:space="preserve">Unclear to whether </w:t>
            </w:r>
            <w:r w:rsidR="00E77193">
              <w:rPr>
                <w:sz w:val="20"/>
                <w:szCs w:val="20"/>
              </w:rPr>
              <w:t>The potential cases of ADHD and Tics in control might be neglected for selection.</w:t>
            </w:r>
          </w:p>
        </w:tc>
      </w:tr>
      <w:tr w:rsidR="00ED0E00" w:rsidRPr="000C52AC" w14:paraId="2AE5135E" w14:textId="77777777" w:rsidTr="00520595">
        <w:trPr>
          <w:trHeight w:val="837"/>
        </w:trPr>
        <w:tc>
          <w:tcPr>
            <w:tcW w:w="1700" w:type="pct"/>
            <w:hideMark/>
          </w:tcPr>
          <w:p w14:paraId="29188E51" w14:textId="77777777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Confounding variables</w:t>
            </w:r>
          </w:p>
        </w:tc>
        <w:tc>
          <w:tcPr>
            <w:tcW w:w="1184" w:type="pct"/>
            <w:hideMark/>
          </w:tcPr>
          <w:p w14:paraId="2E188002" w14:textId="77777777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Low</w:t>
            </w:r>
          </w:p>
        </w:tc>
        <w:tc>
          <w:tcPr>
            <w:tcW w:w="2116" w:type="pct"/>
            <w:hideMark/>
          </w:tcPr>
          <w:p w14:paraId="7CF3AA9C" w14:textId="0C7B8434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Multiple logistic regressions were performed to calculate the OR with 95% CI after adjusting for age, gender, residence location, and comorbid psychiatric disorders.</w:t>
            </w:r>
          </w:p>
        </w:tc>
      </w:tr>
      <w:tr w:rsidR="00ED0E00" w:rsidRPr="000C52AC" w14:paraId="465FC231" w14:textId="77777777" w:rsidTr="00520595">
        <w:trPr>
          <w:trHeight w:val="837"/>
        </w:trPr>
        <w:tc>
          <w:tcPr>
            <w:tcW w:w="1700" w:type="pct"/>
            <w:hideMark/>
          </w:tcPr>
          <w:p w14:paraId="3124B7D2" w14:textId="77777777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Measurement of exposure</w:t>
            </w:r>
          </w:p>
        </w:tc>
        <w:tc>
          <w:tcPr>
            <w:tcW w:w="1184" w:type="pct"/>
            <w:hideMark/>
          </w:tcPr>
          <w:p w14:paraId="68ACAF61" w14:textId="2F49C6C2" w:rsidR="00012624" w:rsidRPr="000C52AC" w:rsidRDefault="00C4138F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116" w:type="pct"/>
            <w:hideMark/>
          </w:tcPr>
          <w:p w14:paraId="43D11001" w14:textId="77777777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Those identified as having ‘attention deficit hyperactivity disorder’ (ICD-9-CM code: 314) by pediatricians, psychiatrists, and neurologists that were included as the study group</w:t>
            </w:r>
          </w:p>
        </w:tc>
      </w:tr>
      <w:tr w:rsidR="00ED0E00" w:rsidRPr="000C52AC" w14:paraId="4A54E326" w14:textId="77777777" w:rsidTr="00520595">
        <w:trPr>
          <w:trHeight w:val="676"/>
        </w:trPr>
        <w:tc>
          <w:tcPr>
            <w:tcW w:w="1700" w:type="pct"/>
            <w:hideMark/>
          </w:tcPr>
          <w:p w14:paraId="62A9A4BF" w14:textId="77777777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Blinding of outcome assessments</w:t>
            </w:r>
          </w:p>
        </w:tc>
        <w:tc>
          <w:tcPr>
            <w:tcW w:w="1184" w:type="pct"/>
            <w:hideMark/>
          </w:tcPr>
          <w:p w14:paraId="21221026" w14:textId="125DCDC3" w:rsidR="00012624" w:rsidRPr="000C52AC" w:rsidRDefault="00C4138F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2116" w:type="pct"/>
            <w:hideMark/>
          </w:tcPr>
          <w:p w14:paraId="32D256B3" w14:textId="6CF28B84" w:rsidR="00012624" w:rsidRPr="000C52AC" w:rsidRDefault="00012624" w:rsidP="000312C3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 xml:space="preserve">Data were retrieved from </w:t>
            </w:r>
            <w:r w:rsidR="00CD28E2">
              <w:rPr>
                <w:sz w:val="20"/>
                <w:szCs w:val="20"/>
              </w:rPr>
              <w:t>national health insurance</w:t>
            </w:r>
            <w:r w:rsidR="00C4138F">
              <w:rPr>
                <w:sz w:val="20"/>
                <w:szCs w:val="20"/>
              </w:rPr>
              <w:t xml:space="preserve"> records</w:t>
            </w:r>
            <w:r w:rsidRPr="000C52AC">
              <w:rPr>
                <w:sz w:val="20"/>
                <w:szCs w:val="20"/>
              </w:rPr>
              <w:t>, and</w:t>
            </w:r>
            <w:r w:rsidR="00C4138F">
              <w:rPr>
                <w:sz w:val="20"/>
                <w:szCs w:val="20"/>
              </w:rPr>
              <w:t xml:space="preserve"> most likel</w:t>
            </w:r>
            <w:r w:rsidR="0004731A">
              <w:rPr>
                <w:sz w:val="20"/>
                <w:szCs w:val="20"/>
              </w:rPr>
              <w:t xml:space="preserve">y participants </w:t>
            </w:r>
            <w:r w:rsidR="00CD28E2">
              <w:rPr>
                <w:sz w:val="20"/>
                <w:szCs w:val="20"/>
              </w:rPr>
              <w:t xml:space="preserve">and doctors </w:t>
            </w:r>
            <w:r w:rsidR="0004731A">
              <w:rPr>
                <w:sz w:val="20"/>
                <w:szCs w:val="20"/>
              </w:rPr>
              <w:t>were not aware</w:t>
            </w:r>
            <w:r w:rsidR="00C4138F">
              <w:rPr>
                <w:sz w:val="20"/>
                <w:szCs w:val="20"/>
              </w:rPr>
              <w:t xml:space="preserve"> of this study</w:t>
            </w:r>
            <w:r w:rsidR="00CD28E2">
              <w:rPr>
                <w:sz w:val="20"/>
                <w:szCs w:val="20"/>
              </w:rPr>
              <w:t>.</w:t>
            </w:r>
            <w:r w:rsidR="00C4138F">
              <w:rPr>
                <w:sz w:val="20"/>
                <w:szCs w:val="20"/>
              </w:rPr>
              <w:t xml:space="preserve"> </w:t>
            </w:r>
            <w:r w:rsidR="00CD28E2">
              <w:rPr>
                <w:sz w:val="20"/>
                <w:szCs w:val="20"/>
              </w:rPr>
              <w:t>It</w:t>
            </w:r>
            <w:r w:rsidR="0004731A">
              <w:rPr>
                <w:sz w:val="20"/>
                <w:szCs w:val="20"/>
              </w:rPr>
              <w:t xml:space="preserve"> was </w:t>
            </w:r>
            <w:r w:rsidR="00CD28E2">
              <w:rPr>
                <w:sz w:val="20"/>
                <w:szCs w:val="20"/>
              </w:rPr>
              <w:t>not clear to whet</w:t>
            </w:r>
            <w:r w:rsidR="00E85455">
              <w:rPr>
                <w:sz w:val="20"/>
                <w:szCs w:val="20"/>
              </w:rPr>
              <w:t xml:space="preserve">her </w:t>
            </w:r>
            <w:r w:rsidR="007463C6">
              <w:rPr>
                <w:sz w:val="20"/>
                <w:szCs w:val="20"/>
              </w:rPr>
              <w:t xml:space="preserve">there are </w:t>
            </w:r>
            <w:r w:rsidR="00E85455">
              <w:rPr>
                <w:sz w:val="20"/>
                <w:szCs w:val="20"/>
              </w:rPr>
              <w:t xml:space="preserve">any </w:t>
            </w:r>
            <w:r w:rsidR="007463C6">
              <w:rPr>
                <w:sz w:val="20"/>
                <w:szCs w:val="20"/>
              </w:rPr>
              <w:t>personal identifiers from the database system that could</w:t>
            </w:r>
            <w:r w:rsidR="00E85455">
              <w:rPr>
                <w:sz w:val="20"/>
                <w:szCs w:val="20"/>
              </w:rPr>
              <w:t xml:space="preserve"> influence the selection of participants</w:t>
            </w:r>
            <w:r w:rsidR="00CD28E2">
              <w:rPr>
                <w:sz w:val="20"/>
                <w:szCs w:val="20"/>
              </w:rPr>
              <w:t>.</w:t>
            </w:r>
          </w:p>
        </w:tc>
      </w:tr>
      <w:tr w:rsidR="00ED0E00" w:rsidRPr="000C52AC" w14:paraId="6A30B8EE" w14:textId="77777777" w:rsidTr="00520595">
        <w:trPr>
          <w:trHeight w:val="504"/>
        </w:trPr>
        <w:tc>
          <w:tcPr>
            <w:tcW w:w="1700" w:type="pct"/>
            <w:hideMark/>
          </w:tcPr>
          <w:p w14:paraId="359B05A4" w14:textId="77777777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Incomplete outcome data</w:t>
            </w:r>
          </w:p>
        </w:tc>
        <w:tc>
          <w:tcPr>
            <w:tcW w:w="1184" w:type="pct"/>
            <w:hideMark/>
          </w:tcPr>
          <w:p w14:paraId="17344071" w14:textId="0F825D82" w:rsidR="00012624" w:rsidRPr="000C52AC" w:rsidRDefault="0028691B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116" w:type="pct"/>
            <w:hideMark/>
          </w:tcPr>
          <w:p w14:paraId="4A98FD0D" w14:textId="1391DA6A" w:rsidR="00012624" w:rsidRPr="000C52AC" w:rsidRDefault="005D150D" w:rsidP="00E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C4138F">
              <w:rPr>
                <w:sz w:val="20"/>
                <w:szCs w:val="20"/>
              </w:rPr>
              <w:t xml:space="preserve"> </w:t>
            </w:r>
            <w:r w:rsidR="00E85455">
              <w:rPr>
                <w:sz w:val="20"/>
                <w:szCs w:val="20"/>
              </w:rPr>
              <w:t xml:space="preserve">data could </w:t>
            </w:r>
            <w:r w:rsidR="004F730B">
              <w:rPr>
                <w:sz w:val="20"/>
                <w:szCs w:val="20"/>
              </w:rPr>
              <w:t xml:space="preserve">from </w:t>
            </w:r>
            <w:r w:rsidR="00E85455">
              <w:rPr>
                <w:sz w:val="20"/>
                <w:szCs w:val="20"/>
              </w:rPr>
              <w:t>national insurance</w:t>
            </w:r>
            <w:r w:rsidR="004F730B">
              <w:rPr>
                <w:sz w:val="20"/>
                <w:szCs w:val="20"/>
              </w:rPr>
              <w:t xml:space="preserve"> medical re</w:t>
            </w:r>
            <w:r w:rsidR="00E85455">
              <w:rPr>
                <w:sz w:val="20"/>
                <w:szCs w:val="20"/>
              </w:rPr>
              <w:t xml:space="preserve">cords and treatment information was available for analysis. </w:t>
            </w:r>
          </w:p>
        </w:tc>
      </w:tr>
      <w:tr w:rsidR="00ED0E00" w:rsidRPr="000C52AC" w14:paraId="0F6B54DE" w14:textId="77777777" w:rsidTr="00520595">
        <w:trPr>
          <w:trHeight w:val="333"/>
        </w:trPr>
        <w:tc>
          <w:tcPr>
            <w:tcW w:w="1700" w:type="pct"/>
            <w:tcBorders>
              <w:bottom w:val="double" w:sz="4" w:space="0" w:color="auto"/>
            </w:tcBorders>
            <w:hideMark/>
          </w:tcPr>
          <w:p w14:paraId="6A33812A" w14:textId="77777777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Selective outcome reporting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hideMark/>
          </w:tcPr>
          <w:p w14:paraId="54EF0804" w14:textId="4A2D4AC8" w:rsidR="00012624" w:rsidRPr="000C52AC" w:rsidRDefault="0028691B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2116" w:type="pct"/>
            <w:tcBorders>
              <w:bottom w:val="double" w:sz="4" w:space="0" w:color="auto"/>
            </w:tcBorders>
            <w:hideMark/>
          </w:tcPr>
          <w:p w14:paraId="71136089" w14:textId="0005A72C" w:rsidR="00012624" w:rsidRPr="000C52AC" w:rsidRDefault="00012624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All intended outcomes were analyses and reported</w:t>
            </w:r>
            <w:r w:rsidR="0028691B">
              <w:rPr>
                <w:sz w:val="20"/>
                <w:szCs w:val="20"/>
              </w:rPr>
              <w:t xml:space="preserve"> but they did not clarify how they excluded those possible case</w:t>
            </w:r>
            <w:r w:rsidR="006F04DD">
              <w:rPr>
                <w:sz w:val="20"/>
                <w:szCs w:val="20"/>
              </w:rPr>
              <w:t>s of ADHD or Tic</w:t>
            </w:r>
            <w:r w:rsidRPr="000C52AC">
              <w:rPr>
                <w:sz w:val="20"/>
                <w:szCs w:val="20"/>
              </w:rPr>
              <w:t>.</w:t>
            </w:r>
            <w:r w:rsidR="006F04DD">
              <w:rPr>
                <w:sz w:val="20"/>
                <w:szCs w:val="20"/>
              </w:rPr>
              <w:t xml:space="preserve"> </w:t>
            </w:r>
          </w:p>
        </w:tc>
      </w:tr>
      <w:tr w:rsidR="00520595" w:rsidRPr="000C52AC" w14:paraId="547D0FBD" w14:textId="77777777" w:rsidTr="00B3121D">
        <w:trPr>
          <w:cantSplit/>
          <w:trHeight w:val="454"/>
        </w:trPr>
        <w:tc>
          <w:tcPr>
            <w:tcW w:w="1700" w:type="pct"/>
            <w:tcBorders>
              <w:top w:val="double" w:sz="4" w:space="0" w:color="auto"/>
            </w:tcBorders>
          </w:tcPr>
          <w:p w14:paraId="11B6D1E5" w14:textId="513B771E" w:rsidR="00520595" w:rsidRPr="00F7192E" w:rsidRDefault="00520595" w:rsidP="00240FD2">
            <w:pPr>
              <w:rPr>
                <w:sz w:val="20"/>
                <w:szCs w:val="20"/>
              </w:rPr>
            </w:pPr>
            <w:r w:rsidRPr="00F7192E">
              <w:rPr>
                <w:sz w:val="20"/>
                <w:szCs w:val="20"/>
              </w:rPr>
              <w:t>Overall bias judgment</w:t>
            </w:r>
          </w:p>
        </w:tc>
        <w:tc>
          <w:tcPr>
            <w:tcW w:w="3300" w:type="pct"/>
            <w:gridSpan w:val="2"/>
            <w:tcBorders>
              <w:top w:val="double" w:sz="4" w:space="0" w:color="auto"/>
            </w:tcBorders>
          </w:tcPr>
          <w:p w14:paraId="4811231E" w14:textId="52D10C9C" w:rsidR="00520595" w:rsidRPr="00F7192E" w:rsidRDefault="00520595" w:rsidP="00240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Unclear </w:t>
            </w:r>
            <w:r w:rsidRPr="00F7192E">
              <w:rPr>
                <w:b/>
                <w:sz w:val="20"/>
                <w:szCs w:val="20"/>
              </w:rPr>
              <w:t>risk of bias</w:t>
            </w:r>
          </w:p>
        </w:tc>
      </w:tr>
    </w:tbl>
    <w:p w14:paraId="5F88A460" w14:textId="1816DDFB" w:rsidR="00B3121D" w:rsidRDefault="00B3121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6"/>
        <w:gridCol w:w="2018"/>
        <w:gridCol w:w="3608"/>
      </w:tblGrid>
      <w:tr w:rsidR="00520595" w:rsidRPr="000C52AC" w14:paraId="58734689" w14:textId="77777777" w:rsidTr="00520595">
        <w:trPr>
          <w:trHeight w:val="186"/>
        </w:trPr>
        <w:tc>
          <w:tcPr>
            <w:tcW w:w="5000" w:type="pct"/>
            <w:gridSpan w:val="3"/>
            <w:tcBorders>
              <w:bottom w:val="single" w:sz="24" w:space="0" w:color="auto"/>
            </w:tcBorders>
            <w:hideMark/>
          </w:tcPr>
          <w:p w14:paraId="7FEFFB31" w14:textId="0C147959" w:rsidR="00520595" w:rsidRPr="00520595" w:rsidRDefault="00520595" w:rsidP="00240FD2">
            <w:pPr>
              <w:rPr>
                <w:b/>
              </w:rPr>
            </w:pPr>
            <w:r w:rsidRPr="00520595">
              <w:rPr>
                <w:b/>
              </w:rPr>
              <w:t xml:space="preserve">2. </w:t>
            </w:r>
            <w:proofErr w:type="spellStart"/>
            <w:r w:rsidRPr="00520595">
              <w:rPr>
                <w:b/>
              </w:rPr>
              <w:t>Hak</w:t>
            </w:r>
            <w:proofErr w:type="spellEnd"/>
            <w:r w:rsidRPr="00520595">
              <w:rPr>
                <w:b/>
              </w:rPr>
              <w:t xml:space="preserve"> 2013</w:t>
            </w:r>
            <w:r w:rsidR="003E05F5">
              <w:rPr>
                <w:b/>
              </w:rPr>
              <w:t xml:space="preserve"> </w:t>
            </w:r>
            <w:r w:rsidR="003E05F5" w:rsidRPr="003E05F5">
              <w:t>[34]</w:t>
            </w:r>
          </w:p>
          <w:p w14:paraId="5C378196" w14:textId="348495D7" w:rsidR="00520595" w:rsidRPr="000C52AC" w:rsidRDefault="00520595" w:rsidP="00240FD2">
            <w:pPr>
              <w:rPr>
                <w:sz w:val="20"/>
                <w:szCs w:val="20"/>
              </w:rPr>
            </w:pPr>
            <w:r w:rsidRPr="00520595">
              <w:rPr>
                <w:b/>
              </w:rPr>
              <w:t>Study: retrospective nested case-control</w:t>
            </w:r>
          </w:p>
        </w:tc>
      </w:tr>
      <w:tr w:rsidR="000C52AC" w:rsidRPr="000C52AC" w14:paraId="5026DD84" w14:textId="77777777" w:rsidTr="00B3121D">
        <w:trPr>
          <w:cantSplit/>
          <w:trHeight w:val="454"/>
        </w:trPr>
        <w:tc>
          <w:tcPr>
            <w:tcW w:w="1699" w:type="pct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5965D6F3" w14:textId="7777777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Bias</w:t>
            </w:r>
          </w:p>
        </w:tc>
        <w:tc>
          <w:tcPr>
            <w:tcW w:w="1184" w:type="pct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32F418AC" w14:textId="77777777" w:rsidR="002E3BF1" w:rsidRPr="000C52AC" w:rsidRDefault="002E3BF1" w:rsidP="00240FD2">
            <w:pPr>
              <w:rPr>
                <w:b/>
                <w:bCs/>
                <w:sz w:val="20"/>
                <w:szCs w:val="20"/>
              </w:rPr>
            </w:pPr>
            <w:r w:rsidRPr="000C52AC">
              <w:rPr>
                <w:b/>
                <w:bCs/>
                <w:sz w:val="20"/>
                <w:szCs w:val="20"/>
              </w:rPr>
              <w:t xml:space="preserve">Authors' </w:t>
            </w:r>
            <w:proofErr w:type="spellStart"/>
            <w:r w:rsidRPr="000C52AC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  <w:tc>
          <w:tcPr>
            <w:tcW w:w="2117" w:type="pct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596343A4" w14:textId="77777777" w:rsidR="002E3BF1" w:rsidRPr="000C52AC" w:rsidRDefault="002E3BF1" w:rsidP="00240FD2">
            <w:pPr>
              <w:rPr>
                <w:b/>
                <w:bCs/>
                <w:sz w:val="20"/>
                <w:szCs w:val="20"/>
              </w:rPr>
            </w:pPr>
            <w:r w:rsidRPr="000C52AC">
              <w:rPr>
                <w:b/>
                <w:bCs/>
                <w:sz w:val="20"/>
                <w:szCs w:val="20"/>
              </w:rPr>
              <w:t xml:space="preserve">Support for </w:t>
            </w:r>
            <w:proofErr w:type="spellStart"/>
            <w:r w:rsidRPr="000C52AC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</w:tr>
      <w:tr w:rsidR="000C52AC" w:rsidRPr="000C52AC" w14:paraId="205B8BAB" w14:textId="77777777" w:rsidTr="00B3121D">
        <w:trPr>
          <w:cantSplit/>
          <w:trHeight w:val="264"/>
        </w:trPr>
        <w:tc>
          <w:tcPr>
            <w:tcW w:w="1699" w:type="pct"/>
            <w:tcBorders>
              <w:top w:val="double" w:sz="4" w:space="0" w:color="auto"/>
            </w:tcBorders>
            <w:hideMark/>
          </w:tcPr>
          <w:p w14:paraId="7E0D0337" w14:textId="7777777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lastRenderedPageBreak/>
              <w:t>Selection of participants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hideMark/>
          </w:tcPr>
          <w:p w14:paraId="54415542" w14:textId="55A3B88E" w:rsidR="002E3BF1" w:rsidRPr="000C52AC" w:rsidRDefault="00E77193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2117" w:type="pct"/>
            <w:tcBorders>
              <w:top w:val="double" w:sz="4" w:space="0" w:color="auto"/>
            </w:tcBorders>
            <w:hideMark/>
          </w:tcPr>
          <w:p w14:paraId="69709D9D" w14:textId="5A9FEF2F" w:rsidR="004C2FC0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The study utilized data from UK General Practice Research Database (GPRD), a nationally representative database in the UK. Participants were selected based</w:t>
            </w:r>
            <w:r w:rsidR="00EC6F35">
              <w:rPr>
                <w:sz w:val="20"/>
                <w:szCs w:val="20"/>
              </w:rPr>
              <w:t xml:space="preserve"> on past medical records. C</w:t>
            </w:r>
            <w:r w:rsidRPr="000C52AC">
              <w:rPr>
                <w:sz w:val="20"/>
                <w:szCs w:val="20"/>
              </w:rPr>
              <w:t>ases were de</w:t>
            </w:r>
            <w:r w:rsidR="00EC6F35">
              <w:rPr>
                <w:sz w:val="20"/>
                <w:szCs w:val="20"/>
              </w:rPr>
              <w:t xml:space="preserve">fined as boys with medication treatment for </w:t>
            </w:r>
            <w:r w:rsidRPr="000C52AC">
              <w:rPr>
                <w:sz w:val="20"/>
                <w:szCs w:val="20"/>
              </w:rPr>
              <w:t>A</w:t>
            </w:r>
            <w:r w:rsidR="00EC6F35">
              <w:rPr>
                <w:sz w:val="20"/>
                <w:szCs w:val="20"/>
              </w:rPr>
              <w:t xml:space="preserve">DHD. </w:t>
            </w:r>
            <w:r w:rsidRPr="000C52AC">
              <w:rPr>
                <w:sz w:val="20"/>
                <w:szCs w:val="20"/>
              </w:rPr>
              <w:t xml:space="preserve"> Controls were male patients with no diagnosis of AD</w:t>
            </w:r>
            <w:r w:rsidR="00EC6F35">
              <w:rPr>
                <w:sz w:val="20"/>
                <w:szCs w:val="20"/>
              </w:rPr>
              <w:t>HD or treatment with ADHD drug but t</w:t>
            </w:r>
            <w:r w:rsidR="00E77193">
              <w:rPr>
                <w:sz w:val="20"/>
                <w:szCs w:val="20"/>
              </w:rPr>
              <w:t xml:space="preserve">he potential cases might </w:t>
            </w:r>
            <w:r w:rsidR="00EC6F35">
              <w:rPr>
                <w:sz w:val="20"/>
                <w:szCs w:val="20"/>
              </w:rPr>
              <w:t xml:space="preserve">not be included. </w:t>
            </w:r>
          </w:p>
        </w:tc>
      </w:tr>
      <w:tr w:rsidR="000C52AC" w:rsidRPr="000C52AC" w14:paraId="2BEA49FE" w14:textId="77777777" w:rsidTr="00520595">
        <w:trPr>
          <w:trHeight w:val="1285"/>
        </w:trPr>
        <w:tc>
          <w:tcPr>
            <w:tcW w:w="1699" w:type="pct"/>
            <w:hideMark/>
          </w:tcPr>
          <w:p w14:paraId="7309EDB8" w14:textId="7777777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Confounding variables</w:t>
            </w:r>
          </w:p>
        </w:tc>
        <w:tc>
          <w:tcPr>
            <w:tcW w:w="1184" w:type="pct"/>
            <w:hideMark/>
          </w:tcPr>
          <w:p w14:paraId="5EF19A70" w14:textId="17FF0CE2" w:rsidR="002E3BF1" w:rsidRPr="000C52AC" w:rsidRDefault="00E75BD9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117" w:type="pct"/>
            <w:hideMark/>
          </w:tcPr>
          <w:p w14:paraId="75BE986B" w14:textId="7A5DC0F4" w:rsidR="004C2FC0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 xml:space="preserve">The study included data for male patients only. Matching </w:t>
            </w:r>
            <w:r w:rsidR="00EC6F35" w:rsidRPr="000C52AC">
              <w:rPr>
                <w:sz w:val="20"/>
                <w:szCs w:val="20"/>
              </w:rPr>
              <w:t>was</w:t>
            </w:r>
            <w:r w:rsidRPr="000C52AC">
              <w:rPr>
                <w:sz w:val="20"/>
                <w:szCs w:val="20"/>
              </w:rPr>
              <w:t xml:space="preserve"> done to each case on age and general practice. In addition, information on presence of low birth weight and preterm delivery were obtained as potential confounders. </w:t>
            </w:r>
          </w:p>
        </w:tc>
      </w:tr>
      <w:tr w:rsidR="000C52AC" w:rsidRPr="000C52AC" w14:paraId="49FED19A" w14:textId="77777777" w:rsidTr="00520595">
        <w:trPr>
          <w:trHeight w:val="913"/>
        </w:trPr>
        <w:tc>
          <w:tcPr>
            <w:tcW w:w="1699" w:type="pct"/>
            <w:hideMark/>
          </w:tcPr>
          <w:p w14:paraId="56255855" w14:textId="7777777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Measurement of exposure</w:t>
            </w:r>
          </w:p>
        </w:tc>
        <w:tc>
          <w:tcPr>
            <w:tcW w:w="1184" w:type="pct"/>
            <w:hideMark/>
          </w:tcPr>
          <w:p w14:paraId="71BAA485" w14:textId="00C9C123" w:rsidR="002E3BF1" w:rsidRPr="000C52AC" w:rsidRDefault="00E75BD9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117" w:type="pct"/>
            <w:hideMark/>
          </w:tcPr>
          <w:p w14:paraId="204674E2" w14:textId="7777777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 xml:space="preserve">ADHD cases were included based on the criteria of having at least one prescription of ADHD drug, within 12 months after the date of their first diagnosis. </w:t>
            </w:r>
          </w:p>
        </w:tc>
      </w:tr>
      <w:tr w:rsidR="000C52AC" w:rsidRPr="000C52AC" w14:paraId="0FCFBCAF" w14:textId="77777777" w:rsidTr="00520595">
        <w:trPr>
          <w:trHeight w:val="913"/>
        </w:trPr>
        <w:tc>
          <w:tcPr>
            <w:tcW w:w="1699" w:type="pct"/>
            <w:hideMark/>
          </w:tcPr>
          <w:p w14:paraId="4FBBD012" w14:textId="7777777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Blinding of outcome assessments</w:t>
            </w:r>
          </w:p>
        </w:tc>
        <w:tc>
          <w:tcPr>
            <w:tcW w:w="1184" w:type="pct"/>
            <w:hideMark/>
          </w:tcPr>
          <w:p w14:paraId="732A152F" w14:textId="468BE76F" w:rsidR="002E3BF1" w:rsidRPr="000C52AC" w:rsidRDefault="00EC6F35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2117" w:type="pct"/>
            <w:hideMark/>
          </w:tcPr>
          <w:p w14:paraId="307B9354" w14:textId="79C05376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Blinding was not mentioned but since this study uses data from a medical database, there are low chances that outcomes will be in</w:t>
            </w:r>
            <w:r w:rsidR="00611E70">
              <w:rPr>
                <w:sz w:val="20"/>
                <w:szCs w:val="20"/>
              </w:rPr>
              <w:t>fluenced by study participants</w:t>
            </w:r>
            <w:r w:rsidR="00EC6F35">
              <w:rPr>
                <w:sz w:val="20"/>
                <w:szCs w:val="20"/>
              </w:rPr>
              <w:t xml:space="preserve"> but</w:t>
            </w:r>
            <w:r w:rsidR="00D07930">
              <w:rPr>
                <w:sz w:val="20"/>
                <w:szCs w:val="20"/>
              </w:rPr>
              <w:t xml:space="preserve"> not clear to whether </w:t>
            </w:r>
            <w:r w:rsidR="00D07930" w:rsidRPr="000C52AC">
              <w:rPr>
                <w:sz w:val="20"/>
                <w:szCs w:val="20"/>
              </w:rPr>
              <w:t>outcome assessors</w:t>
            </w:r>
            <w:r w:rsidR="00D07930">
              <w:rPr>
                <w:sz w:val="20"/>
                <w:szCs w:val="20"/>
              </w:rPr>
              <w:t xml:space="preserve"> were also the ones who selected the participants</w:t>
            </w:r>
            <w:r w:rsidR="00611E70">
              <w:rPr>
                <w:sz w:val="20"/>
                <w:szCs w:val="20"/>
              </w:rPr>
              <w:t>.</w:t>
            </w:r>
          </w:p>
        </w:tc>
      </w:tr>
      <w:tr w:rsidR="000C52AC" w:rsidRPr="000C52AC" w14:paraId="11DD3DA2" w14:textId="77777777" w:rsidTr="00520595">
        <w:trPr>
          <w:trHeight w:val="729"/>
        </w:trPr>
        <w:tc>
          <w:tcPr>
            <w:tcW w:w="1699" w:type="pct"/>
            <w:hideMark/>
          </w:tcPr>
          <w:p w14:paraId="2F863DC6" w14:textId="7777777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Incomplete outcome data</w:t>
            </w:r>
          </w:p>
        </w:tc>
        <w:tc>
          <w:tcPr>
            <w:tcW w:w="1184" w:type="pct"/>
            <w:hideMark/>
          </w:tcPr>
          <w:p w14:paraId="4BFC913F" w14:textId="7777777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Low</w:t>
            </w:r>
          </w:p>
        </w:tc>
        <w:tc>
          <w:tcPr>
            <w:tcW w:w="2117" w:type="pct"/>
            <w:hideMark/>
          </w:tcPr>
          <w:p w14:paraId="335D0032" w14:textId="40D91E10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Data of intended outcomes were obtained for all case</w:t>
            </w:r>
            <w:r w:rsidR="006F04DD">
              <w:rPr>
                <w:sz w:val="20"/>
                <w:szCs w:val="20"/>
              </w:rPr>
              <w:t xml:space="preserve"> </w:t>
            </w:r>
            <w:r w:rsidRPr="000C52AC">
              <w:rPr>
                <w:sz w:val="20"/>
                <w:szCs w:val="20"/>
              </w:rPr>
              <w:t>(n=884) and control</w:t>
            </w:r>
            <w:r w:rsidR="004F730B">
              <w:rPr>
                <w:sz w:val="20"/>
                <w:szCs w:val="20"/>
              </w:rPr>
              <w:t xml:space="preserve"> </w:t>
            </w:r>
            <w:r w:rsidRPr="000C52AC">
              <w:rPr>
                <w:sz w:val="20"/>
                <w:szCs w:val="20"/>
              </w:rPr>
              <w:t xml:space="preserve">(n= 3536), without missing data. </w:t>
            </w:r>
          </w:p>
        </w:tc>
      </w:tr>
      <w:tr w:rsidR="000C52AC" w:rsidRPr="000C52AC" w14:paraId="3FEC4C80" w14:textId="77777777" w:rsidTr="00520595">
        <w:trPr>
          <w:trHeight w:val="553"/>
        </w:trPr>
        <w:tc>
          <w:tcPr>
            <w:tcW w:w="1699" w:type="pct"/>
            <w:tcBorders>
              <w:bottom w:val="double" w:sz="4" w:space="0" w:color="auto"/>
            </w:tcBorders>
            <w:hideMark/>
          </w:tcPr>
          <w:p w14:paraId="6F921D8E" w14:textId="7777777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Selective outcome reporting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hideMark/>
          </w:tcPr>
          <w:p w14:paraId="5384C925" w14:textId="4723965B" w:rsidR="002E3BF1" w:rsidRPr="000C52AC" w:rsidRDefault="00240FD2" w:rsidP="0024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2117" w:type="pct"/>
            <w:tcBorders>
              <w:bottom w:val="double" w:sz="4" w:space="0" w:color="auto"/>
            </w:tcBorders>
            <w:hideMark/>
          </w:tcPr>
          <w:p w14:paraId="28257453" w14:textId="423B7C97" w:rsidR="002E3BF1" w:rsidRPr="000C52AC" w:rsidRDefault="002E3BF1" w:rsidP="00240FD2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Outcome measures were analyzed and reported in accordance with the study objective</w:t>
            </w:r>
            <w:r w:rsidR="004F730B">
              <w:rPr>
                <w:sz w:val="20"/>
                <w:szCs w:val="20"/>
              </w:rPr>
              <w:t xml:space="preserve"> but </w:t>
            </w:r>
            <w:r w:rsidR="00793059">
              <w:rPr>
                <w:sz w:val="20"/>
                <w:szCs w:val="20"/>
              </w:rPr>
              <w:t>not clear whether the</w:t>
            </w:r>
            <w:r w:rsidR="004F730B">
              <w:rPr>
                <w:sz w:val="20"/>
                <w:szCs w:val="20"/>
              </w:rPr>
              <w:t xml:space="preserve"> cases of those allergy diseases occurred before ADHD prescription were not reported</w:t>
            </w:r>
            <w:r w:rsidRPr="000C52AC">
              <w:rPr>
                <w:sz w:val="20"/>
                <w:szCs w:val="20"/>
              </w:rPr>
              <w:t xml:space="preserve">. </w:t>
            </w:r>
          </w:p>
        </w:tc>
      </w:tr>
      <w:tr w:rsidR="00520595" w:rsidRPr="000C52AC" w14:paraId="03938AA8" w14:textId="77777777" w:rsidTr="00520595">
        <w:trPr>
          <w:trHeight w:val="443"/>
        </w:trPr>
        <w:tc>
          <w:tcPr>
            <w:tcW w:w="1699" w:type="pct"/>
            <w:tcBorders>
              <w:top w:val="double" w:sz="4" w:space="0" w:color="auto"/>
            </w:tcBorders>
          </w:tcPr>
          <w:p w14:paraId="79E332FF" w14:textId="2E5B746B" w:rsidR="00520595" w:rsidRPr="000C52AC" w:rsidRDefault="00520595" w:rsidP="00240FD2">
            <w:pPr>
              <w:rPr>
                <w:sz w:val="20"/>
                <w:szCs w:val="20"/>
              </w:rPr>
            </w:pPr>
            <w:r w:rsidRPr="00F7192E">
              <w:rPr>
                <w:sz w:val="20"/>
                <w:szCs w:val="20"/>
              </w:rPr>
              <w:t>Overall bias judgment</w:t>
            </w:r>
          </w:p>
        </w:tc>
        <w:tc>
          <w:tcPr>
            <w:tcW w:w="3301" w:type="pct"/>
            <w:gridSpan w:val="2"/>
            <w:tcBorders>
              <w:top w:val="double" w:sz="4" w:space="0" w:color="auto"/>
            </w:tcBorders>
          </w:tcPr>
          <w:p w14:paraId="520421DA" w14:textId="3741219C" w:rsidR="00520595" w:rsidRPr="000C52AC" w:rsidRDefault="00520595" w:rsidP="00240F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Unclear </w:t>
            </w:r>
            <w:r w:rsidRPr="00F7192E">
              <w:rPr>
                <w:b/>
                <w:sz w:val="20"/>
                <w:szCs w:val="20"/>
              </w:rPr>
              <w:t>risk of bias</w:t>
            </w:r>
          </w:p>
        </w:tc>
      </w:tr>
    </w:tbl>
    <w:p w14:paraId="4DD7D4DD" w14:textId="6C0DF574" w:rsidR="00B3121D" w:rsidRDefault="00B3121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7"/>
        <w:gridCol w:w="2018"/>
        <w:gridCol w:w="3607"/>
      </w:tblGrid>
      <w:tr w:rsidR="00520595" w:rsidRPr="000C52AC" w14:paraId="763D99B0" w14:textId="77777777" w:rsidTr="00520595">
        <w:trPr>
          <w:trHeight w:val="169"/>
        </w:trPr>
        <w:tc>
          <w:tcPr>
            <w:tcW w:w="5000" w:type="pct"/>
            <w:gridSpan w:val="3"/>
            <w:tcBorders>
              <w:bottom w:val="single" w:sz="24" w:space="0" w:color="auto"/>
            </w:tcBorders>
            <w:hideMark/>
          </w:tcPr>
          <w:p w14:paraId="589B23A5" w14:textId="509FF2B6" w:rsidR="00520595" w:rsidRPr="00520595" w:rsidRDefault="00520595" w:rsidP="002E3BF1">
            <w:pPr>
              <w:rPr>
                <w:b/>
              </w:rPr>
            </w:pPr>
            <w:r w:rsidRPr="00520595">
              <w:rPr>
                <w:b/>
              </w:rPr>
              <w:t>3. Kwon 2014</w:t>
            </w:r>
            <w:r w:rsidR="003E05F5">
              <w:rPr>
                <w:b/>
              </w:rPr>
              <w:t xml:space="preserve"> </w:t>
            </w:r>
            <w:r w:rsidR="003E05F5" w:rsidRPr="003E05F5">
              <w:t>[36]</w:t>
            </w:r>
          </w:p>
          <w:p w14:paraId="01E9826F" w14:textId="52B352DF" w:rsidR="00520595" w:rsidRPr="000C52AC" w:rsidRDefault="00520595" w:rsidP="002E3BF1">
            <w:pPr>
              <w:rPr>
                <w:sz w:val="20"/>
                <w:szCs w:val="20"/>
              </w:rPr>
            </w:pPr>
            <w:r w:rsidRPr="00520595">
              <w:rPr>
                <w:b/>
              </w:rPr>
              <w:t>Study: cross-sectional</w:t>
            </w:r>
          </w:p>
        </w:tc>
      </w:tr>
      <w:tr w:rsidR="000C52AC" w:rsidRPr="000C52AC" w14:paraId="1D38A318" w14:textId="77777777" w:rsidTr="00B3121D">
        <w:trPr>
          <w:trHeight w:val="454"/>
        </w:trPr>
        <w:tc>
          <w:tcPr>
            <w:tcW w:w="1700" w:type="pct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343DEC14" w14:textId="77777777" w:rsidR="002E3BF1" w:rsidRPr="000C52AC" w:rsidRDefault="002E3BF1" w:rsidP="002E3BF1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Bias</w:t>
            </w:r>
          </w:p>
        </w:tc>
        <w:tc>
          <w:tcPr>
            <w:tcW w:w="1184" w:type="pct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46967E7A" w14:textId="77777777" w:rsidR="002E3BF1" w:rsidRPr="000C52AC" w:rsidRDefault="002E3BF1" w:rsidP="002E3BF1">
            <w:pPr>
              <w:rPr>
                <w:b/>
                <w:bCs/>
                <w:sz w:val="20"/>
                <w:szCs w:val="20"/>
              </w:rPr>
            </w:pPr>
            <w:r w:rsidRPr="000C52AC">
              <w:rPr>
                <w:b/>
                <w:bCs/>
                <w:sz w:val="20"/>
                <w:szCs w:val="20"/>
              </w:rPr>
              <w:t xml:space="preserve">Authors' </w:t>
            </w:r>
            <w:proofErr w:type="spellStart"/>
            <w:r w:rsidRPr="000C52AC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  <w:tc>
          <w:tcPr>
            <w:tcW w:w="2116" w:type="pct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167EE58A" w14:textId="77777777" w:rsidR="002E3BF1" w:rsidRPr="000C52AC" w:rsidRDefault="002E3BF1" w:rsidP="002E3BF1">
            <w:pPr>
              <w:rPr>
                <w:b/>
                <w:bCs/>
                <w:sz w:val="20"/>
                <w:szCs w:val="20"/>
              </w:rPr>
            </w:pPr>
            <w:r w:rsidRPr="000C52AC">
              <w:rPr>
                <w:b/>
                <w:bCs/>
                <w:sz w:val="20"/>
                <w:szCs w:val="20"/>
              </w:rPr>
              <w:t xml:space="preserve">Support for </w:t>
            </w:r>
            <w:proofErr w:type="spellStart"/>
            <w:r w:rsidRPr="000C52AC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</w:tr>
      <w:tr w:rsidR="000C52AC" w:rsidRPr="000C52AC" w14:paraId="3239D93D" w14:textId="77777777" w:rsidTr="00520595">
        <w:trPr>
          <w:trHeight w:val="842"/>
        </w:trPr>
        <w:tc>
          <w:tcPr>
            <w:tcW w:w="1700" w:type="pct"/>
            <w:tcBorders>
              <w:top w:val="double" w:sz="4" w:space="0" w:color="auto"/>
            </w:tcBorders>
            <w:hideMark/>
          </w:tcPr>
          <w:p w14:paraId="20D59FE5" w14:textId="77777777" w:rsidR="002E3BF1" w:rsidRPr="000C52AC" w:rsidRDefault="002E3BF1" w:rsidP="002E3BF1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Selection of participants</w:t>
            </w:r>
          </w:p>
        </w:tc>
        <w:tc>
          <w:tcPr>
            <w:tcW w:w="1184" w:type="pct"/>
            <w:tcBorders>
              <w:top w:val="double" w:sz="4" w:space="0" w:color="auto"/>
            </w:tcBorders>
            <w:hideMark/>
          </w:tcPr>
          <w:p w14:paraId="3E63D54E" w14:textId="19A0B63D" w:rsidR="002E3BF1" w:rsidRPr="000C52AC" w:rsidRDefault="00793059" w:rsidP="002E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  <w:r w:rsidR="00B170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tcBorders>
              <w:top w:val="double" w:sz="4" w:space="0" w:color="auto"/>
            </w:tcBorders>
            <w:hideMark/>
          </w:tcPr>
          <w:p w14:paraId="16FAE542" w14:textId="577D963B" w:rsidR="002E3BF1" w:rsidRPr="000C52AC" w:rsidRDefault="00240FD2" w:rsidP="00B1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were</w:t>
            </w:r>
            <w:r w:rsidR="002E3BF1" w:rsidRPr="000C52AC">
              <w:rPr>
                <w:sz w:val="20"/>
                <w:szCs w:val="20"/>
              </w:rPr>
              <w:t xml:space="preserve"> recruited from 22 elementary schools located in seven cities in Korea. </w:t>
            </w:r>
            <w:r w:rsidR="00B170D5">
              <w:rPr>
                <w:sz w:val="20"/>
                <w:szCs w:val="20"/>
              </w:rPr>
              <w:t>Not clear whether the school had same standard for student admissi</w:t>
            </w:r>
            <w:r w:rsidR="00F12279">
              <w:rPr>
                <w:sz w:val="20"/>
                <w:szCs w:val="20"/>
              </w:rPr>
              <w:t xml:space="preserve">on. Did not mention </w:t>
            </w:r>
            <w:r w:rsidR="008A5E62">
              <w:rPr>
                <w:sz w:val="20"/>
                <w:szCs w:val="20"/>
              </w:rPr>
              <w:t>where (e.g. school</w:t>
            </w:r>
            <w:r w:rsidR="00EC6817">
              <w:rPr>
                <w:sz w:val="20"/>
                <w:szCs w:val="20"/>
              </w:rPr>
              <w:t xml:space="preserve"> or hospital) the ADHD diagnosis</w:t>
            </w:r>
            <w:r w:rsidR="008A5E62">
              <w:rPr>
                <w:sz w:val="20"/>
                <w:szCs w:val="20"/>
              </w:rPr>
              <w:t xml:space="preserve"> </w:t>
            </w:r>
            <w:r w:rsidR="00EC6817">
              <w:rPr>
                <w:sz w:val="20"/>
                <w:szCs w:val="20"/>
              </w:rPr>
              <w:t>took</w:t>
            </w:r>
            <w:r w:rsidR="008A5E62">
              <w:rPr>
                <w:sz w:val="20"/>
                <w:szCs w:val="20"/>
              </w:rPr>
              <w:t xml:space="preserve"> place. </w:t>
            </w:r>
          </w:p>
        </w:tc>
      </w:tr>
      <w:tr w:rsidR="000C52AC" w:rsidRPr="000C52AC" w14:paraId="5666F3ED" w14:textId="77777777" w:rsidTr="00520595">
        <w:trPr>
          <w:trHeight w:val="505"/>
        </w:trPr>
        <w:tc>
          <w:tcPr>
            <w:tcW w:w="1700" w:type="pct"/>
            <w:hideMark/>
          </w:tcPr>
          <w:p w14:paraId="704FBED7" w14:textId="77777777" w:rsidR="002E3BF1" w:rsidRPr="000C52AC" w:rsidRDefault="002E3BF1" w:rsidP="002E3BF1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Confounding variables</w:t>
            </w:r>
          </w:p>
        </w:tc>
        <w:tc>
          <w:tcPr>
            <w:tcW w:w="1184" w:type="pct"/>
            <w:hideMark/>
          </w:tcPr>
          <w:p w14:paraId="3E593B76" w14:textId="3A8CD65B" w:rsidR="002E3BF1" w:rsidRPr="000C52AC" w:rsidRDefault="00E75BD9" w:rsidP="002E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116" w:type="pct"/>
            <w:hideMark/>
          </w:tcPr>
          <w:p w14:paraId="004AF35D" w14:textId="4E2BE87C" w:rsidR="002E3BF1" w:rsidRPr="000C52AC" w:rsidRDefault="002E3BF1" w:rsidP="007B4117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 xml:space="preserve">Variables such as gender, age, grade, past records of disease and developmental characteristics were enumerated. </w:t>
            </w:r>
            <w:r w:rsidR="007B4117">
              <w:rPr>
                <w:sz w:val="20"/>
                <w:szCs w:val="20"/>
              </w:rPr>
              <w:t>Logistic regression analysis was performed</w:t>
            </w:r>
          </w:p>
        </w:tc>
      </w:tr>
      <w:tr w:rsidR="000C52AC" w:rsidRPr="000C52AC" w14:paraId="50567601" w14:textId="77777777" w:rsidTr="00520595">
        <w:trPr>
          <w:trHeight w:val="1010"/>
        </w:trPr>
        <w:tc>
          <w:tcPr>
            <w:tcW w:w="1700" w:type="pct"/>
            <w:hideMark/>
          </w:tcPr>
          <w:p w14:paraId="46A8AD54" w14:textId="77777777" w:rsidR="002E3BF1" w:rsidRPr="000C52AC" w:rsidRDefault="002E3BF1" w:rsidP="002E3BF1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Measurement of exposure</w:t>
            </w:r>
          </w:p>
        </w:tc>
        <w:tc>
          <w:tcPr>
            <w:tcW w:w="1184" w:type="pct"/>
            <w:hideMark/>
          </w:tcPr>
          <w:p w14:paraId="500E5CC3" w14:textId="3FDD7038" w:rsidR="002E3BF1" w:rsidRPr="000C52AC" w:rsidRDefault="008A5E62" w:rsidP="002E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2116" w:type="pct"/>
            <w:hideMark/>
          </w:tcPr>
          <w:p w14:paraId="5209783C" w14:textId="77777777" w:rsidR="002E3BF1" w:rsidRPr="000C52AC" w:rsidRDefault="002E3BF1" w:rsidP="002E3BF1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 xml:space="preserve">ADHD was diagnosed according to the DSM-IV criteria, based on interviews with child psychiatrist. In addition, epidemiological questionnaires completed by the parents or caretakers were also used. </w:t>
            </w:r>
          </w:p>
        </w:tc>
      </w:tr>
      <w:tr w:rsidR="000C52AC" w:rsidRPr="000C52AC" w14:paraId="3F178A23" w14:textId="77777777" w:rsidTr="00520595">
        <w:trPr>
          <w:trHeight w:val="1185"/>
        </w:trPr>
        <w:tc>
          <w:tcPr>
            <w:tcW w:w="1700" w:type="pct"/>
            <w:hideMark/>
          </w:tcPr>
          <w:p w14:paraId="1FF9E6E5" w14:textId="77777777" w:rsidR="002E3BF1" w:rsidRPr="000C52AC" w:rsidRDefault="002E3BF1" w:rsidP="002E3BF1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Blinding of outcome assessments</w:t>
            </w:r>
          </w:p>
        </w:tc>
        <w:tc>
          <w:tcPr>
            <w:tcW w:w="1184" w:type="pct"/>
            <w:hideMark/>
          </w:tcPr>
          <w:p w14:paraId="511BB38F" w14:textId="67247B4D" w:rsidR="002E3BF1" w:rsidRPr="000C52AC" w:rsidRDefault="00FF10C5" w:rsidP="002E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</w:tc>
        <w:tc>
          <w:tcPr>
            <w:tcW w:w="2116" w:type="pct"/>
            <w:hideMark/>
          </w:tcPr>
          <w:p w14:paraId="2EC46305" w14:textId="0CC803E5" w:rsidR="002E3BF1" w:rsidRPr="000C52AC" w:rsidRDefault="002E3BF1" w:rsidP="0004731A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Blinding was not performed.</w:t>
            </w:r>
            <w:r w:rsidR="0004731A">
              <w:rPr>
                <w:sz w:val="20"/>
                <w:szCs w:val="20"/>
              </w:rPr>
              <w:t xml:space="preserve"> It was not clear if there were independent researcher distribute the questionnaire</w:t>
            </w:r>
            <w:r w:rsidR="00793059">
              <w:rPr>
                <w:sz w:val="20"/>
                <w:szCs w:val="20"/>
              </w:rPr>
              <w:t xml:space="preserve"> </w:t>
            </w:r>
            <w:r w:rsidR="0004731A">
              <w:rPr>
                <w:sz w:val="20"/>
                <w:szCs w:val="20"/>
              </w:rPr>
              <w:t>or the teachers at school distributed the questionnaire.</w:t>
            </w:r>
          </w:p>
        </w:tc>
      </w:tr>
      <w:tr w:rsidR="000C52AC" w:rsidRPr="000C52AC" w14:paraId="061BCEC2" w14:textId="77777777" w:rsidTr="00520595">
        <w:trPr>
          <w:trHeight w:val="264"/>
        </w:trPr>
        <w:tc>
          <w:tcPr>
            <w:tcW w:w="1700" w:type="pct"/>
            <w:hideMark/>
          </w:tcPr>
          <w:p w14:paraId="051B39F5" w14:textId="77777777" w:rsidR="002E3BF1" w:rsidRPr="000C52AC" w:rsidRDefault="002E3BF1" w:rsidP="002E3BF1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Incomplete outcome data</w:t>
            </w:r>
          </w:p>
        </w:tc>
        <w:tc>
          <w:tcPr>
            <w:tcW w:w="1184" w:type="pct"/>
            <w:hideMark/>
          </w:tcPr>
          <w:p w14:paraId="008B2C4C" w14:textId="2D26F11B" w:rsidR="002E3BF1" w:rsidRPr="000C52AC" w:rsidRDefault="00E75BD9" w:rsidP="002E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116" w:type="pct"/>
            <w:hideMark/>
          </w:tcPr>
          <w:p w14:paraId="762F0D3D" w14:textId="77777777" w:rsidR="002E3BF1" w:rsidRPr="000C52AC" w:rsidRDefault="002E3BF1" w:rsidP="002E3BF1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 xml:space="preserve">Total response rate was 75%. Questionnaire were distributed to and completed by children's parents, and was collected back at schools. </w:t>
            </w:r>
          </w:p>
        </w:tc>
      </w:tr>
      <w:tr w:rsidR="000C52AC" w:rsidRPr="000C52AC" w14:paraId="54A8A4E5" w14:textId="77777777" w:rsidTr="00520595">
        <w:trPr>
          <w:trHeight w:val="675"/>
        </w:trPr>
        <w:tc>
          <w:tcPr>
            <w:tcW w:w="1700" w:type="pct"/>
            <w:tcBorders>
              <w:bottom w:val="double" w:sz="4" w:space="0" w:color="auto"/>
            </w:tcBorders>
            <w:hideMark/>
          </w:tcPr>
          <w:p w14:paraId="73D78F36" w14:textId="77777777" w:rsidR="002E3BF1" w:rsidRPr="000C52AC" w:rsidRDefault="002E3BF1" w:rsidP="002E3BF1">
            <w:pPr>
              <w:rPr>
                <w:sz w:val="20"/>
                <w:szCs w:val="20"/>
              </w:rPr>
            </w:pPr>
            <w:r w:rsidRPr="000C52AC">
              <w:rPr>
                <w:sz w:val="20"/>
                <w:szCs w:val="20"/>
              </w:rPr>
              <w:t>Selective outcome reporting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hideMark/>
          </w:tcPr>
          <w:p w14:paraId="2F9E074D" w14:textId="0D24602F" w:rsidR="002E3BF1" w:rsidRPr="000C52AC" w:rsidRDefault="008A5E62" w:rsidP="002E3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116" w:type="pct"/>
            <w:tcBorders>
              <w:bottom w:val="double" w:sz="4" w:space="0" w:color="auto"/>
            </w:tcBorders>
            <w:hideMark/>
          </w:tcPr>
          <w:p w14:paraId="5C8AD20A" w14:textId="5C568DB6" w:rsidR="002E3BF1" w:rsidRPr="000C52AC" w:rsidRDefault="008A5E62" w:rsidP="00EC6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EC6817">
              <w:rPr>
                <w:sz w:val="20"/>
                <w:szCs w:val="20"/>
              </w:rPr>
              <w:t>social and demographic of the children where not reported by either regions of the sample they collected or by each 22 schools. Only the sex and age in a pool result.</w:t>
            </w:r>
          </w:p>
        </w:tc>
      </w:tr>
      <w:tr w:rsidR="00520595" w:rsidRPr="000C52AC" w14:paraId="3F8655F2" w14:textId="77777777" w:rsidTr="00B3121D">
        <w:trPr>
          <w:cantSplit/>
          <w:trHeight w:val="454"/>
        </w:trPr>
        <w:tc>
          <w:tcPr>
            <w:tcW w:w="1700" w:type="pct"/>
            <w:tcBorders>
              <w:top w:val="double" w:sz="4" w:space="0" w:color="auto"/>
            </w:tcBorders>
          </w:tcPr>
          <w:p w14:paraId="63E15CF6" w14:textId="19275327" w:rsidR="00520595" w:rsidRPr="000C52AC" w:rsidRDefault="00520595" w:rsidP="002E3BF1">
            <w:pPr>
              <w:rPr>
                <w:sz w:val="20"/>
                <w:szCs w:val="20"/>
              </w:rPr>
            </w:pPr>
            <w:r w:rsidRPr="00F7192E">
              <w:rPr>
                <w:sz w:val="20"/>
                <w:szCs w:val="20"/>
              </w:rPr>
              <w:t>Overall bias judgment</w:t>
            </w:r>
          </w:p>
        </w:tc>
        <w:tc>
          <w:tcPr>
            <w:tcW w:w="3300" w:type="pct"/>
            <w:gridSpan w:val="2"/>
            <w:tcBorders>
              <w:top w:val="double" w:sz="4" w:space="0" w:color="auto"/>
            </w:tcBorders>
          </w:tcPr>
          <w:p w14:paraId="4FA9C8BA" w14:textId="694EC708" w:rsidR="00520595" w:rsidRPr="000C52AC" w:rsidRDefault="00520595" w:rsidP="002E3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risk of bias</w:t>
            </w:r>
          </w:p>
        </w:tc>
      </w:tr>
    </w:tbl>
    <w:p w14:paraId="655851CE" w14:textId="08472621" w:rsidR="00B3121D" w:rsidRDefault="00B312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2018"/>
        <w:gridCol w:w="3609"/>
      </w:tblGrid>
      <w:tr w:rsidR="00520595" w:rsidRPr="00E3499F" w14:paraId="60CC0BA9" w14:textId="77777777" w:rsidTr="00520595">
        <w:trPr>
          <w:trHeight w:val="300"/>
        </w:trPr>
        <w:tc>
          <w:tcPr>
            <w:tcW w:w="8522" w:type="dxa"/>
            <w:gridSpan w:val="3"/>
            <w:tcBorders>
              <w:bottom w:val="single" w:sz="24" w:space="0" w:color="auto"/>
            </w:tcBorders>
            <w:hideMark/>
          </w:tcPr>
          <w:p w14:paraId="3F574A22" w14:textId="0E135534" w:rsidR="00520595" w:rsidRPr="00520595" w:rsidRDefault="00520595" w:rsidP="00E3499F">
            <w:pPr>
              <w:rPr>
                <w:b/>
              </w:rPr>
            </w:pPr>
            <w:r w:rsidRPr="00520595">
              <w:rPr>
                <w:b/>
              </w:rPr>
              <w:t xml:space="preserve">4. </w:t>
            </w:r>
            <w:proofErr w:type="spellStart"/>
            <w:r w:rsidRPr="00520595">
              <w:rPr>
                <w:b/>
              </w:rPr>
              <w:t>Romamos</w:t>
            </w:r>
            <w:proofErr w:type="spellEnd"/>
            <w:r w:rsidRPr="00520595">
              <w:rPr>
                <w:b/>
              </w:rPr>
              <w:t xml:space="preserve"> 2010</w:t>
            </w:r>
            <w:r w:rsidR="003E05F5">
              <w:rPr>
                <w:b/>
              </w:rPr>
              <w:t xml:space="preserve"> </w:t>
            </w:r>
            <w:r w:rsidR="003E05F5" w:rsidRPr="003E05F5">
              <w:t>[37]</w:t>
            </w:r>
          </w:p>
          <w:p w14:paraId="40FDB9C2" w14:textId="12C3C655" w:rsidR="00520595" w:rsidRPr="00E3499F" w:rsidRDefault="00520595" w:rsidP="00E3499F">
            <w:pPr>
              <w:rPr>
                <w:sz w:val="20"/>
                <w:szCs w:val="20"/>
              </w:rPr>
            </w:pPr>
            <w:r w:rsidRPr="00520595">
              <w:rPr>
                <w:b/>
              </w:rPr>
              <w:t>Study: retrospective cross-sectional</w:t>
            </w:r>
          </w:p>
        </w:tc>
      </w:tr>
      <w:tr w:rsidR="002E3BF1" w:rsidRPr="00E3499F" w14:paraId="376FF743" w14:textId="77777777" w:rsidTr="00B3121D">
        <w:trPr>
          <w:cantSplit/>
          <w:trHeight w:val="454"/>
        </w:trPr>
        <w:tc>
          <w:tcPr>
            <w:tcW w:w="2895" w:type="dxa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0EE8377A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Bias</w:t>
            </w:r>
          </w:p>
        </w:tc>
        <w:tc>
          <w:tcPr>
            <w:tcW w:w="2018" w:type="dxa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7DA4F811" w14:textId="77777777" w:rsidR="002E3BF1" w:rsidRPr="00E3499F" w:rsidRDefault="002E3BF1" w:rsidP="00E3499F">
            <w:pPr>
              <w:rPr>
                <w:b/>
                <w:bCs/>
                <w:sz w:val="20"/>
                <w:szCs w:val="20"/>
              </w:rPr>
            </w:pPr>
            <w:r w:rsidRPr="00E3499F">
              <w:rPr>
                <w:b/>
                <w:bCs/>
                <w:sz w:val="20"/>
                <w:szCs w:val="20"/>
              </w:rPr>
              <w:t xml:space="preserve">Authors’ </w:t>
            </w:r>
            <w:proofErr w:type="spellStart"/>
            <w:r w:rsidRPr="00E3499F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  <w:tc>
          <w:tcPr>
            <w:tcW w:w="3609" w:type="dxa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3CCD9F95" w14:textId="77777777" w:rsidR="002E3BF1" w:rsidRPr="00E3499F" w:rsidRDefault="002E3BF1" w:rsidP="00E3499F">
            <w:pPr>
              <w:rPr>
                <w:b/>
                <w:bCs/>
                <w:sz w:val="20"/>
                <w:szCs w:val="20"/>
              </w:rPr>
            </w:pPr>
            <w:r w:rsidRPr="00E3499F">
              <w:rPr>
                <w:b/>
                <w:bCs/>
                <w:sz w:val="20"/>
                <w:szCs w:val="20"/>
              </w:rPr>
              <w:t xml:space="preserve">Support for </w:t>
            </w:r>
            <w:proofErr w:type="spellStart"/>
            <w:r w:rsidRPr="00E3499F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</w:tr>
      <w:tr w:rsidR="002E3BF1" w:rsidRPr="00E3499F" w14:paraId="74727C29" w14:textId="77777777" w:rsidTr="00520595">
        <w:trPr>
          <w:trHeight w:val="908"/>
        </w:trPr>
        <w:tc>
          <w:tcPr>
            <w:tcW w:w="2895" w:type="dxa"/>
            <w:tcBorders>
              <w:top w:val="double" w:sz="4" w:space="0" w:color="auto"/>
            </w:tcBorders>
            <w:hideMark/>
          </w:tcPr>
          <w:p w14:paraId="5D6DA0E7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Selection of participants</w:t>
            </w:r>
          </w:p>
        </w:tc>
        <w:tc>
          <w:tcPr>
            <w:tcW w:w="2018" w:type="dxa"/>
            <w:tcBorders>
              <w:top w:val="double" w:sz="4" w:space="0" w:color="auto"/>
            </w:tcBorders>
            <w:hideMark/>
          </w:tcPr>
          <w:p w14:paraId="51C29668" w14:textId="191E6BE2" w:rsidR="002E3BF1" w:rsidRPr="00E3499F" w:rsidRDefault="000312C3" w:rsidP="00E3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Unclear </w:t>
            </w:r>
          </w:p>
        </w:tc>
        <w:tc>
          <w:tcPr>
            <w:tcW w:w="3609" w:type="dxa"/>
            <w:tcBorders>
              <w:top w:val="double" w:sz="4" w:space="0" w:color="auto"/>
            </w:tcBorders>
            <w:hideMark/>
          </w:tcPr>
          <w:p w14:paraId="3111017A" w14:textId="5FF059DD" w:rsidR="002E3BF1" w:rsidRPr="00E3499F" w:rsidRDefault="002E3BF1" w:rsidP="000E1B60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 xml:space="preserve">ADHD children were chosen from those who participated in the German Health Interview and Examination Survey for Children and </w:t>
            </w:r>
            <w:r w:rsidR="00DF6449" w:rsidRPr="00E3499F">
              <w:rPr>
                <w:sz w:val="20"/>
                <w:szCs w:val="20"/>
              </w:rPr>
              <w:t>Adolescents</w:t>
            </w:r>
            <w:r w:rsidRPr="00E3499F">
              <w:rPr>
                <w:sz w:val="20"/>
                <w:szCs w:val="20"/>
              </w:rPr>
              <w:t xml:space="preserve"> with information on </w:t>
            </w:r>
            <w:proofErr w:type="spellStart"/>
            <w:r w:rsidRPr="00E3499F">
              <w:rPr>
                <w:sz w:val="20"/>
                <w:szCs w:val="20"/>
              </w:rPr>
              <w:t>sociodemogrphics</w:t>
            </w:r>
            <w:proofErr w:type="spellEnd"/>
            <w:r w:rsidRPr="00E3499F">
              <w:rPr>
                <w:sz w:val="20"/>
                <w:szCs w:val="20"/>
              </w:rPr>
              <w:t xml:space="preserve"> and health related topics</w:t>
            </w:r>
            <w:r w:rsidR="007E5D84">
              <w:rPr>
                <w:sz w:val="20"/>
                <w:szCs w:val="20"/>
              </w:rPr>
              <w:t xml:space="preserve"> database</w:t>
            </w:r>
            <w:r w:rsidRPr="00E3499F">
              <w:rPr>
                <w:sz w:val="20"/>
                <w:szCs w:val="20"/>
              </w:rPr>
              <w:t>.</w:t>
            </w:r>
            <w:r w:rsidR="000312C3">
              <w:rPr>
                <w:sz w:val="20"/>
                <w:szCs w:val="20"/>
              </w:rPr>
              <w:t xml:space="preserve"> Unclear to whether The potential cases of ADHD might be neglected for selection.</w:t>
            </w:r>
          </w:p>
        </w:tc>
      </w:tr>
      <w:tr w:rsidR="002E3BF1" w:rsidRPr="00E3499F" w14:paraId="6802CB31" w14:textId="77777777" w:rsidTr="00520595">
        <w:trPr>
          <w:trHeight w:val="782"/>
        </w:trPr>
        <w:tc>
          <w:tcPr>
            <w:tcW w:w="2895" w:type="dxa"/>
            <w:hideMark/>
          </w:tcPr>
          <w:p w14:paraId="67121EBD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Confounding variables</w:t>
            </w:r>
          </w:p>
        </w:tc>
        <w:tc>
          <w:tcPr>
            <w:tcW w:w="2018" w:type="dxa"/>
            <w:hideMark/>
          </w:tcPr>
          <w:p w14:paraId="3D321D97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hideMark/>
          </w:tcPr>
          <w:p w14:paraId="46A5F708" w14:textId="2F2D7A9C" w:rsidR="002E3BF1" w:rsidRPr="00E3499F" w:rsidRDefault="003A05B8" w:rsidP="00E3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confounders</w:t>
            </w:r>
            <w:r w:rsidR="002E3BF1" w:rsidRPr="00E3499F">
              <w:rPr>
                <w:sz w:val="20"/>
                <w:szCs w:val="20"/>
              </w:rPr>
              <w:t xml:space="preserve"> adjusted by</w:t>
            </w:r>
            <w:r>
              <w:rPr>
                <w:sz w:val="20"/>
                <w:szCs w:val="20"/>
              </w:rPr>
              <w:t xml:space="preserve"> logistic regression models. T</w:t>
            </w:r>
            <w:r w:rsidR="002E3BF1" w:rsidRPr="00E3499F">
              <w:rPr>
                <w:sz w:val="20"/>
                <w:szCs w:val="20"/>
              </w:rPr>
              <w:t xml:space="preserve">esting nested models </w:t>
            </w:r>
            <w:r>
              <w:rPr>
                <w:sz w:val="20"/>
                <w:szCs w:val="20"/>
              </w:rPr>
              <w:t xml:space="preserve">performed </w:t>
            </w:r>
            <w:r w:rsidR="002E3BF1" w:rsidRPr="00E3499F">
              <w:rPr>
                <w:sz w:val="20"/>
                <w:szCs w:val="20"/>
              </w:rPr>
              <w:t>by using the like</w:t>
            </w:r>
            <w:r w:rsidR="00DF6449">
              <w:rPr>
                <w:sz w:val="20"/>
                <w:szCs w:val="20"/>
              </w:rPr>
              <w:t>li</w:t>
            </w:r>
            <w:r w:rsidR="002E3BF1" w:rsidRPr="00E3499F">
              <w:rPr>
                <w:sz w:val="20"/>
                <w:szCs w:val="20"/>
              </w:rPr>
              <w:t>hood ratio test. Missing data were included in the final model.</w:t>
            </w:r>
          </w:p>
        </w:tc>
      </w:tr>
      <w:tr w:rsidR="002E3BF1" w:rsidRPr="00E3499F" w14:paraId="193DED9C" w14:textId="77777777" w:rsidTr="00520595">
        <w:trPr>
          <w:trHeight w:val="1668"/>
        </w:trPr>
        <w:tc>
          <w:tcPr>
            <w:tcW w:w="2895" w:type="dxa"/>
            <w:hideMark/>
          </w:tcPr>
          <w:p w14:paraId="4E39F61C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Measurement of exposure</w:t>
            </w:r>
          </w:p>
        </w:tc>
        <w:tc>
          <w:tcPr>
            <w:tcW w:w="2018" w:type="dxa"/>
            <w:hideMark/>
          </w:tcPr>
          <w:p w14:paraId="20A36BD0" w14:textId="158F42AE" w:rsidR="002E3BF1" w:rsidRPr="00E3499F" w:rsidRDefault="00E75BD9" w:rsidP="00E3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hideMark/>
          </w:tcPr>
          <w:p w14:paraId="386BC3A9" w14:textId="53E9CB9A" w:rsidR="002E3BF1" w:rsidRPr="00E3499F" w:rsidRDefault="00A31C28" w:rsidP="00A3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2E3BF1" w:rsidRPr="00E3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from KIGGS </w:t>
            </w:r>
            <w:r w:rsidR="002E3BF1" w:rsidRPr="00E3499F">
              <w:rPr>
                <w:sz w:val="20"/>
                <w:szCs w:val="20"/>
              </w:rPr>
              <w:t xml:space="preserve">were from self-administered questionnaires and </w:t>
            </w:r>
            <w:r w:rsidRPr="00E3499F">
              <w:rPr>
                <w:sz w:val="20"/>
                <w:szCs w:val="20"/>
              </w:rPr>
              <w:t>standardized</w:t>
            </w:r>
            <w:r w:rsidR="002E3BF1" w:rsidRPr="00E3499F">
              <w:rPr>
                <w:sz w:val="20"/>
                <w:szCs w:val="20"/>
              </w:rPr>
              <w:t xml:space="preserve"> parental </w:t>
            </w:r>
            <w:r w:rsidRPr="00E3499F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ter</w:t>
            </w:r>
            <w:r w:rsidRPr="00E3499F">
              <w:rPr>
                <w:sz w:val="20"/>
                <w:szCs w:val="20"/>
              </w:rPr>
              <w:t>view</w:t>
            </w:r>
            <w:r w:rsidR="002E3BF1" w:rsidRPr="00E3499F">
              <w:rPr>
                <w:sz w:val="20"/>
                <w:szCs w:val="20"/>
              </w:rPr>
              <w:t xml:space="preserve"> conducted by trained </w:t>
            </w:r>
            <w:r w:rsidRPr="00E3499F">
              <w:rPr>
                <w:sz w:val="20"/>
                <w:szCs w:val="20"/>
              </w:rPr>
              <w:t>interviewers</w:t>
            </w:r>
            <w:r>
              <w:rPr>
                <w:sz w:val="20"/>
                <w:szCs w:val="20"/>
              </w:rPr>
              <w:t xml:space="preserve">. Those with life time diagnosis of ADHD and atopic eczema, atopic disorder cases met on the basis </w:t>
            </w:r>
            <w:r w:rsidR="002E3BF1" w:rsidRPr="00E3499F">
              <w:rPr>
                <w:sz w:val="20"/>
                <w:szCs w:val="20"/>
              </w:rPr>
              <w:t xml:space="preserve">of medical </w:t>
            </w:r>
            <w:r w:rsidR="00C37DF5">
              <w:rPr>
                <w:sz w:val="20"/>
                <w:szCs w:val="20"/>
              </w:rPr>
              <w:t xml:space="preserve">examination </w:t>
            </w:r>
            <w:r w:rsidR="002E3BF1" w:rsidRPr="00E3499F">
              <w:rPr>
                <w:sz w:val="20"/>
                <w:szCs w:val="20"/>
              </w:rPr>
              <w:t xml:space="preserve">and psychological diagnosis </w:t>
            </w:r>
            <w:r w:rsidRPr="00E3499F">
              <w:rPr>
                <w:sz w:val="20"/>
                <w:szCs w:val="20"/>
              </w:rPr>
              <w:t>according</w:t>
            </w:r>
            <w:r w:rsidR="002E3BF1" w:rsidRPr="00E3499F">
              <w:rPr>
                <w:sz w:val="20"/>
                <w:szCs w:val="20"/>
              </w:rPr>
              <w:t xml:space="preserve"> to the ICD-10 criteria </w:t>
            </w:r>
          </w:p>
        </w:tc>
      </w:tr>
      <w:tr w:rsidR="002E3BF1" w:rsidRPr="00E3499F" w14:paraId="236EB61E" w14:textId="77777777" w:rsidTr="00520595">
        <w:trPr>
          <w:trHeight w:val="1100"/>
        </w:trPr>
        <w:tc>
          <w:tcPr>
            <w:tcW w:w="2895" w:type="dxa"/>
            <w:hideMark/>
          </w:tcPr>
          <w:p w14:paraId="77D12A86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Blinding of outcome assessments</w:t>
            </w:r>
          </w:p>
        </w:tc>
        <w:tc>
          <w:tcPr>
            <w:tcW w:w="2018" w:type="dxa"/>
            <w:hideMark/>
          </w:tcPr>
          <w:p w14:paraId="2E594101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hideMark/>
          </w:tcPr>
          <w:p w14:paraId="311F939D" w14:textId="054DCB3E" w:rsidR="002E3BF1" w:rsidRPr="00E3499F" w:rsidRDefault="002E3BF1" w:rsidP="00E85455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 xml:space="preserve">The study was performed in accordance with Declaration of Helsinki protocol </w:t>
            </w:r>
            <w:r w:rsidR="0004731A">
              <w:rPr>
                <w:sz w:val="20"/>
                <w:szCs w:val="20"/>
              </w:rPr>
              <w:t xml:space="preserve">by difference group of researchers </w:t>
            </w:r>
            <w:r w:rsidRPr="00E3499F">
              <w:rPr>
                <w:sz w:val="20"/>
                <w:szCs w:val="20"/>
              </w:rPr>
              <w:t xml:space="preserve">and all personal </w:t>
            </w:r>
            <w:r w:rsidR="00A31C28" w:rsidRPr="00E3499F">
              <w:rPr>
                <w:sz w:val="20"/>
                <w:szCs w:val="20"/>
              </w:rPr>
              <w:t>identifiers</w:t>
            </w:r>
            <w:r w:rsidRPr="00E3499F">
              <w:rPr>
                <w:sz w:val="20"/>
                <w:szCs w:val="20"/>
              </w:rPr>
              <w:t xml:space="preserve"> had been removed from the data</w:t>
            </w:r>
            <w:r w:rsidR="0004731A">
              <w:rPr>
                <w:sz w:val="20"/>
                <w:szCs w:val="20"/>
              </w:rPr>
              <w:t xml:space="preserve">base prior to this </w:t>
            </w:r>
            <w:r w:rsidR="000312C3">
              <w:rPr>
                <w:sz w:val="20"/>
                <w:szCs w:val="20"/>
              </w:rPr>
              <w:t>research</w:t>
            </w:r>
            <w:r w:rsidR="00E85455">
              <w:rPr>
                <w:sz w:val="20"/>
                <w:szCs w:val="20"/>
              </w:rPr>
              <w:t>.</w:t>
            </w:r>
            <w:r w:rsidR="000312C3">
              <w:rPr>
                <w:sz w:val="20"/>
                <w:szCs w:val="20"/>
              </w:rPr>
              <w:t xml:space="preserve"> </w:t>
            </w:r>
          </w:p>
        </w:tc>
      </w:tr>
      <w:tr w:rsidR="002E3BF1" w:rsidRPr="00E3499F" w14:paraId="69493A1E" w14:textId="77777777" w:rsidTr="00520595">
        <w:trPr>
          <w:trHeight w:val="610"/>
        </w:trPr>
        <w:tc>
          <w:tcPr>
            <w:tcW w:w="2895" w:type="dxa"/>
            <w:hideMark/>
          </w:tcPr>
          <w:p w14:paraId="694D6CB2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Incomplete outcome data</w:t>
            </w:r>
          </w:p>
        </w:tc>
        <w:tc>
          <w:tcPr>
            <w:tcW w:w="2018" w:type="dxa"/>
            <w:hideMark/>
          </w:tcPr>
          <w:p w14:paraId="5A4FD3A9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hideMark/>
          </w:tcPr>
          <w:p w14:paraId="4377E2EB" w14:textId="742D0627" w:rsidR="002E3BF1" w:rsidRPr="00E3499F" w:rsidRDefault="003A05B8" w:rsidP="003A0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E3BF1" w:rsidRPr="00E3499F">
              <w:rPr>
                <w:sz w:val="20"/>
                <w:szCs w:val="20"/>
              </w:rPr>
              <w:t xml:space="preserve">utcome data </w:t>
            </w:r>
            <w:r>
              <w:rPr>
                <w:sz w:val="20"/>
                <w:szCs w:val="20"/>
              </w:rPr>
              <w:t xml:space="preserve">that was intended for analysis were completed </w:t>
            </w:r>
            <w:r w:rsidR="002E3BF1" w:rsidRPr="00E3499F">
              <w:rPr>
                <w:sz w:val="20"/>
                <w:szCs w:val="20"/>
              </w:rPr>
              <w:t xml:space="preserve">and missing data were considered as confounder and </w:t>
            </w:r>
            <w:r w:rsidR="000312C3">
              <w:rPr>
                <w:sz w:val="20"/>
                <w:szCs w:val="20"/>
              </w:rPr>
              <w:t>confounder</w:t>
            </w:r>
            <w:r w:rsidR="002E3BF1" w:rsidRPr="00E3499F">
              <w:rPr>
                <w:sz w:val="20"/>
                <w:szCs w:val="20"/>
              </w:rPr>
              <w:t xml:space="preserve"> </w:t>
            </w:r>
            <w:r w:rsidR="000312C3">
              <w:rPr>
                <w:sz w:val="20"/>
                <w:szCs w:val="20"/>
              </w:rPr>
              <w:t xml:space="preserve">were included their </w:t>
            </w:r>
            <w:r w:rsidR="002E3BF1" w:rsidRPr="00E3499F">
              <w:rPr>
                <w:sz w:val="20"/>
                <w:szCs w:val="20"/>
              </w:rPr>
              <w:t xml:space="preserve">analysis. </w:t>
            </w:r>
          </w:p>
        </w:tc>
      </w:tr>
      <w:tr w:rsidR="002E3BF1" w:rsidRPr="00E3499F" w14:paraId="3E3ABA37" w14:textId="77777777" w:rsidTr="00520595">
        <w:trPr>
          <w:trHeight w:val="479"/>
        </w:trPr>
        <w:tc>
          <w:tcPr>
            <w:tcW w:w="2895" w:type="dxa"/>
            <w:tcBorders>
              <w:bottom w:val="double" w:sz="4" w:space="0" w:color="auto"/>
            </w:tcBorders>
            <w:hideMark/>
          </w:tcPr>
          <w:p w14:paraId="39478E8E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Selective outcome reporting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hideMark/>
          </w:tcPr>
          <w:p w14:paraId="0934A885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tcBorders>
              <w:bottom w:val="double" w:sz="4" w:space="0" w:color="auto"/>
            </w:tcBorders>
            <w:hideMark/>
          </w:tcPr>
          <w:p w14:paraId="44319C01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All reported results correspond to intended outcome analysis.</w:t>
            </w:r>
          </w:p>
        </w:tc>
      </w:tr>
      <w:tr w:rsidR="00520595" w:rsidRPr="00E3499F" w14:paraId="312738C9" w14:textId="77777777" w:rsidTr="00B3121D">
        <w:trPr>
          <w:cantSplit/>
          <w:trHeight w:val="454"/>
        </w:trPr>
        <w:tc>
          <w:tcPr>
            <w:tcW w:w="2895" w:type="dxa"/>
            <w:tcBorders>
              <w:top w:val="double" w:sz="4" w:space="0" w:color="auto"/>
            </w:tcBorders>
          </w:tcPr>
          <w:p w14:paraId="51BA5CF7" w14:textId="2FA7D20F" w:rsidR="00520595" w:rsidRPr="00E3499F" w:rsidRDefault="00520595" w:rsidP="00E3499F">
            <w:pPr>
              <w:rPr>
                <w:sz w:val="20"/>
                <w:szCs w:val="20"/>
              </w:rPr>
            </w:pPr>
            <w:r w:rsidRPr="00F7192E">
              <w:rPr>
                <w:sz w:val="20"/>
                <w:szCs w:val="20"/>
              </w:rPr>
              <w:t>Overall bias judgment</w:t>
            </w:r>
          </w:p>
        </w:tc>
        <w:tc>
          <w:tcPr>
            <w:tcW w:w="5627" w:type="dxa"/>
            <w:gridSpan w:val="2"/>
            <w:tcBorders>
              <w:top w:val="double" w:sz="4" w:space="0" w:color="auto"/>
            </w:tcBorders>
          </w:tcPr>
          <w:p w14:paraId="473E03DE" w14:textId="72271DF6" w:rsidR="00520595" w:rsidRPr="00E3499F" w:rsidRDefault="00520595" w:rsidP="00E349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Unclear</w:t>
            </w:r>
            <w:r w:rsidRPr="00F7192E">
              <w:rPr>
                <w:b/>
                <w:sz w:val="20"/>
                <w:szCs w:val="20"/>
              </w:rPr>
              <w:t xml:space="preserve"> risk of bias</w:t>
            </w:r>
          </w:p>
        </w:tc>
      </w:tr>
    </w:tbl>
    <w:p w14:paraId="6F3B560C" w14:textId="52610132" w:rsidR="00B3121D" w:rsidRDefault="00B312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2018"/>
        <w:gridCol w:w="3609"/>
      </w:tblGrid>
      <w:tr w:rsidR="00520595" w:rsidRPr="00E3499F" w14:paraId="39CDA6F8" w14:textId="77777777" w:rsidTr="00520595">
        <w:trPr>
          <w:trHeight w:val="300"/>
        </w:trPr>
        <w:tc>
          <w:tcPr>
            <w:tcW w:w="8522" w:type="dxa"/>
            <w:gridSpan w:val="3"/>
            <w:tcBorders>
              <w:bottom w:val="single" w:sz="24" w:space="0" w:color="auto"/>
            </w:tcBorders>
            <w:hideMark/>
          </w:tcPr>
          <w:p w14:paraId="64E308AD" w14:textId="4296963F" w:rsidR="00520595" w:rsidRPr="003E05F5" w:rsidRDefault="00520595" w:rsidP="00520595">
            <w:r w:rsidRPr="00520595">
              <w:rPr>
                <w:b/>
              </w:rPr>
              <w:t xml:space="preserve">5. </w:t>
            </w:r>
            <w:proofErr w:type="spellStart"/>
            <w:r w:rsidRPr="00520595">
              <w:rPr>
                <w:b/>
              </w:rPr>
              <w:t>Suwan</w:t>
            </w:r>
            <w:proofErr w:type="spellEnd"/>
            <w:r w:rsidRPr="00520595">
              <w:rPr>
                <w:b/>
              </w:rPr>
              <w:t xml:space="preserve"> 2011</w:t>
            </w:r>
            <w:r w:rsidR="003E05F5">
              <w:rPr>
                <w:b/>
              </w:rPr>
              <w:t xml:space="preserve"> </w:t>
            </w:r>
            <w:r w:rsidR="003E05F5" w:rsidRPr="003E05F5">
              <w:t>[35]</w:t>
            </w:r>
          </w:p>
          <w:p w14:paraId="082CCD53" w14:textId="74D0C247" w:rsidR="00520595" w:rsidRPr="00E3499F" w:rsidRDefault="00520595" w:rsidP="00520595">
            <w:pPr>
              <w:rPr>
                <w:sz w:val="20"/>
                <w:szCs w:val="20"/>
              </w:rPr>
            </w:pPr>
            <w:r w:rsidRPr="00520595">
              <w:rPr>
                <w:b/>
              </w:rPr>
              <w:t>Study: case-control</w:t>
            </w:r>
          </w:p>
        </w:tc>
      </w:tr>
      <w:tr w:rsidR="002E3BF1" w:rsidRPr="00E3499F" w14:paraId="1A8A0E37" w14:textId="77777777" w:rsidTr="00B3121D">
        <w:trPr>
          <w:cantSplit/>
          <w:trHeight w:val="454"/>
        </w:trPr>
        <w:tc>
          <w:tcPr>
            <w:tcW w:w="2895" w:type="dxa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218B4C51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Bias</w:t>
            </w:r>
          </w:p>
        </w:tc>
        <w:tc>
          <w:tcPr>
            <w:tcW w:w="2018" w:type="dxa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77FB7931" w14:textId="77777777" w:rsidR="002E3BF1" w:rsidRPr="00E3499F" w:rsidRDefault="002E3BF1" w:rsidP="00E3499F">
            <w:pPr>
              <w:rPr>
                <w:b/>
                <w:bCs/>
                <w:sz w:val="20"/>
                <w:szCs w:val="20"/>
              </w:rPr>
            </w:pPr>
            <w:r w:rsidRPr="00E3499F">
              <w:rPr>
                <w:b/>
                <w:bCs/>
                <w:sz w:val="20"/>
                <w:szCs w:val="20"/>
              </w:rPr>
              <w:t xml:space="preserve">Authors' </w:t>
            </w:r>
            <w:proofErr w:type="spellStart"/>
            <w:r w:rsidRPr="00E3499F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  <w:tc>
          <w:tcPr>
            <w:tcW w:w="3609" w:type="dxa"/>
            <w:tcBorders>
              <w:top w:val="single" w:sz="24" w:space="0" w:color="auto"/>
              <w:bottom w:val="double" w:sz="4" w:space="0" w:color="auto"/>
            </w:tcBorders>
            <w:hideMark/>
          </w:tcPr>
          <w:p w14:paraId="05654EBB" w14:textId="77777777" w:rsidR="002E3BF1" w:rsidRPr="00E3499F" w:rsidRDefault="002E3BF1" w:rsidP="00E3499F">
            <w:pPr>
              <w:rPr>
                <w:b/>
                <w:bCs/>
                <w:sz w:val="20"/>
                <w:szCs w:val="20"/>
              </w:rPr>
            </w:pPr>
            <w:r w:rsidRPr="00E3499F">
              <w:rPr>
                <w:b/>
                <w:bCs/>
                <w:sz w:val="20"/>
                <w:szCs w:val="20"/>
              </w:rPr>
              <w:t xml:space="preserve">Support for </w:t>
            </w:r>
            <w:proofErr w:type="spellStart"/>
            <w:r w:rsidRPr="00E3499F">
              <w:rPr>
                <w:b/>
                <w:bCs/>
                <w:sz w:val="20"/>
                <w:szCs w:val="20"/>
              </w:rPr>
              <w:t>judgement</w:t>
            </w:r>
            <w:proofErr w:type="spellEnd"/>
          </w:p>
        </w:tc>
      </w:tr>
      <w:tr w:rsidR="002E3BF1" w:rsidRPr="00E3499F" w14:paraId="66D0AC84" w14:textId="77777777" w:rsidTr="00520595">
        <w:trPr>
          <w:trHeight w:val="1540"/>
        </w:trPr>
        <w:tc>
          <w:tcPr>
            <w:tcW w:w="2895" w:type="dxa"/>
            <w:tcBorders>
              <w:top w:val="double" w:sz="4" w:space="0" w:color="auto"/>
            </w:tcBorders>
            <w:hideMark/>
          </w:tcPr>
          <w:p w14:paraId="3D5002E3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Selection of participants</w:t>
            </w:r>
          </w:p>
        </w:tc>
        <w:tc>
          <w:tcPr>
            <w:tcW w:w="2018" w:type="dxa"/>
            <w:tcBorders>
              <w:top w:val="double" w:sz="4" w:space="0" w:color="auto"/>
            </w:tcBorders>
            <w:hideMark/>
          </w:tcPr>
          <w:p w14:paraId="418B8D11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tcBorders>
              <w:top w:val="double" w:sz="4" w:space="0" w:color="auto"/>
            </w:tcBorders>
            <w:hideMark/>
          </w:tcPr>
          <w:p w14:paraId="21AF8D69" w14:textId="5F338165" w:rsidR="002E3BF1" w:rsidRPr="00E3499F" w:rsidRDefault="00C37DF5" w:rsidP="00C3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participants were recruited in the </w:t>
            </w:r>
            <w:proofErr w:type="spellStart"/>
            <w:r>
              <w:rPr>
                <w:sz w:val="20"/>
                <w:szCs w:val="20"/>
              </w:rPr>
              <w:t>Vajira</w:t>
            </w:r>
            <w:proofErr w:type="spellEnd"/>
            <w:r>
              <w:rPr>
                <w:sz w:val="20"/>
                <w:szCs w:val="20"/>
              </w:rPr>
              <w:t xml:space="preserve"> Hospital, Bangk</w:t>
            </w:r>
            <w:r w:rsidR="00DF6449">
              <w:rPr>
                <w:sz w:val="20"/>
                <w:szCs w:val="20"/>
              </w:rPr>
              <w:t>ok, Thailand. ADHD children</w:t>
            </w:r>
            <w:r>
              <w:rPr>
                <w:sz w:val="20"/>
                <w:szCs w:val="20"/>
              </w:rPr>
              <w:t xml:space="preserve"> diagnosed by</w:t>
            </w:r>
            <w:r w:rsidR="002E3BF1" w:rsidRPr="00E3499F">
              <w:rPr>
                <w:sz w:val="20"/>
                <w:szCs w:val="20"/>
              </w:rPr>
              <w:t xml:space="preserve"> </w:t>
            </w:r>
            <w:r w:rsidRPr="00E3499F">
              <w:rPr>
                <w:sz w:val="20"/>
                <w:szCs w:val="20"/>
              </w:rPr>
              <w:t>developmental</w:t>
            </w:r>
            <w:r w:rsidR="002E3BF1" w:rsidRPr="00E3499F">
              <w:rPr>
                <w:sz w:val="20"/>
                <w:szCs w:val="20"/>
              </w:rPr>
              <w:t xml:space="preserve"> and behavioral </w:t>
            </w:r>
            <w:r w:rsidRPr="00E3499F">
              <w:rPr>
                <w:sz w:val="20"/>
                <w:szCs w:val="20"/>
              </w:rPr>
              <w:t>pediatrician</w:t>
            </w:r>
            <w:r>
              <w:rPr>
                <w:sz w:val="20"/>
                <w:szCs w:val="20"/>
              </w:rPr>
              <w:t>s</w:t>
            </w:r>
            <w:r w:rsidR="002E3BF1" w:rsidRPr="00E3499F">
              <w:rPr>
                <w:sz w:val="20"/>
                <w:szCs w:val="20"/>
              </w:rPr>
              <w:t xml:space="preserve">, and </w:t>
            </w:r>
            <w:r w:rsidR="00DF6449">
              <w:rPr>
                <w:sz w:val="20"/>
                <w:szCs w:val="20"/>
              </w:rPr>
              <w:t xml:space="preserve">the </w:t>
            </w:r>
            <w:r w:rsidR="002E3BF1" w:rsidRPr="00E3499F">
              <w:rPr>
                <w:sz w:val="20"/>
                <w:szCs w:val="20"/>
              </w:rPr>
              <w:t xml:space="preserve">non-ADHD </w:t>
            </w:r>
            <w:r w:rsidR="00DF6449" w:rsidRPr="00E3499F">
              <w:rPr>
                <w:sz w:val="20"/>
                <w:szCs w:val="20"/>
              </w:rPr>
              <w:t>group was</w:t>
            </w:r>
            <w:r w:rsidR="002E3BF1" w:rsidRPr="00E3499F">
              <w:rPr>
                <w:sz w:val="20"/>
                <w:szCs w:val="20"/>
              </w:rPr>
              <w:t xml:space="preserve"> recruited form outpatients from well baby and dental clinics and from the department for minor surgical procedures at the same period of time.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E3BF1" w:rsidRPr="00E3499F" w14:paraId="289490A4" w14:textId="77777777" w:rsidTr="00520595">
        <w:trPr>
          <w:trHeight w:val="910"/>
        </w:trPr>
        <w:tc>
          <w:tcPr>
            <w:tcW w:w="2895" w:type="dxa"/>
            <w:hideMark/>
          </w:tcPr>
          <w:p w14:paraId="6E7726B5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Confounding variables</w:t>
            </w:r>
          </w:p>
        </w:tc>
        <w:tc>
          <w:tcPr>
            <w:tcW w:w="2018" w:type="dxa"/>
            <w:hideMark/>
          </w:tcPr>
          <w:p w14:paraId="6C14D707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hideMark/>
          </w:tcPr>
          <w:p w14:paraId="768A0952" w14:textId="0178C2FF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 xml:space="preserve">There are expected confounders by the case-control design but the main </w:t>
            </w:r>
            <w:r w:rsidR="00C37DF5" w:rsidRPr="00E3499F">
              <w:rPr>
                <w:sz w:val="20"/>
                <w:szCs w:val="20"/>
              </w:rPr>
              <w:t>confounders</w:t>
            </w:r>
            <w:r w:rsidRPr="00E3499F">
              <w:rPr>
                <w:sz w:val="20"/>
                <w:szCs w:val="20"/>
              </w:rPr>
              <w:t xml:space="preserve"> such as sex and age, within 12 months, were matched.  </w:t>
            </w:r>
          </w:p>
        </w:tc>
      </w:tr>
      <w:tr w:rsidR="002E3BF1" w:rsidRPr="00E3499F" w14:paraId="4B041076" w14:textId="77777777" w:rsidTr="00520595">
        <w:trPr>
          <w:trHeight w:val="544"/>
        </w:trPr>
        <w:tc>
          <w:tcPr>
            <w:tcW w:w="2895" w:type="dxa"/>
            <w:hideMark/>
          </w:tcPr>
          <w:p w14:paraId="667DB52C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Measurement of exposure</w:t>
            </w:r>
          </w:p>
        </w:tc>
        <w:tc>
          <w:tcPr>
            <w:tcW w:w="2018" w:type="dxa"/>
            <w:hideMark/>
          </w:tcPr>
          <w:p w14:paraId="7F9C51C4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hideMark/>
          </w:tcPr>
          <w:p w14:paraId="2AF9C4EA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ADHD were clinically diagnosed in accordance to DSM-IV edition criteria.</w:t>
            </w:r>
          </w:p>
        </w:tc>
      </w:tr>
      <w:tr w:rsidR="002E3BF1" w:rsidRPr="00E3499F" w14:paraId="2E1C25E2" w14:textId="77777777" w:rsidTr="00520595">
        <w:trPr>
          <w:trHeight w:val="804"/>
        </w:trPr>
        <w:tc>
          <w:tcPr>
            <w:tcW w:w="2895" w:type="dxa"/>
            <w:hideMark/>
          </w:tcPr>
          <w:p w14:paraId="75F85555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Blinding of outcome assessments</w:t>
            </w:r>
          </w:p>
        </w:tc>
        <w:tc>
          <w:tcPr>
            <w:tcW w:w="2018" w:type="dxa"/>
            <w:hideMark/>
          </w:tcPr>
          <w:p w14:paraId="52EE8F3F" w14:textId="34735C2C" w:rsidR="002E3BF1" w:rsidRPr="00E3499F" w:rsidRDefault="00C16CDD" w:rsidP="00E3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Unclear </w:t>
            </w:r>
          </w:p>
        </w:tc>
        <w:tc>
          <w:tcPr>
            <w:tcW w:w="3609" w:type="dxa"/>
            <w:hideMark/>
          </w:tcPr>
          <w:p w14:paraId="24FA36FC" w14:textId="306A7CBC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 xml:space="preserve">No blinding was </w:t>
            </w:r>
            <w:r w:rsidR="00C37DF5" w:rsidRPr="00E3499F">
              <w:rPr>
                <w:sz w:val="20"/>
                <w:szCs w:val="20"/>
              </w:rPr>
              <w:t>performed</w:t>
            </w:r>
            <w:r w:rsidRPr="00E3499F">
              <w:rPr>
                <w:sz w:val="20"/>
                <w:szCs w:val="20"/>
              </w:rPr>
              <w:t xml:space="preserve"> but </w:t>
            </w:r>
            <w:r w:rsidR="00C37DF5" w:rsidRPr="00E3499F">
              <w:rPr>
                <w:sz w:val="20"/>
                <w:szCs w:val="20"/>
              </w:rPr>
              <w:t>clinical</w:t>
            </w:r>
            <w:r w:rsidRPr="00E3499F">
              <w:rPr>
                <w:sz w:val="20"/>
                <w:szCs w:val="20"/>
              </w:rPr>
              <w:t xml:space="preserve"> skin prick test was unlikely to be influen</w:t>
            </w:r>
            <w:r w:rsidR="00C16CDD">
              <w:rPr>
                <w:sz w:val="20"/>
                <w:szCs w:val="20"/>
              </w:rPr>
              <w:t>ced by knowledge of</w:t>
            </w:r>
            <w:r w:rsidRPr="00E3499F">
              <w:rPr>
                <w:sz w:val="20"/>
                <w:szCs w:val="20"/>
              </w:rPr>
              <w:t xml:space="preserve"> participants.</w:t>
            </w:r>
            <w:r w:rsidR="00C16CDD">
              <w:rPr>
                <w:sz w:val="20"/>
                <w:szCs w:val="20"/>
              </w:rPr>
              <w:t xml:space="preserve"> </w:t>
            </w:r>
            <w:r w:rsidR="00EE01D3">
              <w:rPr>
                <w:sz w:val="20"/>
                <w:szCs w:val="20"/>
              </w:rPr>
              <w:t xml:space="preserve">It is not clear if the data assessor also diagnosis the allergy diseases or performed the allergy examination. </w:t>
            </w:r>
          </w:p>
        </w:tc>
      </w:tr>
      <w:tr w:rsidR="002E3BF1" w:rsidRPr="00E3499F" w14:paraId="18D42CB3" w14:textId="77777777" w:rsidTr="00520595">
        <w:trPr>
          <w:trHeight w:val="293"/>
        </w:trPr>
        <w:tc>
          <w:tcPr>
            <w:tcW w:w="2895" w:type="dxa"/>
            <w:hideMark/>
          </w:tcPr>
          <w:p w14:paraId="08E61BC2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Incomplete outcome data</w:t>
            </w:r>
          </w:p>
        </w:tc>
        <w:tc>
          <w:tcPr>
            <w:tcW w:w="2018" w:type="dxa"/>
            <w:hideMark/>
          </w:tcPr>
          <w:p w14:paraId="7EC38DFB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hideMark/>
          </w:tcPr>
          <w:p w14:paraId="2F2AD257" w14:textId="6945B56C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 xml:space="preserve">All participants competed the test and no data </w:t>
            </w:r>
            <w:r w:rsidR="003A05B8">
              <w:rPr>
                <w:sz w:val="20"/>
                <w:szCs w:val="20"/>
              </w:rPr>
              <w:t>were missing from this study</w:t>
            </w:r>
          </w:p>
        </w:tc>
      </w:tr>
      <w:tr w:rsidR="002E3BF1" w:rsidRPr="00E3499F" w14:paraId="18CDDD15" w14:textId="77777777" w:rsidTr="00520595">
        <w:trPr>
          <w:trHeight w:val="613"/>
        </w:trPr>
        <w:tc>
          <w:tcPr>
            <w:tcW w:w="2895" w:type="dxa"/>
            <w:tcBorders>
              <w:bottom w:val="double" w:sz="4" w:space="0" w:color="auto"/>
            </w:tcBorders>
            <w:hideMark/>
          </w:tcPr>
          <w:p w14:paraId="1EC38162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Selective outcome reporting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hideMark/>
          </w:tcPr>
          <w:p w14:paraId="4D474279" w14:textId="77777777" w:rsidR="002E3BF1" w:rsidRPr="00E3499F" w:rsidRDefault="002E3BF1" w:rsidP="00E3499F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Low</w:t>
            </w:r>
          </w:p>
        </w:tc>
        <w:tc>
          <w:tcPr>
            <w:tcW w:w="3609" w:type="dxa"/>
            <w:tcBorders>
              <w:bottom w:val="double" w:sz="4" w:space="0" w:color="auto"/>
            </w:tcBorders>
            <w:hideMark/>
          </w:tcPr>
          <w:p w14:paraId="41CE0CCD" w14:textId="05A36D40" w:rsidR="002E3BF1" w:rsidRPr="00E3499F" w:rsidRDefault="002E3BF1" w:rsidP="00C37DF5">
            <w:pPr>
              <w:rPr>
                <w:sz w:val="20"/>
                <w:szCs w:val="20"/>
              </w:rPr>
            </w:pPr>
            <w:r w:rsidRPr="00E3499F">
              <w:rPr>
                <w:sz w:val="20"/>
                <w:szCs w:val="20"/>
              </w:rPr>
              <w:t>All outcome measure and analyses were consistent to int</w:t>
            </w:r>
            <w:r w:rsidR="00C37DF5">
              <w:rPr>
                <w:sz w:val="20"/>
                <w:szCs w:val="20"/>
              </w:rPr>
              <w:t xml:space="preserve">ended outcomes and followed the medical standardized examination protocol. </w:t>
            </w:r>
            <w:r w:rsidRPr="00E3499F">
              <w:rPr>
                <w:sz w:val="20"/>
                <w:szCs w:val="20"/>
              </w:rPr>
              <w:t xml:space="preserve"> </w:t>
            </w:r>
          </w:p>
        </w:tc>
      </w:tr>
      <w:tr w:rsidR="00520595" w:rsidRPr="00E3499F" w14:paraId="7FD9BF87" w14:textId="77777777" w:rsidTr="00696498">
        <w:trPr>
          <w:cantSplit/>
          <w:trHeight w:val="454"/>
        </w:trPr>
        <w:tc>
          <w:tcPr>
            <w:tcW w:w="2895" w:type="dxa"/>
            <w:tcBorders>
              <w:top w:val="double" w:sz="4" w:space="0" w:color="auto"/>
              <w:bottom w:val="double" w:sz="4" w:space="0" w:color="auto"/>
            </w:tcBorders>
          </w:tcPr>
          <w:p w14:paraId="5B8DAF58" w14:textId="7F4BA19B" w:rsidR="00520595" w:rsidRPr="00E3499F" w:rsidRDefault="00520595" w:rsidP="00E3499F">
            <w:pPr>
              <w:rPr>
                <w:sz w:val="20"/>
                <w:szCs w:val="20"/>
              </w:rPr>
            </w:pPr>
            <w:r w:rsidRPr="00F7192E">
              <w:rPr>
                <w:sz w:val="20"/>
                <w:szCs w:val="20"/>
              </w:rPr>
              <w:t>Overall bias judgment</w:t>
            </w:r>
          </w:p>
        </w:tc>
        <w:tc>
          <w:tcPr>
            <w:tcW w:w="562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FEF7148" w14:textId="2CD55211" w:rsidR="00520595" w:rsidRPr="00E3499F" w:rsidRDefault="00520595" w:rsidP="00E349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Unclear</w:t>
            </w:r>
            <w:r w:rsidRPr="00F7192E">
              <w:rPr>
                <w:b/>
                <w:sz w:val="20"/>
                <w:szCs w:val="20"/>
              </w:rPr>
              <w:t xml:space="preserve"> risk of bias</w:t>
            </w:r>
          </w:p>
        </w:tc>
      </w:tr>
    </w:tbl>
    <w:p w14:paraId="7ED1CF02" w14:textId="4A72F46C" w:rsidR="00DF6449" w:rsidRDefault="00DF6449">
      <w:r>
        <w:rPr>
          <w:noProof/>
          <w:lang w:eastAsia="ja-JP"/>
        </w:rPr>
        <w:drawing>
          <wp:inline distT="0" distB="0" distL="0" distR="0" wp14:anchorId="0EE93769" wp14:editId="3E057FEA">
            <wp:extent cx="3266148" cy="1569451"/>
            <wp:effectExtent l="0" t="0" r="10795" b="5715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75" cy="15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401B7A48" wp14:editId="0EFACC6F">
            <wp:extent cx="1961983" cy="2535893"/>
            <wp:effectExtent l="0" t="0" r="0" b="4445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36" cy="25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C543" w14:textId="77777777" w:rsidR="00174820" w:rsidRDefault="00174820"/>
    <w:p w14:paraId="5F254FA3" w14:textId="77777777" w:rsidR="00174820" w:rsidRDefault="00174820"/>
    <w:p w14:paraId="6FA3A133" w14:textId="77777777" w:rsidR="00B3121D" w:rsidRDefault="00B3121D"/>
    <w:p w14:paraId="736C125E" w14:textId="77777777" w:rsidR="00B3121D" w:rsidRDefault="00B3121D"/>
    <w:sectPr w:rsidR="00B3121D" w:rsidSect="004C6E61">
      <w:pgSz w:w="11900" w:h="16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defaultTabStop w:val="720"/>
  <w:drawingGridHorizontalSpacing w:val="170"/>
  <w:drawingGridVerticalSpacing w:val="170"/>
  <w:displayHorizontalDrawingGridEvery w:val="0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F1"/>
    <w:rsid w:val="00012624"/>
    <w:rsid w:val="000312C3"/>
    <w:rsid w:val="0004731A"/>
    <w:rsid w:val="000C52AC"/>
    <w:rsid w:val="000E1B60"/>
    <w:rsid w:val="000E5D1E"/>
    <w:rsid w:val="00101464"/>
    <w:rsid w:val="00174820"/>
    <w:rsid w:val="001825DA"/>
    <w:rsid w:val="001C219B"/>
    <w:rsid w:val="00205C61"/>
    <w:rsid w:val="00240FD2"/>
    <w:rsid w:val="0028691B"/>
    <w:rsid w:val="002E3BF1"/>
    <w:rsid w:val="00390DF8"/>
    <w:rsid w:val="003A05B8"/>
    <w:rsid w:val="003E05F5"/>
    <w:rsid w:val="004C2FC0"/>
    <w:rsid w:val="004C6E61"/>
    <w:rsid w:val="004F730B"/>
    <w:rsid w:val="005058A6"/>
    <w:rsid w:val="00520595"/>
    <w:rsid w:val="005B2D08"/>
    <w:rsid w:val="005D150D"/>
    <w:rsid w:val="00611E70"/>
    <w:rsid w:val="00696498"/>
    <w:rsid w:val="006F04DD"/>
    <w:rsid w:val="007463C6"/>
    <w:rsid w:val="00793059"/>
    <w:rsid w:val="007B4117"/>
    <w:rsid w:val="007E5D84"/>
    <w:rsid w:val="008527C9"/>
    <w:rsid w:val="00865DC3"/>
    <w:rsid w:val="008A5E62"/>
    <w:rsid w:val="009120D2"/>
    <w:rsid w:val="009F570B"/>
    <w:rsid w:val="00A31C28"/>
    <w:rsid w:val="00AB771E"/>
    <w:rsid w:val="00B170D5"/>
    <w:rsid w:val="00B3121D"/>
    <w:rsid w:val="00B42BB4"/>
    <w:rsid w:val="00B630E0"/>
    <w:rsid w:val="00BC546A"/>
    <w:rsid w:val="00C02381"/>
    <w:rsid w:val="00C16CDD"/>
    <w:rsid w:val="00C37DF5"/>
    <w:rsid w:val="00C4138F"/>
    <w:rsid w:val="00C65F8E"/>
    <w:rsid w:val="00CD28E2"/>
    <w:rsid w:val="00D07930"/>
    <w:rsid w:val="00DE51A0"/>
    <w:rsid w:val="00DF6449"/>
    <w:rsid w:val="00E3499F"/>
    <w:rsid w:val="00E75BD9"/>
    <w:rsid w:val="00E77193"/>
    <w:rsid w:val="00E85455"/>
    <w:rsid w:val="00EC6817"/>
    <w:rsid w:val="00EC6F35"/>
    <w:rsid w:val="00ED0E00"/>
    <w:rsid w:val="00EE01D3"/>
    <w:rsid w:val="00F12279"/>
    <w:rsid w:val="00F7192E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3C5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3"/>
    <w:basedOn w:val="a1"/>
    <w:uiPriority w:val="60"/>
    <w:rsid w:val="002E3BF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List Accent 3"/>
    <w:basedOn w:val="a1"/>
    <w:uiPriority w:val="61"/>
    <w:rsid w:val="002E3BF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4"/>
    <w:basedOn w:val="a1"/>
    <w:uiPriority w:val="61"/>
    <w:rsid w:val="002E3BF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1">
    <w:name w:val="Light List Accent 1"/>
    <w:basedOn w:val="a1"/>
    <w:uiPriority w:val="61"/>
    <w:rsid w:val="002E3B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E01D3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1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3"/>
    <w:basedOn w:val="a1"/>
    <w:uiPriority w:val="60"/>
    <w:rsid w:val="002E3BF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List Accent 3"/>
    <w:basedOn w:val="a1"/>
    <w:uiPriority w:val="61"/>
    <w:rsid w:val="002E3BF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4"/>
    <w:basedOn w:val="a1"/>
    <w:uiPriority w:val="61"/>
    <w:rsid w:val="002E3BF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1">
    <w:name w:val="Light List Accent 1"/>
    <w:basedOn w:val="a1"/>
    <w:uiPriority w:val="61"/>
    <w:rsid w:val="002E3B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E01D3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1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EC1DE-C3AA-D547-A2F4-3AC7DA89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1161</Words>
  <Characters>6620</Characters>
  <Application>Microsoft Macintosh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Celine</dc:creator>
  <cp:keywords/>
  <dc:description/>
  <cp:lastModifiedBy>Miyazaki Celine</cp:lastModifiedBy>
  <cp:revision>32</cp:revision>
  <cp:lastPrinted>2015-03-04T09:33:00Z</cp:lastPrinted>
  <dcterms:created xsi:type="dcterms:W3CDTF">2015-02-26T05:33:00Z</dcterms:created>
  <dcterms:modified xsi:type="dcterms:W3CDTF">2016-06-28T06:44:00Z</dcterms:modified>
</cp:coreProperties>
</file>