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AEB" w:rsidRDefault="002E1AEB" w:rsidP="0054174F">
      <w:pPr>
        <w:spacing w:after="0"/>
        <w:rPr>
          <w:b/>
          <w:bCs/>
        </w:rPr>
      </w:pPr>
      <w:bookmarkStart w:id="0" w:name="_Toc433362205"/>
      <w:r>
        <w:rPr>
          <w:b/>
          <w:bCs/>
        </w:rPr>
        <w:t>A</w:t>
      </w:r>
      <w:r w:rsidR="005A69A0">
        <w:rPr>
          <w:b/>
          <w:bCs/>
        </w:rPr>
        <w:t>dditional file</w:t>
      </w:r>
      <w:r>
        <w:rPr>
          <w:b/>
          <w:bCs/>
        </w:rPr>
        <w:t xml:space="preserve"> 3</w:t>
      </w:r>
      <w:r w:rsidR="005D350E">
        <w:rPr>
          <w:b/>
          <w:bCs/>
        </w:rPr>
        <w:t>: Quality assessments</w:t>
      </w:r>
    </w:p>
    <w:p w:rsidR="002E1AEB" w:rsidRDefault="002E1AEB" w:rsidP="0054174F">
      <w:pPr>
        <w:spacing w:after="0"/>
        <w:rPr>
          <w:b/>
          <w:bCs/>
        </w:rPr>
      </w:pPr>
    </w:p>
    <w:p w:rsidR="003108C7" w:rsidRDefault="002E1AEB" w:rsidP="0054174F">
      <w:pPr>
        <w:spacing w:after="0"/>
        <w:rPr>
          <w:b/>
          <w:bCs/>
        </w:rPr>
      </w:pPr>
      <w:r>
        <w:rPr>
          <w:b/>
          <w:bCs/>
        </w:rPr>
        <w:t>A</w:t>
      </w:r>
      <w:r w:rsidR="003108C7" w:rsidRPr="003108C7">
        <w:rPr>
          <w:b/>
          <w:bCs/>
        </w:rPr>
        <w:t xml:space="preserve">: Risk of bias assessment of </w:t>
      </w:r>
      <w:bookmarkEnd w:id="0"/>
      <w:r w:rsidR="00FD204B">
        <w:rPr>
          <w:b/>
          <w:bCs/>
        </w:rPr>
        <w:t>systematic review</w:t>
      </w:r>
      <w:r w:rsidR="00165E48">
        <w:rPr>
          <w:b/>
          <w:bCs/>
        </w:rPr>
        <w:t xml:space="preserve"> using </w:t>
      </w:r>
      <w:r w:rsidR="00402D22">
        <w:rPr>
          <w:b/>
          <w:bCs/>
        </w:rPr>
        <w:t>ROBIS tool [9]</w:t>
      </w:r>
    </w:p>
    <w:tbl>
      <w:tblPr>
        <w:tblStyle w:val="TableGrid"/>
        <w:tblW w:w="0" w:type="auto"/>
        <w:tblLook w:val="04A0"/>
      </w:tblPr>
      <w:tblGrid>
        <w:gridCol w:w="1951"/>
        <w:gridCol w:w="1701"/>
        <w:gridCol w:w="10522"/>
      </w:tblGrid>
      <w:tr w:rsidR="007127BB" w:rsidTr="00120D6A">
        <w:tc>
          <w:tcPr>
            <w:tcW w:w="1951" w:type="dxa"/>
          </w:tcPr>
          <w:p w:rsidR="007127BB" w:rsidRDefault="007127BB" w:rsidP="00120D6A">
            <w:pPr>
              <w:rPr>
                <w:b/>
              </w:rPr>
            </w:pPr>
            <w:r>
              <w:rPr>
                <w:b/>
              </w:rPr>
              <w:t>Study</w:t>
            </w:r>
          </w:p>
        </w:tc>
        <w:tc>
          <w:tcPr>
            <w:tcW w:w="1701" w:type="dxa"/>
          </w:tcPr>
          <w:p w:rsidR="007127BB" w:rsidRDefault="007127BB" w:rsidP="00120D6A">
            <w:pPr>
              <w:rPr>
                <w:b/>
              </w:rPr>
            </w:pPr>
            <w:r w:rsidRPr="007127BB">
              <w:rPr>
                <w:b/>
              </w:rPr>
              <w:t>Risk of bias</w:t>
            </w:r>
          </w:p>
        </w:tc>
        <w:tc>
          <w:tcPr>
            <w:tcW w:w="10522" w:type="dxa"/>
          </w:tcPr>
          <w:p w:rsidR="007127BB" w:rsidRDefault="007127BB" w:rsidP="00120D6A">
            <w:pPr>
              <w:rPr>
                <w:b/>
              </w:rPr>
            </w:pPr>
            <w:r>
              <w:rPr>
                <w:b/>
              </w:rPr>
              <w:t>Observations</w:t>
            </w:r>
          </w:p>
        </w:tc>
      </w:tr>
      <w:tr w:rsidR="007127BB" w:rsidTr="00120D6A">
        <w:tc>
          <w:tcPr>
            <w:tcW w:w="1951" w:type="dxa"/>
          </w:tcPr>
          <w:p w:rsidR="007127BB" w:rsidRPr="002E1AEB" w:rsidRDefault="007127BB" w:rsidP="00451332">
            <w:r w:rsidRPr="002E1AEB">
              <w:t xml:space="preserve">Compton (2008) </w:t>
            </w:r>
            <w:r w:rsidR="00451332">
              <w:t>[13]</w:t>
            </w:r>
            <w:r w:rsidRPr="002E1AEB">
              <w:t xml:space="preserve"> </w:t>
            </w:r>
          </w:p>
        </w:tc>
        <w:tc>
          <w:tcPr>
            <w:tcW w:w="1701" w:type="dxa"/>
          </w:tcPr>
          <w:p w:rsidR="007127BB" w:rsidRPr="007127BB" w:rsidRDefault="007127BB" w:rsidP="00120D6A">
            <w:r>
              <w:rPr>
                <w:rFonts w:ascii="Arial" w:eastAsia="Times New Roman" w:hAnsi="Arial" w:cs="Arial"/>
                <w:bCs/>
                <w:lang w:eastAsia="en-GB"/>
              </w:rPr>
              <w:t>High</w:t>
            </w:r>
          </w:p>
        </w:tc>
        <w:tc>
          <w:tcPr>
            <w:tcW w:w="10522" w:type="dxa"/>
          </w:tcPr>
          <w:p w:rsidR="007127BB" w:rsidRDefault="007127BB" w:rsidP="00120D6A">
            <w:pPr>
              <w:rPr>
                <w:b/>
              </w:rPr>
            </w:pPr>
            <w:r>
              <w:rPr>
                <w:rFonts w:ascii="Arial" w:eastAsia="Times New Roman" w:hAnsi="Arial" w:cs="Arial"/>
                <w:lang w:eastAsia="en-GB"/>
              </w:rPr>
              <w:t>T</w:t>
            </w:r>
            <w:r w:rsidRPr="007127BB">
              <w:rPr>
                <w:rFonts w:ascii="Arial" w:eastAsia="Times New Roman" w:hAnsi="Arial" w:cs="Arial"/>
                <w:lang w:eastAsia="en-GB"/>
              </w:rPr>
              <w:t>here were concerns in all areas of the assessment. Review methods were not addressed. While the discussion included recognition of the limitations of the identified studies in supporting roll out of CIT, the results of all the papers were presented in a positive way.</w:t>
            </w:r>
          </w:p>
        </w:tc>
      </w:tr>
    </w:tbl>
    <w:p w:rsidR="0054174F" w:rsidRDefault="0054174F" w:rsidP="0054174F">
      <w:pPr>
        <w:spacing w:after="0"/>
        <w:rPr>
          <w:b/>
          <w:bCs/>
        </w:rPr>
      </w:pPr>
    </w:p>
    <w:p w:rsidR="00FD204B" w:rsidRDefault="002E1AEB" w:rsidP="0054174F">
      <w:pPr>
        <w:spacing w:after="0"/>
        <w:rPr>
          <w:b/>
          <w:bCs/>
        </w:rPr>
      </w:pPr>
      <w:r>
        <w:rPr>
          <w:b/>
          <w:bCs/>
        </w:rPr>
        <w:t>B</w:t>
      </w:r>
      <w:r w:rsidR="00FD204B" w:rsidRPr="003108C7">
        <w:rPr>
          <w:b/>
          <w:bCs/>
        </w:rPr>
        <w:t xml:space="preserve">: Risk of bias assessment of RCTs </w:t>
      </w:r>
      <w:r w:rsidR="00165E48">
        <w:rPr>
          <w:b/>
          <w:bCs/>
        </w:rPr>
        <w:t xml:space="preserve">using </w:t>
      </w:r>
      <w:r w:rsidR="00165E48" w:rsidRPr="00165E48">
        <w:rPr>
          <w:b/>
          <w:bCs/>
        </w:rPr>
        <w:t xml:space="preserve">the Cochrane Risk of Bias tool for RCTs </w:t>
      </w:r>
      <w:r w:rsidR="00402D22">
        <w:rPr>
          <w:b/>
          <w:bCs/>
        </w:rPr>
        <w:t>[10]</w:t>
      </w:r>
    </w:p>
    <w:tbl>
      <w:tblPr>
        <w:tblStyle w:val="TableGrid"/>
        <w:tblW w:w="14142" w:type="dxa"/>
        <w:tblLayout w:type="fixed"/>
        <w:tblLook w:val="04A0"/>
      </w:tblPr>
      <w:tblGrid>
        <w:gridCol w:w="3227"/>
        <w:gridCol w:w="1559"/>
        <w:gridCol w:w="1418"/>
        <w:gridCol w:w="1559"/>
        <w:gridCol w:w="1417"/>
        <w:gridCol w:w="1418"/>
        <w:gridCol w:w="1417"/>
        <w:gridCol w:w="2127"/>
      </w:tblGrid>
      <w:tr w:rsidR="000C5135" w:rsidRPr="003108C7" w:rsidTr="00451332">
        <w:tc>
          <w:tcPr>
            <w:tcW w:w="3227" w:type="dxa"/>
            <w:vAlign w:val="center"/>
          </w:tcPr>
          <w:p w:rsidR="000C5135" w:rsidRPr="003108C7" w:rsidRDefault="000C5135" w:rsidP="00B15540">
            <w:pPr>
              <w:jc w:val="center"/>
              <w:rPr>
                <w:b/>
                <w:bCs/>
              </w:rPr>
            </w:pPr>
            <w:r w:rsidRPr="003108C7">
              <w:rPr>
                <w:b/>
                <w:bCs/>
              </w:rPr>
              <w:t>Study</w:t>
            </w:r>
          </w:p>
        </w:tc>
        <w:tc>
          <w:tcPr>
            <w:tcW w:w="1559" w:type="dxa"/>
            <w:vAlign w:val="center"/>
          </w:tcPr>
          <w:p w:rsidR="000C5135" w:rsidRPr="003108C7" w:rsidRDefault="000C5135" w:rsidP="00B15540">
            <w:pPr>
              <w:jc w:val="center"/>
              <w:rPr>
                <w:b/>
                <w:bCs/>
              </w:rPr>
            </w:pPr>
            <w:r w:rsidRPr="003108C7">
              <w:rPr>
                <w:b/>
                <w:bCs/>
              </w:rPr>
              <w:t>Random sequence generation</w:t>
            </w:r>
          </w:p>
        </w:tc>
        <w:tc>
          <w:tcPr>
            <w:tcW w:w="1418" w:type="dxa"/>
            <w:vAlign w:val="center"/>
          </w:tcPr>
          <w:p w:rsidR="000C5135" w:rsidRPr="003108C7" w:rsidRDefault="000C5135" w:rsidP="00B15540">
            <w:pPr>
              <w:jc w:val="center"/>
              <w:rPr>
                <w:b/>
                <w:bCs/>
              </w:rPr>
            </w:pPr>
            <w:r w:rsidRPr="003108C7">
              <w:rPr>
                <w:b/>
                <w:bCs/>
              </w:rPr>
              <w:t>Allocation concealment</w:t>
            </w:r>
          </w:p>
        </w:tc>
        <w:tc>
          <w:tcPr>
            <w:tcW w:w="1559" w:type="dxa"/>
            <w:vAlign w:val="center"/>
          </w:tcPr>
          <w:p w:rsidR="000C5135" w:rsidRPr="003108C7" w:rsidRDefault="000C5135" w:rsidP="00B15540">
            <w:pPr>
              <w:jc w:val="center"/>
              <w:rPr>
                <w:b/>
                <w:bCs/>
              </w:rPr>
            </w:pPr>
            <w:r w:rsidRPr="003108C7">
              <w:rPr>
                <w:b/>
                <w:bCs/>
              </w:rPr>
              <w:t>Blinding of participants and personnel</w:t>
            </w:r>
          </w:p>
        </w:tc>
        <w:tc>
          <w:tcPr>
            <w:tcW w:w="1417" w:type="dxa"/>
            <w:vAlign w:val="center"/>
          </w:tcPr>
          <w:p w:rsidR="000C5135" w:rsidRPr="003108C7" w:rsidRDefault="000C5135" w:rsidP="00B15540">
            <w:pPr>
              <w:jc w:val="center"/>
              <w:rPr>
                <w:b/>
                <w:bCs/>
              </w:rPr>
            </w:pPr>
            <w:r w:rsidRPr="003108C7">
              <w:rPr>
                <w:b/>
                <w:bCs/>
              </w:rPr>
              <w:t>Blinding of outcome assessment</w:t>
            </w:r>
          </w:p>
        </w:tc>
        <w:tc>
          <w:tcPr>
            <w:tcW w:w="1418" w:type="dxa"/>
            <w:vAlign w:val="center"/>
          </w:tcPr>
          <w:p w:rsidR="000C5135" w:rsidRPr="003108C7" w:rsidRDefault="000C5135" w:rsidP="00B15540">
            <w:pPr>
              <w:jc w:val="center"/>
              <w:rPr>
                <w:b/>
                <w:bCs/>
              </w:rPr>
            </w:pPr>
            <w:r w:rsidRPr="003108C7">
              <w:rPr>
                <w:b/>
                <w:bCs/>
              </w:rPr>
              <w:t>Incomplete outcome data</w:t>
            </w:r>
          </w:p>
        </w:tc>
        <w:tc>
          <w:tcPr>
            <w:tcW w:w="1417" w:type="dxa"/>
            <w:vAlign w:val="center"/>
          </w:tcPr>
          <w:p w:rsidR="000C5135" w:rsidRPr="003108C7" w:rsidRDefault="000C5135" w:rsidP="00B15540">
            <w:pPr>
              <w:jc w:val="center"/>
              <w:rPr>
                <w:b/>
                <w:bCs/>
              </w:rPr>
            </w:pPr>
            <w:r w:rsidRPr="003108C7">
              <w:rPr>
                <w:b/>
                <w:bCs/>
              </w:rPr>
              <w:t>Selective outcome reporting</w:t>
            </w:r>
          </w:p>
        </w:tc>
        <w:tc>
          <w:tcPr>
            <w:tcW w:w="2127" w:type="dxa"/>
          </w:tcPr>
          <w:p w:rsidR="000C5135" w:rsidRPr="003108C7" w:rsidRDefault="00B15540" w:rsidP="007279BB">
            <w:pPr>
              <w:rPr>
                <w:b/>
                <w:bCs/>
              </w:rPr>
            </w:pPr>
            <w:r>
              <w:rPr>
                <w:b/>
                <w:bCs/>
              </w:rPr>
              <w:t>Summary of assessment</w:t>
            </w:r>
          </w:p>
        </w:tc>
      </w:tr>
      <w:tr w:rsidR="00096B75" w:rsidRPr="003108C7" w:rsidTr="00451332">
        <w:tc>
          <w:tcPr>
            <w:tcW w:w="3227" w:type="dxa"/>
          </w:tcPr>
          <w:p w:rsidR="00565BFC" w:rsidRPr="003108C7" w:rsidRDefault="00565BFC" w:rsidP="00451332">
            <w:pPr>
              <w:rPr>
                <w:bCs/>
              </w:rPr>
            </w:pPr>
            <w:r w:rsidRPr="003108C7">
              <w:rPr>
                <w:bCs/>
              </w:rPr>
              <w:t>Dorse</w:t>
            </w:r>
            <w:r>
              <w:rPr>
                <w:bCs/>
              </w:rPr>
              <w:t xml:space="preserve">y et al (2012) </w:t>
            </w:r>
            <w:r w:rsidR="00451332">
              <w:rPr>
                <w:bCs/>
              </w:rPr>
              <w:t>[25]</w:t>
            </w:r>
          </w:p>
        </w:tc>
        <w:tc>
          <w:tcPr>
            <w:tcW w:w="1559" w:type="dxa"/>
          </w:tcPr>
          <w:p w:rsidR="00565BFC" w:rsidRPr="003108C7" w:rsidRDefault="00565BFC" w:rsidP="007279BB">
            <w:pPr>
              <w:rPr>
                <w:bCs/>
              </w:rPr>
            </w:pPr>
            <w:r w:rsidRPr="003108C7">
              <w:rPr>
                <w:bCs/>
              </w:rPr>
              <w:t>Unclear</w:t>
            </w:r>
          </w:p>
        </w:tc>
        <w:tc>
          <w:tcPr>
            <w:tcW w:w="1418" w:type="dxa"/>
          </w:tcPr>
          <w:p w:rsidR="00565BFC" w:rsidRPr="003108C7" w:rsidRDefault="00565BFC" w:rsidP="007279BB">
            <w:pPr>
              <w:rPr>
                <w:bCs/>
              </w:rPr>
            </w:pPr>
            <w:r w:rsidRPr="003108C7">
              <w:rPr>
                <w:bCs/>
              </w:rPr>
              <w:t>Low</w:t>
            </w:r>
          </w:p>
        </w:tc>
        <w:tc>
          <w:tcPr>
            <w:tcW w:w="1559" w:type="dxa"/>
          </w:tcPr>
          <w:p w:rsidR="00565BFC" w:rsidRPr="003108C7" w:rsidRDefault="00565BFC" w:rsidP="007279BB">
            <w:pPr>
              <w:rPr>
                <w:bCs/>
              </w:rPr>
            </w:pPr>
            <w:r w:rsidRPr="003108C7">
              <w:rPr>
                <w:bCs/>
              </w:rPr>
              <w:t>Unclear</w:t>
            </w:r>
          </w:p>
        </w:tc>
        <w:tc>
          <w:tcPr>
            <w:tcW w:w="1417" w:type="dxa"/>
          </w:tcPr>
          <w:p w:rsidR="00565BFC" w:rsidRPr="003108C7" w:rsidRDefault="00565BFC" w:rsidP="007279BB">
            <w:pPr>
              <w:rPr>
                <w:bCs/>
              </w:rPr>
            </w:pPr>
            <w:r w:rsidRPr="003108C7">
              <w:rPr>
                <w:bCs/>
              </w:rPr>
              <w:t>Low</w:t>
            </w:r>
          </w:p>
        </w:tc>
        <w:tc>
          <w:tcPr>
            <w:tcW w:w="1418" w:type="dxa"/>
          </w:tcPr>
          <w:p w:rsidR="00565BFC" w:rsidRPr="003108C7" w:rsidRDefault="00565BFC" w:rsidP="007279BB">
            <w:pPr>
              <w:rPr>
                <w:bCs/>
              </w:rPr>
            </w:pPr>
            <w:r w:rsidRPr="003108C7">
              <w:rPr>
                <w:bCs/>
              </w:rPr>
              <w:t>High</w:t>
            </w:r>
          </w:p>
        </w:tc>
        <w:tc>
          <w:tcPr>
            <w:tcW w:w="1417" w:type="dxa"/>
          </w:tcPr>
          <w:p w:rsidR="00565BFC" w:rsidRPr="003108C7" w:rsidRDefault="00565BFC" w:rsidP="007279BB">
            <w:pPr>
              <w:rPr>
                <w:bCs/>
              </w:rPr>
            </w:pPr>
            <w:r w:rsidRPr="003108C7">
              <w:rPr>
                <w:bCs/>
              </w:rPr>
              <w:t>Low</w:t>
            </w:r>
          </w:p>
        </w:tc>
        <w:tc>
          <w:tcPr>
            <w:tcW w:w="2127" w:type="dxa"/>
          </w:tcPr>
          <w:p w:rsidR="00565BFC" w:rsidRPr="003108C7" w:rsidRDefault="006E2502" w:rsidP="007279BB">
            <w:pPr>
              <w:rPr>
                <w:bCs/>
              </w:rPr>
            </w:pPr>
            <w:r>
              <w:rPr>
                <w:bCs/>
              </w:rPr>
              <w:t>High risk of bias</w:t>
            </w:r>
          </w:p>
        </w:tc>
      </w:tr>
      <w:tr w:rsidR="00096B75" w:rsidRPr="003108C7" w:rsidTr="00451332">
        <w:tc>
          <w:tcPr>
            <w:tcW w:w="3227" w:type="dxa"/>
          </w:tcPr>
          <w:p w:rsidR="00565BFC" w:rsidRPr="003108C7" w:rsidRDefault="00451332" w:rsidP="00451332">
            <w:pPr>
              <w:rPr>
                <w:bCs/>
              </w:rPr>
            </w:pPr>
            <w:r>
              <w:rPr>
                <w:bCs/>
              </w:rPr>
              <w:t>Hart &amp; More (2013) [24]</w:t>
            </w:r>
          </w:p>
        </w:tc>
        <w:tc>
          <w:tcPr>
            <w:tcW w:w="1559" w:type="dxa"/>
          </w:tcPr>
          <w:p w:rsidR="00565BFC" w:rsidRPr="003108C7" w:rsidRDefault="00565BFC" w:rsidP="007279BB">
            <w:pPr>
              <w:rPr>
                <w:bCs/>
              </w:rPr>
            </w:pPr>
            <w:r w:rsidRPr="003108C7">
              <w:rPr>
                <w:bCs/>
              </w:rPr>
              <w:t>Unclear</w:t>
            </w:r>
          </w:p>
        </w:tc>
        <w:tc>
          <w:tcPr>
            <w:tcW w:w="1418" w:type="dxa"/>
          </w:tcPr>
          <w:p w:rsidR="00565BFC" w:rsidRPr="003108C7" w:rsidRDefault="00565BFC" w:rsidP="007279BB">
            <w:pPr>
              <w:rPr>
                <w:bCs/>
              </w:rPr>
            </w:pPr>
            <w:r w:rsidRPr="003108C7">
              <w:rPr>
                <w:bCs/>
              </w:rPr>
              <w:t>Low</w:t>
            </w:r>
          </w:p>
        </w:tc>
        <w:tc>
          <w:tcPr>
            <w:tcW w:w="1559" w:type="dxa"/>
          </w:tcPr>
          <w:p w:rsidR="00565BFC" w:rsidRPr="003108C7" w:rsidRDefault="00565BFC" w:rsidP="007279BB">
            <w:pPr>
              <w:rPr>
                <w:bCs/>
              </w:rPr>
            </w:pPr>
            <w:r w:rsidRPr="003108C7">
              <w:rPr>
                <w:bCs/>
              </w:rPr>
              <w:t>Unclear</w:t>
            </w:r>
          </w:p>
        </w:tc>
        <w:tc>
          <w:tcPr>
            <w:tcW w:w="1417" w:type="dxa"/>
          </w:tcPr>
          <w:p w:rsidR="00565BFC" w:rsidRPr="003108C7" w:rsidRDefault="00565BFC" w:rsidP="007279BB">
            <w:pPr>
              <w:rPr>
                <w:bCs/>
              </w:rPr>
            </w:pPr>
            <w:r w:rsidRPr="003108C7">
              <w:rPr>
                <w:bCs/>
              </w:rPr>
              <w:t>Unclear</w:t>
            </w:r>
          </w:p>
        </w:tc>
        <w:tc>
          <w:tcPr>
            <w:tcW w:w="1418" w:type="dxa"/>
          </w:tcPr>
          <w:p w:rsidR="00565BFC" w:rsidRPr="003108C7" w:rsidRDefault="00565BFC" w:rsidP="007279BB">
            <w:pPr>
              <w:rPr>
                <w:bCs/>
              </w:rPr>
            </w:pPr>
            <w:r w:rsidRPr="003108C7">
              <w:rPr>
                <w:bCs/>
              </w:rPr>
              <w:t>Unclear</w:t>
            </w:r>
          </w:p>
        </w:tc>
        <w:tc>
          <w:tcPr>
            <w:tcW w:w="1417" w:type="dxa"/>
          </w:tcPr>
          <w:p w:rsidR="00565BFC" w:rsidRPr="003108C7" w:rsidRDefault="00565BFC" w:rsidP="007279BB">
            <w:pPr>
              <w:rPr>
                <w:bCs/>
              </w:rPr>
            </w:pPr>
            <w:r w:rsidRPr="003108C7">
              <w:rPr>
                <w:bCs/>
              </w:rPr>
              <w:t>Unclear</w:t>
            </w:r>
          </w:p>
        </w:tc>
        <w:tc>
          <w:tcPr>
            <w:tcW w:w="2127" w:type="dxa"/>
          </w:tcPr>
          <w:p w:rsidR="00565BFC" w:rsidRPr="003108C7" w:rsidRDefault="006E2502" w:rsidP="007279BB">
            <w:pPr>
              <w:rPr>
                <w:bCs/>
              </w:rPr>
            </w:pPr>
            <w:r>
              <w:rPr>
                <w:bCs/>
              </w:rPr>
              <w:t>Unclear risk of bias</w:t>
            </w:r>
          </w:p>
        </w:tc>
      </w:tr>
      <w:tr w:rsidR="00096B75" w:rsidRPr="003108C7" w:rsidTr="00451332">
        <w:trPr>
          <w:trHeight w:val="261"/>
        </w:trPr>
        <w:tc>
          <w:tcPr>
            <w:tcW w:w="3227" w:type="dxa"/>
          </w:tcPr>
          <w:p w:rsidR="00565BFC" w:rsidRPr="003108C7" w:rsidRDefault="00565BFC" w:rsidP="00451332">
            <w:pPr>
              <w:rPr>
                <w:bCs/>
              </w:rPr>
            </w:pPr>
            <w:proofErr w:type="spellStart"/>
            <w:r w:rsidRPr="003108C7">
              <w:rPr>
                <w:bCs/>
              </w:rPr>
              <w:t>J</w:t>
            </w:r>
            <w:r>
              <w:rPr>
                <w:bCs/>
              </w:rPr>
              <w:t>orm</w:t>
            </w:r>
            <w:proofErr w:type="spellEnd"/>
            <w:r>
              <w:rPr>
                <w:bCs/>
              </w:rPr>
              <w:t xml:space="preserve"> et al (2010) </w:t>
            </w:r>
            <w:r w:rsidR="00451332">
              <w:rPr>
                <w:bCs/>
              </w:rPr>
              <w:t>[23]</w:t>
            </w:r>
          </w:p>
        </w:tc>
        <w:tc>
          <w:tcPr>
            <w:tcW w:w="1559" w:type="dxa"/>
          </w:tcPr>
          <w:p w:rsidR="00565BFC" w:rsidRPr="003108C7" w:rsidRDefault="00565BFC" w:rsidP="007279BB">
            <w:pPr>
              <w:rPr>
                <w:bCs/>
              </w:rPr>
            </w:pPr>
            <w:r w:rsidRPr="003108C7">
              <w:rPr>
                <w:bCs/>
              </w:rPr>
              <w:t>High</w:t>
            </w:r>
          </w:p>
        </w:tc>
        <w:tc>
          <w:tcPr>
            <w:tcW w:w="1418" w:type="dxa"/>
          </w:tcPr>
          <w:p w:rsidR="00565BFC" w:rsidRPr="003108C7" w:rsidRDefault="00565BFC" w:rsidP="007279BB">
            <w:pPr>
              <w:rPr>
                <w:bCs/>
              </w:rPr>
            </w:pPr>
            <w:r w:rsidRPr="003108C7">
              <w:rPr>
                <w:bCs/>
              </w:rPr>
              <w:t>Low</w:t>
            </w:r>
          </w:p>
        </w:tc>
        <w:tc>
          <w:tcPr>
            <w:tcW w:w="1559" w:type="dxa"/>
          </w:tcPr>
          <w:p w:rsidR="00565BFC" w:rsidRPr="003108C7" w:rsidRDefault="00565BFC" w:rsidP="007279BB">
            <w:pPr>
              <w:rPr>
                <w:bCs/>
              </w:rPr>
            </w:pPr>
            <w:r w:rsidRPr="003108C7">
              <w:rPr>
                <w:bCs/>
              </w:rPr>
              <w:t>Low</w:t>
            </w:r>
          </w:p>
        </w:tc>
        <w:tc>
          <w:tcPr>
            <w:tcW w:w="1417" w:type="dxa"/>
          </w:tcPr>
          <w:p w:rsidR="00565BFC" w:rsidRPr="003108C7" w:rsidRDefault="00565BFC" w:rsidP="007279BB">
            <w:pPr>
              <w:rPr>
                <w:bCs/>
              </w:rPr>
            </w:pPr>
            <w:r w:rsidRPr="003108C7">
              <w:rPr>
                <w:bCs/>
              </w:rPr>
              <w:t>Unclear</w:t>
            </w:r>
          </w:p>
        </w:tc>
        <w:tc>
          <w:tcPr>
            <w:tcW w:w="1418" w:type="dxa"/>
          </w:tcPr>
          <w:p w:rsidR="00565BFC" w:rsidRPr="003108C7" w:rsidRDefault="00565BFC" w:rsidP="007279BB">
            <w:pPr>
              <w:rPr>
                <w:bCs/>
              </w:rPr>
            </w:pPr>
            <w:r w:rsidRPr="003108C7">
              <w:rPr>
                <w:bCs/>
              </w:rPr>
              <w:t>High</w:t>
            </w:r>
          </w:p>
        </w:tc>
        <w:tc>
          <w:tcPr>
            <w:tcW w:w="1417" w:type="dxa"/>
          </w:tcPr>
          <w:p w:rsidR="00565BFC" w:rsidRPr="003108C7" w:rsidRDefault="00565BFC" w:rsidP="007279BB">
            <w:pPr>
              <w:rPr>
                <w:bCs/>
              </w:rPr>
            </w:pPr>
            <w:r w:rsidRPr="003108C7">
              <w:rPr>
                <w:bCs/>
              </w:rPr>
              <w:t>Low</w:t>
            </w:r>
          </w:p>
        </w:tc>
        <w:tc>
          <w:tcPr>
            <w:tcW w:w="2127" w:type="dxa"/>
          </w:tcPr>
          <w:p w:rsidR="00565BFC" w:rsidRPr="003108C7" w:rsidRDefault="006E2502" w:rsidP="007279BB">
            <w:pPr>
              <w:rPr>
                <w:bCs/>
              </w:rPr>
            </w:pPr>
            <w:r>
              <w:rPr>
                <w:bCs/>
              </w:rPr>
              <w:t>High risk of bias</w:t>
            </w:r>
          </w:p>
        </w:tc>
      </w:tr>
      <w:tr w:rsidR="00096B75" w:rsidRPr="003108C7" w:rsidTr="00451332">
        <w:tc>
          <w:tcPr>
            <w:tcW w:w="3227" w:type="dxa"/>
          </w:tcPr>
          <w:p w:rsidR="00565BFC" w:rsidRPr="003108C7" w:rsidRDefault="00565BFC" w:rsidP="00451332">
            <w:pPr>
              <w:rPr>
                <w:bCs/>
              </w:rPr>
            </w:pPr>
            <w:r w:rsidRPr="003108C7">
              <w:rPr>
                <w:bCs/>
              </w:rPr>
              <w:t>Kol</w:t>
            </w:r>
            <w:r>
              <w:rPr>
                <w:bCs/>
              </w:rPr>
              <w:t xml:space="preserve">ko et al (2012) </w:t>
            </w:r>
            <w:r w:rsidR="00451332">
              <w:rPr>
                <w:bCs/>
              </w:rPr>
              <w:t>[22]</w:t>
            </w:r>
          </w:p>
        </w:tc>
        <w:tc>
          <w:tcPr>
            <w:tcW w:w="1559" w:type="dxa"/>
          </w:tcPr>
          <w:p w:rsidR="00565BFC" w:rsidRPr="003108C7" w:rsidRDefault="00565BFC" w:rsidP="007279BB">
            <w:pPr>
              <w:rPr>
                <w:bCs/>
              </w:rPr>
            </w:pPr>
            <w:r w:rsidRPr="003108C7">
              <w:rPr>
                <w:bCs/>
              </w:rPr>
              <w:t>Unclear</w:t>
            </w:r>
          </w:p>
        </w:tc>
        <w:tc>
          <w:tcPr>
            <w:tcW w:w="1418" w:type="dxa"/>
          </w:tcPr>
          <w:p w:rsidR="00565BFC" w:rsidRPr="003108C7" w:rsidRDefault="00565BFC" w:rsidP="007279BB">
            <w:pPr>
              <w:rPr>
                <w:bCs/>
              </w:rPr>
            </w:pPr>
            <w:r w:rsidRPr="003108C7">
              <w:rPr>
                <w:bCs/>
              </w:rPr>
              <w:t>Unclear</w:t>
            </w:r>
          </w:p>
        </w:tc>
        <w:tc>
          <w:tcPr>
            <w:tcW w:w="1559" w:type="dxa"/>
          </w:tcPr>
          <w:p w:rsidR="00565BFC" w:rsidRPr="003108C7" w:rsidRDefault="00565BFC" w:rsidP="007279BB">
            <w:pPr>
              <w:rPr>
                <w:bCs/>
              </w:rPr>
            </w:pPr>
            <w:r w:rsidRPr="003108C7">
              <w:rPr>
                <w:bCs/>
              </w:rPr>
              <w:t>Low</w:t>
            </w:r>
          </w:p>
        </w:tc>
        <w:tc>
          <w:tcPr>
            <w:tcW w:w="1417" w:type="dxa"/>
          </w:tcPr>
          <w:p w:rsidR="00565BFC" w:rsidRPr="003108C7" w:rsidRDefault="00565BFC" w:rsidP="007279BB">
            <w:pPr>
              <w:rPr>
                <w:bCs/>
              </w:rPr>
            </w:pPr>
            <w:r w:rsidRPr="003108C7">
              <w:rPr>
                <w:bCs/>
              </w:rPr>
              <w:t>Low</w:t>
            </w:r>
          </w:p>
        </w:tc>
        <w:tc>
          <w:tcPr>
            <w:tcW w:w="1418" w:type="dxa"/>
          </w:tcPr>
          <w:p w:rsidR="00565BFC" w:rsidRPr="003108C7" w:rsidRDefault="00565BFC" w:rsidP="007279BB">
            <w:pPr>
              <w:rPr>
                <w:bCs/>
              </w:rPr>
            </w:pPr>
            <w:r w:rsidRPr="003108C7">
              <w:rPr>
                <w:bCs/>
              </w:rPr>
              <w:t>Low</w:t>
            </w:r>
          </w:p>
        </w:tc>
        <w:tc>
          <w:tcPr>
            <w:tcW w:w="1417" w:type="dxa"/>
          </w:tcPr>
          <w:p w:rsidR="00565BFC" w:rsidRPr="003108C7" w:rsidRDefault="00565BFC" w:rsidP="007279BB">
            <w:pPr>
              <w:rPr>
                <w:bCs/>
              </w:rPr>
            </w:pPr>
            <w:r w:rsidRPr="003108C7">
              <w:rPr>
                <w:bCs/>
              </w:rPr>
              <w:t>Unclear</w:t>
            </w:r>
          </w:p>
        </w:tc>
        <w:tc>
          <w:tcPr>
            <w:tcW w:w="2127" w:type="dxa"/>
          </w:tcPr>
          <w:p w:rsidR="00565BFC" w:rsidRPr="003108C7" w:rsidRDefault="006E2502" w:rsidP="007279BB">
            <w:pPr>
              <w:rPr>
                <w:bCs/>
              </w:rPr>
            </w:pPr>
            <w:r>
              <w:rPr>
                <w:bCs/>
              </w:rPr>
              <w:t>Unclear risk of bias</w:t>
            </w:r>
          </w:p>
        </w:tc>
      </w:tr>
      <w:tr w:rsidR="00096B75" w:rsidRPr="003108C7" w:rsidTr="00451332">
        <w:tc>
          <w:tcPr>
            <w:tcW w:w="3227" w:type="dxa"/>
          </w:tcPr>
          <w:p w:rsidR="00565BFC" w:rsidRPr="003108C7" w:rsidRDefault="00565BFC" w:rsidP="00451332">
            <w:pPr>
              <w:rPr>
                <w:bCs/>
              </w:rPr>
            </w:pPr>
            <w:r w:rsidRPr="003108C7">
              <w:rPr>
                <w:bCs/>
              </w:rPr>
              <w:t>Lipso</w:t>
            </w:r>
            <w:r>
              <w:rPr>
                <w:bCs/>
              </w:rPr>
              <w:t xml:space="preserve">n et al (2014) </w:t>
            </w:r>
            <w:r w:rsidR="00451332">
              <w:rPr>
                <w:bCs/>
              </w:rPr>
              <w:t>[21]</w:t>
            </w:r>
          </w:p>
        </w:tc>
        <w:tc>
          <w:tcPr>
            <w:tcW w:w="1559" w:type="dxa"/>
          </w:tcPr>
          <w:p w:rsidR="00565BFC" w:rsidRPr="003108C7" w:rsidRDefault="00565BFC" w:rsidP="007279BB">
            <w:pPr>
              <w:rPr>
                <w:bCs/>
              </w:rPr>
            </w:pPr>
            <w:r w:rsidRPr="003108C7">
              <w:rPr>
                <w:bCs/>
              </w:rPr>
              <w:t>Low</w:t>
            </w:r>
          </w:p>
        </w:tc>
        <w:tc>
          <w:tcPr>
            <w:tcW w:w="1418" w:type="dxa"/>
          </w:tcPr>
          <w:p w:rsidR="00565BFC" w:rsidRPr="003108C7" w:rsidRDefault="00565BFC" w:rsidP="007279BB">
            <w:pPr>
              <w:rPr>
                <w:bCs/>
              </w:rPr>
            </w:pPr>
            <w:r w:rsidRPr="003108C7">
              <w:rPr>
                <w:bCs/>
              </w:rPr>
              <w:t>High</w:t>
            </w:r>
          </w:p>
        </w:tc>
        <w:tc>
          <w:tcPr>
            <w:tcW w:w="1559" w:type="dxa"/>
          </w:tcPr>
          <w:p w:rsidR="00565BFC" w:rsidRPr="003108C7" w:rsidRDefault="00565BFC" w:rsidP="007279BB">
            <w:pPr>
              <w:rPr>
                <w:bCs/>
              </w:rPr>
            </w:pPr>
            <w:r w:rsidRPr="003108C7">
              <w:rPr>
                <w:bCs/>
              </w:rPr>
              <w:t>High</w:t>
            </w:r>
          </w:p>
        </w:tc>
        <w:tc>
          <w:tcPr>
            <w:tcW w:w="1417" w:type="dxa"/>
          </w:tcPr>
          <w:p w:rsidR="00565BFC" w:rsidRPr="003108C7" w:rsidRDefault="00565BFC" w:rsidP="007279BB">
            <w:pPr>
              <w:rPr>
                <w:bCs/>
              </w:rPr>
            </w:pPr>
            <w:r w:rsidRPr="003108C7">
              <w:rPr>
                <w:bCs/>
              </w:rPr>
              <w:t>High</w:t>
            </w:r>
          </w:p>
        </w:tc>
        <w:tc>
          <w:tcPr>
            <w:tcW w:w="1418" w:type="dxa"/>
          </w:tcPr>
          <w:p w:rsidR="00565BFC" w:rsidRPr="003108C7" w:rsidRDefault="00565BFC" w:rsidP="007279BB">
            <w:pPr>
              <w:rPr>
                <w:bCs/>
              </w:rPr>
            </w:pPr>
            <w:r w:rsidRPr="003108C7">
              <w:rPr>
                <w:bCs/>
              </w:rPr>
              <w:t>High</w:t>
            </w:r>
          </w:p>
        </w:tc>
        <w:tc>
          <w:tcPr>
            <w:tcW w:w="1417" w:type="dxa"/>
          </w:tcPr>
          <w:p w:rsidR="00565BFC" w:rsidRPr="003108C7" w:rsidRDefault="00565BFC" w:rsidP="007279BB">
            <w:pPr>
              <w:rPr>
                <w:bCs/>
              </w:rPr>
            </w:pPr>
            <w:r w:rsidRPr="003108C7">
              <w:rPr>
                <w:bCs/>
              </w:rPr>
              <w:t>Low</w:t>
            </w:r>
          </w:p>
        </w:tc>
        <w:tc>
          <w:tcPr>
            <w:tcW w:w="2127" w:type="dxa"/>
          </w:tcPr>
          <w:p w:rsidR="00565BFC" w:rsidRPr="003108C7" w:rsidRDefault="008B6D23" w:rsidP="00360CC3">
            <w:pPr>
              <w:rPr>
                <w:bCs/>
              </w:rPr>
            </w:pPr>
            <w:r>
              <w:rPr>
                <w:bCs/>
              </w:rPr>
              <w:t>High</w:t>
            </w:r>
            <w:r w:rsidR="006E2502">
              <w:rPr>
                <w:bCs/>
              </w:rPr>
              <w:t xml:space="preserve"> risk of bias</w:t>
            </w:r>
          </w:p>
        </w:tc>
      </w:tr>
      <w:tr w:rsidR="00565BFC" w:rsidRPr="003108C7" w:rsidTr="00451332">
        <w:tc>
          <w:tcPr>
            <w:tcW w:w="3227" w:type="dxa"/>
          </w:tcPr>
          <w:p w:rsidR="00565BFC" w:rsidRPr="003108C7" w:rsidRDefault="00DB2C82" w:rsidP="00451332">
            <w:pPr>
              <w:rPr>
                <w:bCs/>
              </w:rPr>
            </w:pPr>
            <w:r>
              <w:br w:type="page"/>
            </w:r>
            <w:r w:rsidR="00565BFC" w:rsidRPr="003108C7">
              <w:rPr>
                <w:bCs/>
              </w:rPr>
              <w:t xml:space="preserve">McVey et al </w:t>
            </w:r>
            <w:r w:rsidR="00565BFC">
              <w:rPr>
                <w:bCs/>
              </w:rPr>
              <w:t xml:space="preserve">(2008) </w:t>
            </w:r>
            <w:r w:rsidR="00451332">
              <w:rPr>
                <w:bCs/>
              </w:rPr>
              <w:t>[20]</w:t>
            </w:r>
          </w:p>
        </w:tc>
        <w:tc>
          <w:tcPr>
            <w:tcW w:w="1559" w:type="dxa"/>
          </w:tcPr>
          <w:p w:rsidR="00565BFC" w:rsidRPr="003108C7" w:rsidRDefault="00565BFC" w:rsidP="007279BB">
            <w:pPr>
              <w:rPr>
                <w:bCs/>
              </w:rPr>
            </w:pPr>
            <w:r w:rsidRPr="003108C7">
              <w:rPr>
                <w:bCs/>
              </w:rPr>
              <w:t>Unclear</w:t>
            </w:r>
          </w:p>
        </w:tc>
        <w:tc>
          <w:tcPr>
            <w:tcW w:w="1418" w:type="dxa"/>
          </w:tcPr>
          <w:p w:rsidR="00565BFC" w:rsidRPr="003108C7" w:rsidRDefault="00565BFC" w:rsidP="007279BB">
            <w:pPr>
              <w:rPr>
                <w:bCs/>
              </w:rPr>
            </w:pPr>
            <w:r w:rsidRPr="003108C7">
              <w:rPr>
                <w:bCs/>
              </w:rPr>
              <w:t>Unclear</w:t>
            </w:r>
          </w:p>
        </w:tc>
        <w:tc>
          <w:tcPr>
            <w:tcW w:w="1559" w:type="dxa"/>
          </w:tcPr>
          <w:p w:rsidR="00565BFC" w:rsidRPr="003108C7" w:rsidRDefault="00565BFC" w:rsidP="007279BB">
            <w:pPr>
              <w:rPr>
                <w:bCs/>
              </w:rPr>
            </w:pPr>
            <w:r w:rsidRPr="003108C7">
              <w:rPr>
                <w:bCs/>
              </w:rPr>
              <w:t>Unclear</w:t>
            </w:r>
          </w:p>
        </w:tc>
        <w:tc>
          <w:tcPr>
            <w:tcW w:w="1417" w:type="dxa"/>
          </w:tcPr>
          <w:p w:rsidR="00565BFC" w:rsidRPr="003108C7" w:rsidRDefault="00565BFC" w:rsidP="007279BB">
            <w:pPr>
              <w:rPr>
                <w:bCs/>
              </w:rPr>
            </w:pPr>
            <w:r w:rsidRPr="003108C7">
              <w:rPr>
                <w:bCs/>
              </w:rPr>
              <w:t>Unclear</w:t>
            </w:r>
          </w:p>
        </w:tc>
        <w:tc>
          <w:tcPr>
            <w:tcW w:w="1418" w:type="dxa"/>
          </w:tcPr>
          <w:p w:rsidR="00565BFC" w:rsidRPr="003108C7" w:rsidRDefault="00565BFC" w:rsidP="007279BB">
            <w:pPr>
              <w:rPr>
                <w:bCs/>
              </w:rPr>
            </w:pPr>
            <w:r w:rsidRPr="003108C7">
              <w:rPr>
                <w:bCs/>
              </w:rPr>
              <w:t>Unclear</w:t>
            </w:r>
          </w:p>
        </w:tc>
        <w:tc>
          <w:tcPr>
            <w:tcW w:w="1417" w:type="dxa"/>
          </w:tcPr>
          <w:p w:rsidR="00565BFC" w:rsidRPr="003108C7" w:rsidRDefault="00565BFC" w:rsidP="007279BB">
            <w:pPr>
              <w:rPr>
                <w:bCs/>
              </w:rPr>
            </w:pPr>
            <w:r w:rsidRPr="003108C7">
              <w:rPr>
                <w:bCs/>
              </w:rPr>
              <w:t>Low</w:t>
            </w:r>
          </w:p>
        </w:tc>
        <w:tc>
          <w:tcPr>
            <w:tcW w:w="2127" w:type="dxa"/>
          </w:tcPr>
          <w:p w:rsidR="00565BFC" w:rsidRPr="003108C7" w:rsidRDefault="006E2502" w:rsidP="007279BB">
            <w:pPr>
              <w:rPr>
                <w:bCs/>
              </w:rPr>
            </w:pPr>
            <w:r>
              <w:rPr>
                <w:bCs/>
              </w:rPr>
              <w:t>Unclear risk of bias</w:t>
            </w:r>
          </w:p>
        </w:tc>
      </w:tr>
      <w:tr w:rsidR="00565BFC" w:rsidRPr="003108C7" w:rsidTr="00451332">
        <w:tc>
          <w:tcPr>
            <w:tcW w:w="3227" w:type="dxa"/>
          </w:tcPr>
          <w:p w:rsidR="00565BFC" w:rsidRPr="003108C7" w:rsidRDefault="00565BFC" w:rsidP="00451332">
            <w:pPr>
              <w:rPr>
                <w:bCs/>
              </w:rPr>
            </w:pPr>
            <w:r>
              <w:rPr>
                <w:bCs/>
              </w:rPr>
              <w:t>Moor et al (2007</w:t>
            </w:r>
            <w:r w:rsidR="00451332">
              <w:rPr>
                <w:bCs/>
              </w:rPr>
              <w:t xml:space="preserve"> [19]</w:t>
            </w:r>
          </w:p>
        </w:tc>
        <w:tc>
          <w:tcPr>
            <w:tcW w:w="1559" w:type="dxa"/>
          </w:tcPr>
          <w:p w:rsidR="00565BFC" w:rsidRPr="003108C7" w:rsidRDefault="00565BFC" w:rsidP="007279BB">
            <w:pPr>
              <w:rPr>
                <w:bCs/>
              </w:rPr>
            </w:pPr>
            <w:r w:rsidRPr="003108C7">
              <w:rPr>
                <w:bCs/>
              </w:rPr>
              <w:t>Unclear</w:t>
            </w:r>
          </w:p>
        </w:tc>
        <w:tc>
          <w:tcPr>
            <w:tcW w:w="1418" w:type="dxa"/>
          </w:tcPr>
          <w:p w:rsidR="00565BFC" w:rsidRPr="003108C7" w:rsidRDefault="00565BFC" w:rsidP="007279BB">
            <w:pPr>
              <w:rPr>
                <w:bCs/>
              </w:rPr>
            </w:pPr>
            <w:r w:rsidRPr="003108C7">
              <w:rPr>
                <w:bCs/>
              </w:rPr>
              <w:t>Unclear</w:t>
            </w:r>
          </w:p>
        </w:tc>
        <w:tc>
          <w:tcPr>
            <w:tcW w:w="1559" w:type="dxa"/>
          </w:tcPr>
          <w:p w:rsidR="00565BFC" w:rsidRPr="003108C7" w:rsidRDefault="00565BFC" w:rsidP="007279BB">
            <w:pPr>
              <w:rPr>
                <w:bCs/>
              </w:rPr>
            </w:pPr>
            <w:r w:rsidRPr="003108C7">
              <w:rPr>
                <w:bCs/>
              </w:rPr>
              <w:t>Low</w:t>
            </w:r>
          </w:p>
        </w:tc>
        <w:tc>
          <w:tcPr>
            <w:tcW w:w="1417" w:type="dxa"/>
          </w:tcPr>
          <w:p w:rsidR="00565BFC" w:rsidRPr="003108C7" w:rsidRDefault="00565BFC" w:rsidP="007279BB">
            <w:pPr>
              <w:rPr>
                <w:bCs/>
              </w:rPr>
            </w:pPr>
            <w:r w:rsidRPr="003108C7">
              <w:rPr>
                <w:bCs/>
              </w:rPr>
              <w:t>Unclear</w:t>
            </w:r>
          </w:p>
        </w:tc>
        <w:tc>
          <w:tcPr>
            <w:tcW w:w="1418" w:type="dxa"/>
          </w:tcPr>
          <w:p w:rsidR="00565BFC" w:rsidRPr="003108C7" w:rsidRDefault="00565BFC" w:rsidP="007279BB">
            <w:pPr>
              <w:rPr>
                <w:bCs/>
              </w:rPr>
            </w:pPr>
            <w:r w:rsidRPr="003108C7">
              <w:rPr>
                <w:bCs/>
              </w:rPr>
              <w:t>Low</w:t>
            </w:r>
          </w:p>
        </w:tc>
        <w:tc>
          <w:tcPr>
            <w:tcW w:w="1417" w:type="dxa"/>
          </w:tcPr>
          <w:p w:rsidR="00565BFC" w:rsidRPr="003108C7" w:rsidRDefault="00565BFC" w:rsidP="007279BB">
            <w:pPr>
              <w:rPr>
                <w:bCs/>
              </w:rPr>
            </w:pPr>
            <w:r w:rsidRPr="003108C7">
              <w:rPr>
                <w:bCs/>
              </w:rPr>
              <w:t>Low</w:t>
            </w:r>
          </w:p>
        </w:tc>
        <w:tc>
          <w:tcPr>
            <w:tcW w:w="2127" w:type="dxa"/>
          </w:tcPr>
          <w:p w:rsidR="00565BFC" w:rsidRPr="003108C7" w:rsidRDefault="006E2502" w:rsidP="00555F2D">
            <w:pPr>
              <w:rPr>
                <w:bCs/>
              </w:rPr>
            </w:pPr>
            <w:r>
              <w:rPr>
                <w:bCs/>
              </w:rPr>
              <w:t>Unclear risk of bias</w:t>
            </w:r>
          </w:p>
        </w:tc>
      </w:tr>
      <w:tr w:rsidR="00565BFC" w:rsidRPr="003108C7" w:rsidTr="00451332">
        <w:tc>
          <w:tcPr>
            <w:tcW w:w="3227" w:type="dxa"/>
          </w:tcPr>
          <w:p w:rsidR="00565BFC" w:rsidRPr="003108C7" w:rsidRDefault="00565BFC" w:rsidP="00451332">
            <w:pPr>
              <w:rPr>
                <w:bCs/>
              </w:rPr>
            </w:pPr>
            <w:proofErr w:type="spellStart"/>
            <w:r w:rsidRPr="003108C7">
              <w:rPr>
                <w:bCs/>
              </w:rPr>
              <w:t>Ostberg</w:t>
            </w:r>
            <w:proofErr w:type="spellEnd"/>
            <w:r w:rsidRPr="003108C7">
              <w:rPr>
                <w:bCs/>
              </w:rPr>
              <w:t xml:space="preserve"> &amp;</w:t>
            </w:r>
            <w:r>
              <w:rPr>
                <w:bCs/>
              </w:rPr>
              <w:t xml:space="preserve"> </w:t>
            </w:r>
            <w:proofErr w:type="spellStart"/>
            <w:r>
              <w:rPr>
                <w:bCs/>
              </w:rPr>
              <w:t>Rydell</w:t>
            </w:r>
            <w:proofErr w:type="spellEnd"/>
            <w:r w:rsidR="00096B75">
              <w:rPr>
                <w:bCs/>
              </w:rPr>
              <w:t xml:space="preserve"> </w:t>
            </w:r>
            <w:r>
              <w:rPr>
                <w:bCs/>
              </w:rPr>
              <w:t>(2012)</w:t>
            </w:r>
            <w:r w:rsidR="00096B75">
              <w:rPr>
                <w:bCs/>
              </w:rPr>
              <w:t xml:space="preserve"> </w:t>
            </w:r>
            <w:r w:rsidR="00451332">
              <w:rPr>
                <w:bCs/>
              </w:rPr>
              <w:t>[18]</w:t>
            </w:r>
          </w:p>
        </w:tc>
        <w:tc>
          <w:tcPr>
            <w:tcW w:w="1559" w:type="dxa"/>
          </w:tcPr>
          <w:p w:rsidR="00565BFC" w:rsidRPr="003108C7" w:rsidRDefault="00565BFC" w:rsidP="007279BB">
            <w:pPr>
              <w:rPr>
                <w:bCs/>
              </w:rPr>
            </w:pPr>
            <w:r w:rsidRPr="003108C7">
              <w:rPr>
                <w:bCs/>
              </w:rPr>
              <w:t>Unclear</w:t>
            </w:r>
          </w:p>
        </w:tc>
        <w:tc>
          <w:tcPr>
            <w:tcW w:w="1418" w:type="dxa"/>
          </w:tcPr>
          <w:p w:rsidR="00565BFC" w:rsidRPr="003108C7" w:rsidRDefault="00565BFC" w:rsidP="007279BB">
            <w:pPr>
              <w:rPr>
                <w:bCs/>
              </w:rPr>
            </w:pPr>
            <w:r w:rsidRPr="003108C7">
              <w:rPr>
                <w:bCs/>
              </w:rPr>
              <w:t>Unclear</w:t>
            </w:r>
          </w:p>
        </w:tc>
        <w:tc>
          <w:tcPr>
            <w:tcW w:w="1559" w:type="dxa"/>
          </w:tcPr>
          <w:p w:rsidR="00565BFC" w:rsidRPr="003108C7" w:rsidRDefault="00565BFC" w:rsidP="007279BB">
            <w:pPr>
              <w:rPr>
                <w:bCs/>
              </w:rPr>
            </w:pPr>
            <w:r w:rsidRPr="003108C7">
              <w:rPr>
                <w:bCs/>
              </w:rPr>
              <w:t>High</w:t>
            </w:r>
          </w:p>
        </w:tc>
        <w:tc>
          <w:tcPr>
            <w:tcW w:w="1417" w:type="dxa"/>
          </w:tcPr>
          <w:p w:rsidR="00565BFC" w:rsidRPr="003108C7" w:rsidRDefault="00565BFC" w:rsidP="007279BB">
            <w:pPr>
              <w:rPr>
                <w:bCs/>
              </w:rPr>
            </w:pPr>
            <w:r w:rsidRPr="003108C7">
              <w:rPr>
                <w:bCs/>
              </w:rPr>
              <w:t>Unclear</w:t>
            </w:r>
          </w:p>
        </w:tc>
        <w:tc>
          <w:tcPr>
            <w:tcW w:w="1418" w:type="dxa"/>
          </w:tcPr>
          <w:p w:rsidR="00565BFC" w:rsidRPr="003108C7" w:rsidRDefault="00565BFC" w:rsidP="007279BB">
            <w:pPr>
              <w:rPr>
                <w:bCs/>
              </w:rPr>
            </w:pPr>
            <w:r w:rsidRPr="003108C7">
              <w:rPr>
                <w:bCs/>
              </w:rPr>
              <w:t>High</w:t>
            </w:r>
          </w:p>
        </w:tc>
        <w:tc>
          <w:tcPr>
            <w:tcW w:w="1417" w:type="dxa"/>
          </w:tcPr>
          <w:p w:rsidR="00565BFC" w:rsidRPr="003108C7" w:rsidRDefault="00565BFC" w:rsidP="007279BB">
            <w:pPr>
              <w:rPr>
                <w:bCs/>
              </w:rPr>
            </w:pPr>
            <w:r w:rsidRPr="003108C7">
              <w:rPr>
                <w:bCs/>
              </w:rPr>
              <w:t>Low</w:t>
            </w:r>
          </w:p>
        </w:tc>
        <w:tc>
          <w:tcPr>
            <w:tcW w:w="2127" w:type="dxa"/>
          </w:tcPr>
          <w:p w:rsidR="00565BFC" w:rsidRPr="003108C7" w:rsidRDefault="006E2502" w:rsidP="007279BB">
            <w:pPr>
              <w:rPr>
                <w:bCs/>
              </w:rPr>
            </w:pPr>
            <w:r>
              <w:rPr>
                <w:bCs/>
              </w:rPr>
              <w:t>High risk of bias</w:t>
            </w:r>
          </w:p>
        </w:tc>
      </w:tr>
      <w:tr w:rsidR="00565BFC" w:rsidRPr="003108C7" w:rsidTr="00451332">
        <w:tc>
          <w:tcPr>
            <w:tcW w:w="3227" w:type="dxa"/>
          </w:tcPr>
          <w:p w:rsidR="00565BFC" w:rsidRPr="003108C7" w:rsidRDefault="00451332" w:rsidP="00451332">
            <w:pPr>
              <w:rPr>
                <w:bCs/>
              </w:rPr>
            </w:pPr>
            <w:r>
              <w:rPr>
                <w:bCs/>
              </w:rPr>
              <w:t>Rafacz (2012) [17]</w:t>
            </w:r>
          </w:p>
        </w:tc>
        <w:tc>
          <w:tcPr>
            <w:tcW w:w="1559" w:type="dxa"/>
          </w:tcPr>
          <w:p w:rsidR="00565BFC" w:rsidRPr="003108C7" w:rsidRDefault="00565BFC" w:rsidP="007279BB">
            <w:pPr>
              <w:rPr>
                <w:bCs/>
              </w:rPr>
            </w:pPr>
            <w:r w:rsidRPr="003108C7">
              <w:rPr>
                <w:bCs/>
              </w:rPr>
              <w:t>Low</w:t>
            </w:r>
          </w:p>
        </w:tc>
        <w:tc>
          <w:tcPr>
            <w:tcW w:w="1418" w:type="dxa"/>
          </w:tcPr>
          <w:p w:rsidR="00565BFC" w:rsidRPr="003108C7" w:rsidRDefault="00565BFC" w:rsidP="007279BB">
            <w:pPr>
              <w:rPr>
                <w:bCs/>
              </w:rPr>
            </w:pPr>
            <w:r w:rsidRPr="003108C7">
              <w:rPr>
                <w:bCs/>
              </w:rPr>
              <w:t>Unclear</w:t>
            </w:r>
          </w:p>
        </w:tc>
        <w:tc>
          <w:tcPr>
            <w:tcW w:w="1559" w:type="dxa"/>
          </w:tcPr>
          <w:p w:rsidR="00565BFC" w:rsidRPr="003108C7" w:rsidRDefault="00565BFC" w:rsidP="007279BB">
            <w:pPr>
              <w:rPr>
                <w:bCs/>
              </w:rPr>
            </w:pPr>
            <w:r w:rsidRPr="003108C7">
              <w:rPr>
                <w:bCs/>
              </w:rPr>
              <w:t>Unclear</w:t>
            </w:r>
          </w:p>
        </w:tc>
        <w:tc>
          <w:tcPr>
            <w:tcW w:w="1417" w:type="dxa"/>
          </w:tcPr>
          <w:p w:rsidR="00565BFC" w:rsidRPr="003108C7" w:rsidRDefault="00565BFC" w:rsidP="007279BB">
            <w:pPr>
              <w:rPr>
                <w:bCs/>
              </w:rPr>
            </w:pPr>
            <w:r w:rsidRPr="003108C7">
              <w:rPr>
                <w:bCs/>
              </w:rPr>
              <w:t>Unclear</w:t>
            </w:r>
          </w:p>
        </w:tc>
        <w:tc>
          <w:tcPr>
            <w:tcW w:w="1418" w:type="dxa"/>
          </w:tcPr>
          <w:p w:rsidR="00565BFC" w:rsidRPr="003108C7" w:rsidRDefault="00565BFC" w:rsidP="007279BB">
            <w:pPr>
              <w:rPr>
                <w:bCs/>
              </w:rPr>
            </w:pPr>
            <w:r w:rsidRPr="003108C7">
              <w:rPr>
                <w:bCs/>
              </w:rPr>
              <w:t>Low</w:t>
            </w:r>
          </w:p>
        </w:tc>
        <w:tc>
          <w:tcPr>
            <w:tcW w:w="1417" w:type="dxa"/>
          </w:tcPr>
          <w:p w:rsidR="00565BFC" w:rsidRPr="003108C7" w:rsidRDefault="00565BFC" w:rsidP="007279BB">
            <w:pPr>
              <w:rPr>
                <w:bCs/>
              </w:rPr>
            </w:pPr>
            <w:r w:rsidRPr="003108C7">
              <w:rPr>
                <w:bCs/>
              </w:rPr>
              <w:t>Low</w:t>
            </w:r>
          </w:p>
        </w:tc>
        <w:tc>
          <w:tcPr>
            <w:tcW w:w="2127" w:type="dxa"/>
          </w:tcPr>
          <w:p w:rsidR="00565BFC" w:rsidRPr="003108C7" w:rsidRDefault="006E2502" w:rsidP="007279BB">
            <w:pPr>
              <w:rPr>
                <w:bCs/>
              </w:rPr>
            </w:pPr>
            <w:r>
              <w:rPr>
                <w:bCs/>
              </w:rPr>
              <w:t>Unclear risk of bias</w:t>
            </w:r>
          </w:p>
        </w:tc>
      </w:tr>
      <w:tr w:rsidR="00565BFC" w:rsidRPr="003108C7" w:rsidTr="00451332">
        <w:tc>
          <w:tcPr>
            <w:tcW w:w="3227" w:type="dxa"/>
          </w:tcPr>
          <w:p w:rsidR="00565BFC" w:rsidRPr="003108C7" w:rsidRDefault="00565BFC" w:rsidP="00451332">
            <w:pPr>
              <w:rPr>
                <w:bCs/>
              </w:rPr>
            </w:pPr>
            <w:proofErr w:type="spellStart"/>
            <w:r w:rsidRPr="003108C7">
              <w:rPr>
                <w:bCs/>
              </w:rPr>
              <w:t>Svensson</w:t>
            </w:r>
            <w:proofErr w:type="spellEnd"/>
            <w:r w:rsidRPr="003108C7">
              <w:rPr>
                <w:bCs/>
              </w:rPr>
              <w:t xml:space="preserve"> &amp; H</w:t>
            </w:r>
            <w:r>
              <w:rPr>
                <w:bCs/>
              </w:rPr>
              <w:t>ansson (2014)</w:t>
            </w:r>
            <w:r w:rsidR="00451332">
              <w:rPr>
                <w:bCs/>
              </w:rPr>
              <w:t xml:space="preserve"> [16]</w:t>
            </w:r>
          </w:p>
        </w:tc>
        <w:tc>
          <w:tcPr>
            <w:tcW w:w="1559" w:type="dxa"/>
          </w:tcPr>
          <w:p w:rsidR="00565BFC" w:rsidRPr="003108C7" w:rsidRDefault="00565BFC" w:rsidP="007279BB">
            <w:pPr>
              <w:rPr>
                <w:bCs/>
              </w:rPr>
            </w:pPr>
            <w:r w:rsidRPr="003108C7">
              <w:rPr>
                <w:bCs/>
              </w:rPr>
              <w:t>Low</w:t>
            </w:r>
          </w:p>
        </w:tc>
        <w:tc>
          <w:tcPr>
            <w:tcW w:w="1418" w:type="dxa"/>
          </w:tcPr>
          <w:p w:rsidR="00565BFC" w:rsidRPr="003108C7" w:rsidRDefault="00565BFC" w:rsidP="007279BB">
            <w:pPr>
              <w:rPr>
                <w:bCs/>
              </w:rPr>
            </w:pPr>
            <w:r w:rsidRPr="003108C7">
              <w:rPr>
                <w:bCs/>
              </w:rPr>
              <w:t>Unclear</w:t>
            </w:r>
          </w:p>
        </w:tc>
        <w:tc>
          <w:tcPr>
            <w:tcW w:w="1559" w:type="dxa"/>
          </w:tcPr>
          <w:p w:rsidR="00565BFC" w:rsidRPr="003108C7" w:rsidRDefault="00565BFC" w:rsidP="007279BB">
            <w:pPr>
              <w:rPr>
                <w:bCs/>
              </w:rPr>
            </w:pPr>
            <w:r w:rsidRPr="003108C7">
              <w:rPr>
                <w:bCs/>
              </w:rPr>
              <w:t>Low</w:t>
            </w:r>
          </w:p>
        </w:tc>
        <w:tc>
          <w:tcPr>
            <w:tcW w:w="1417" w:type="dxa"/>
          </w:tcPr>
          <w:p w:rsidR="00565BFC" w:rsidRPr="003108C7" w:rsidRDefault="00565BFC" w:rsidP="007279BB">
            <w:pPr>
              <w:rPr>
                <w:bCs/>
              </w:rPr>
            </w:pPr>
            <w:r w:rsidRPr="003108C7">
              <w:rPr>
                <w:bCs/>
              </w:rPr>
              <w:t>Unclear</w:t>
            </w:r>
          </w:p>
        </w:tc>
        <w:tc>
          <w:tcPr>
            <w:tcW w:w="1418" w:type="dxa"/>
          </w:tcPr>
          <w:p w:rsidR="00565BFC" w:rsidRPr="003108C7" w:rsidRDefault="00CD47A0" w:rsidP="007279BB">
            <w:pPr>
              <w:rPr>
                <w:bCs/>
              </w:rPr>
            </w:pPr>
            <w:r>
              <w:rPr>
                <w:bCs/>
              </w:rPr>
              <w:t>High</w:t>
            </w:r>
          </w:p>
        </w:tc>
        <w:tc>
          <w:tcPr>
            <w:tcW w:w="1417" w:type="dxa"/>
          </w:tcPr>
          <w:p w:rsidR="00565BFC" w:rsidRPr="003108C7" w:rsidRDefault="00565BFC" w:rsidP="007279BB">
            <w:pPr>
              <w:rPr>
                <w:bCs/>
              </w:rPr>
            </w:pPr>
            <w:r w:rsidRPr="003108C7">
              <w:rPr>
                <w:bCs/>
              </w:rPr>
              <w:t>Low</w:t>
            </w:r>
          </w:p>
        </w:tc>
        <w:tc>
          <w:tcPr>
            <w:tcW w:w="2127" w:type="dxa"/>
          </w:tcPr>
          <w:p w:rsidR="00565BFC" w:rsidRPr="003108C7" w:rsidRDefault="006E2502" w:rsidP="007279BB">
            <w:pPr>
              <w:rPr>
                <w:bCs/>
              </w:rPr>
            </w:pPr>
            <w:r>
              <w:rPr>
                <w:bCs/>
              </w:rPr>
              <w:t>High risk of bias</w:t>
            </w:r>
          </w:p>
        </w:tc>
      </w:tr>
      <w:tr w:rsidR="00565BFC" w:rsidRPr="003108C7" w:rsidTr="00451332">
        <w:tc>
          <w:tcPr>
            <w:tcW w:w="3227" w:type="dxa"/>
          </w:tcPr>
          <w:p w:rsidR="00565BFC" w:rsidRPr="003108C7" w:rsidRDefault="00565BFC" w:rsidP="00451332">
            <w:pPr>
              <w:rPr>
                <w:bCs/>
              </w:rPr>
            </w:pPr>
            <w:r w:rsidRPr="003108C7">
              <w:rPr>
                <w:bCs/>
              </w:rPr>
              <w:t>Thom</w:t>
            </w:r>
            <w:r w:rsidR="00451332">
              <w:rPr>
                <w:bCs/>
              </w:rPr>
              <w:t>bs et al (2015) [14]</w:t>
            </w:r>
          </w:p>
        </w:tc>
        <w:tc>
          <w:tcPr>
            <w:tcW w:w="1559" w:type="dxa"/>
          </w:tcPr>
          <w:p w:rsidR="00565BFC" w:rsidRPr="003108C7" w:rsidRDefault="00565BFC" w:rsidP="007279BB">
            <w:pPr>
              <w:rPr>
                <w:bCs/>
              </w:rPr>
            </w:pPr>
            <w:r w:rsidRPr="003108C7">
              <w:rPr>
                <w:bCs/>
              </w:rPr>
              <w:t>Unclear</w:t>
            </w:r>
          </w:p>
        </w:tc>
        <w:tc>
          <w:tcPr>
            <w:tcW w:w="1418" w:type="dxa"/>
          </w:tcPr>
          <w:p w:rsidR="00565BFC" w:rsidRPr="003108C7" w:rsidRDefault="00565BFC" w:rsidP="007279BB">
            <w:pPr>
              <w:rPr>
                <w:bCs/>
              </w:rPr>
            </w:pPr>
            <w:r w:rsidRPr="003108C7">
              <w:rPr>
                <w:bCs/>
              </w:rPr>
              <w:t>High</w:t>
            </w:r>
          </w:p>
        </w:tc>
        <w:tc>
          <w:tcPr>
            <w:tcW w:w="1559" w:type="dxa"/>
          </w:tcPr>
          <w:p w:rsidR="00565BFC" w:rsidRPr="003108C7" w:rsidRDefault="00565BFC" w:rsidP="007279BB">
            <w:pPr>
              <w:rPr>
                <w:bCs/>
              </w:rPr>
            </w:pPr>
            <w:r w:rsidRPr="003108C7">
              <w:rPr>
                <w:bCs/>
              </w:rPr>
              <w:t>Unclear</w:t>
            </w:r>
          </w:p>
        </w:tc>
        <w:tc>
          <w:tcPr>
            <w:tcW w:w="1417" w:type="dxa"/>
          </w:tcPr>
          <w:p w:rsidR="00565BFC" w:rsidRPr="003108C7" w:rsidRDefault="00565BFC" w:rsidP="007279BB">
            <w:pPr>
              <w:rPr>
                <w:bCs/>
              </w:rPr>
            </w:pPr>
            <w:r w:rsidRPr="003108C7">
              <w:rPr>
                <w:bCs/>
              </w:rPr>
              <w:t>Unclear</w:t>
            </w:r>
          </w:p>
        </w:tc>
        <w:tc>
          <w:tcPr>
            <w:tcW w:w="1418" w:type="dxa"/>
          </w:tcPr>
          <w:p w:rsidR="00565BFC" w:rsidRPr="003108C7" w:rsidRDefault="00565BFC" w:rsidP="007279BB">
            <w:pPr>
              <w:rPr>
                <w:bCs/>
              </w:rPr>
            </w:pPr>
            <w:r w:rsidRPr="003108C7">
              <w:rPr>
                <w:bCs/>
              </w:rPr>
              <w:t>Unclear</w:t>
            </w:r>
          </w:p>
        </w:tc>
        <w:tc>
          <w:tcPr>
            <w:tcW w:w="1417" w:type="dxa"/>
          </w:tcPr>
          <w:p w:rsidR="00565BFC" w:rsidRPr="003108C7" w:rsidRDefault="00565BFC" w:rsidP="007279BB">
            <w:pPr>
              <w:rPr>
                <w:bCs/>
              </w:rPr>
            </w:pPr>
            <w:r w:rsidRPr="003108C7">
              <w:rPr>
                <w:bCs/>
              </w:rPr>
              <w:t>High</w:t>
            </w:r>
          </w:p>
        </w:tc>
        <w:tc>
          <w:tcPr>
            <w:tcW w:w="2127" w:type="dxa"/>
          </w:tcPr>
          <w:p w:rsidR="00565BFC" w:rsidRPr="003108C7" w:rsidRDefault="006E2502" w:rsidP="00B56046">
            <w:pPr>
              <w:rPr>
                <w:bCs/>
              </w:rPr>
            </w:pPr>
            <w:r>
              <w:rPr>
                <w:bCs/>
              </w:rPr>
              <w:t>High risk of bias</w:t>
            </w:r>
          </w:p>
        </w:tc>
      </w:tr>
      <w:tr w:rsidR="00D9575F" w:rsidRPr="003108C7" w:rsidTr="00451332">
        <w:tc>
          <w:tcPr>
            <w:tcW w:w="3227" w:type="dxa"/>
          </w:tcPr>
          <w:p w:rsidR="00D9575F" w:rsidRPr="003108C7" w:rsidRDefault="00D9575F" w:rsidP="00451332">
            <w:pPr>
              <w:rPr>
                <w:bCs/>
              </w:rPr>
            </w:pPr>
            <w:r>
              <w:rPr>
                <w:bCs/>
              </w:rPr>
              <w:t>Teagardin et al (2012)</w:t>
            </w:r>
            <w:r w:rsidR="00CF3DD9">
              <w:t xml:space="preserve"> </w:t>
            </w:r>
            <w:r w:rsidR="00451332">
              <w:t>[15]</w:t>
            </w:r>
          </w:p>
        </w:tc>
        <w:tc>
          <w:tcPr>
            <w:tcW w:w="1559" w:type="dxa"/>
          </w:tcPr>
          <w:p w:rsidR="00D9575F" w:rsidRPr="003108C7" w:rsidRDefault="00CF3DD9" w:rsidP="007279BB">
            <w:pPr>
              <w:rPr>
                <w:bCs/>
              </w:rPr>
            </w:pPr>
            <w:r>
              <w:rPr>
                <w:bCs/>
              </w:rPr>
              <w:t>Unclear</w:t>
            </w:r>
          </w:p>
        </w:tc>
        <w:tc>
          <w:tcPr>
            <w:tcW w:w="1418" w:type="dxa"/>
          </w:tcPr>
          <w:p w:rsidR="00D9575F" w:rsidRPr="003108C7" w:rsidRDefault="00CF3DD9" w:rsidP="007279BB">
            <w:pPr>
              <w:rPr>
                <w:bCs/>
              </w:rPr>
            </w:pPr>
            <w:r>
              <w:rPr>
                <w:bCs/>
              </w:rPr>
              <w:t>High</w:t>
            </w:r>
          </w:p>
        </w:tc>
        <w:tc>
          <w:tcPr>
            <w:tcW w:w="1559" w:type="dxa"/>
          </w:tcPr>
          <w:p w:rsidR="00D9575F" w:rsidRPr="003108C7" w:rsidRDefault="00CF3DD9" w:rsidP="007279BB">
            <w:pPr>
              <w:rPr>
                <w:bCs/>
              </w:rPr>
            </w:pPr>
            <w:r>
              <w:rPr>
                <w:bCs/>
              </w:rPr>
              <w:t>Unclear</w:t>
            </w:r>
          </w:p>
        </w:tc>
        <w:tc>
          <w:tcPr>
            <w:tcW w:w="1417" w:type="dxa"/>
          </w:tcPr>
          <w:p w:rsidR="00D9575F" w:rsidRPr="003108C7" w:rsidRDefault="00CF3DD9" w:rsidP="007279BB">
            <w:pPr>
              <w:rPr>
                <w:bCs/>
              </w:rPr>
            </w:pPr>
            <w:r>
              <w:rPr>
                <w:bCs/>
              </w:rPr>
              <w:t>Unclear</w:t>
            </w:r>
          </w:p>
        </w:tc>
        <w:tc>
          <w:tcPr>
            <w:tcW w:w="1418" w:type="dxa"/>
          </w:tcPr>
          <w:p w:rsidR="00D9575F" w:rsidRPr="003108C7" w:rsidRDefault="00CF3DD9" w:rsidP="007279BB">
            <w:pPr>
              <w:rPr>
                <w:bCs/>
              </w:rPr>
            </w:pPr>
            <w:r>
              <w:rPr>
                <w:bCs/>
              </w:rPr>
              <w:t>Unclear</w:t>
            </w:r>
          </w:p>
        </w:tc>
        <w:tc>
          <w:tcPr>
            <w:tcW w:w="1417" w:type="dxa"/>
          </w:tcPr>
          <w:p w:rsidR="00D9575F" w:rsidRPr="003108C7" w:rsidRDefault="00CF3DD9" w:rsidP="007279BB">
            <w:pPr>
              <w:rPr>
                <w:bCs/>
              </w:rPr>
            </w:pPr>
            <w:r>
              <w:rPr>
                <w:bCs/>
              </w:rPr>
              <w:t>Unclear</w:t>
            </w:r>
          </w:p>
        </w:tc>
        <w:tc>
          <w:tcPr>
            <w:tcW w:w="2127" w:type="dxa"/>
          </w:tcPr>
          <w:p w:rsidR="00D9575F" w:rsidRPr="003108C7" w:rsidRDefault="006E2502" w:rsidP="00B56046">
            <w:pPr>
              <w:rPr>
                <w:bCs/>
              </w:rPr>
            </w:pPr>
            <w:r>
              <w:rPr>
                <w:bCs/>
              </w:rPr>
              <w:t>High risk of bias</w:t>
            </w:r>
          </w:p>
        </w:tc>
      </w:tr>
    </w:tbl>
    <w:p w:rsidR="0054174F" w:rsidRDefault="0054174F" w:rsidP="00FD204B">
      <w:pPr>
        <w:rPr>
          <w:b/>
          <w:bCs/>
        </w:rPr>
      </w:pPr>
    </w:p>
    <w:p w:rsidR="00FD204B" w:rsidRDefault="002E1AEB" w:rsidP="00FD204B">
      <w:pPr>
        <w:rPr>
          <w:b/>
          <w:bCs/>
        </w:rPr>
      </w:pPr>
      <w:r>
        <w:rPr>
          <w:b/>
          <w:bCs/>
        </w:rPr>
        <w:t>C:</w:t>
      </w:r>
      <w:r w:rsidR="00FD204B" w:rsidRPr="003108C7">
        <w:rPr>
          <w:b/>
          <w:bCs/>
        </w:rPr>
        <w:t xml:space="preserve"> Risk of bias assessment of </w:t>
      </w:r>
      <w:r w:rsidR="00FD204B">
        <w:rPr>
          <w:b/>
          <w:bCs/>
        </w:rPr>
        <w:t xml:space="preserve">non-randomised controlled </w:t>
      </w:r>
      <w:r>
        <w:rPr>
          <w:b/>
          <w:bCs/>
        </w:rPr>
        <w:t>trials</w:t>
      </w:r>
      <w:r w:rsidR="00165E48">
        <w:rPr>
          <w:b/>
          <w:bCs/>
        </w:rPr>
        <w:t xml:space="preserve"> using </w:t>
      </w:r>
      <w:r w:rsidR="00165E48" w:rsidRPr="00165E48">
        <w:rPr>
          <w:b/>
          <w:bCs/>
        </w:rPr>
        <w:t xml:space="preserve">the Newcastle-Ottawa Quality Assessment Scale for Cohort Studies </w:t>
      </w:r>
      <w:r w:rsidR="00402D22">
        <w:rPr>
          <w:b/>
          <w:bCs/>
        </w:rPr>
        <w:t>[11]</w:t>
      </w:r>
    </w:p>
    <w:tbl>
      <w:tblPr>
        <w:tblW w:w="142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701"/>
        <w:gridCol w:w="1276"/>
        <w:gridCol w:w="1417"/>
        <w:gridCol w:w="1701"/>
        <w:gridCol w:w="1300"/>
        <w:gridCol w:w="1360"/>
        <w:gridCol w:w="1417"/>
        <w:gridCol w:w="1418"/>
        <w:gridCol w:w="14"/>
        <w:gridCol w:w="1403"/>
      </w:tblGrid>
      <w:tr w:rsidR="00325127" w:rsidRPr="00FD204B" w:rsidTr="002E1AEB">
        <w:tc>
          <w:tcPr>
            <w:tcW w:w="1276" w:type="dxa"/>
            <w:vMerge w:val="restart"/>
            <w:shd w:val="clear" w:color="auto" w:fill="auto"/>
          </w:tcPr>
          <w:p w:rsidR="00325127" w:rsidRPr="00FD204B" w:rsidRDefault="00325127" w:rsidP="002F111E">
            <w:pPr>
              <w:spacing w:after="0" w:line="240" w:lineRule="auto"/>
              <w:contextualSpacing/>
              <w:rPr>
                <w:b/>
                <w:bCs/>
              </w:rPr>
            </w:pPr>
            <w:r w:rsidRPr="00FD204B">
              <w:rPr>
                <w:b/>
                <w:bCs/>
              </w:rPr>
              <w:t>Study ID</w:t>
            </w:r>
          </w:p>
        </w:tc>
        <w:tc>
          <w:tcPr>
            <w:tcW w:w="6095" w:type="dxa"/>
            <w:gridSpan w:val="4"/>
            <w:shd w:val="clear" w:color="auto" w:fill="auto"/>
            <w:vAlign w:val="center"/>
          </w:tcPr>
          <w:p w:rsidR="00325127" w:rsidRPr="00FD204B" w:rsidRDefault="00325127" w:rsidP="002F111E">
            <w:pPr>
              <w:spacing w:after="0" w:line="240" w:lineRule="auto"/>
              <w:contextualSpacing/>
              <w:jc w:val="center"/>
              <w:rPr>
                <w:b/>
                <w:bCs/>
              </w:rPr>
            </w:pPr>
            <w:r w:rsidRPr="00FD204B">
              <w:rPr>
                <w:b/>
                <w:bCs/>
              </w:rPr>
              <w:t>Selection</w:t>
            </w:r>
          </w:p>
        </w:tc>
        <w:tc>
          <w:tcPr>
            <w:tcW w:w="2660" w:type="dxa"/>
            <w:gridSpan w:val="2"/>
            <w:shd w:val="clear" w:color="auto" w:fill="auto"/>
            <w:vAlign w:val="center"/>
          </w:tcPr>
          <w:p w:rsidR="00325127" w:rsidRPr="00FD204B" w:rsidRDefault="00325127" w:rsidP="002F111E">
            <w:pPr>
              <w:spacing w:after="0" w:line="240" w:lineRule="auto"/>
              <w:contextualSpacing/>
              <w:jc w:val="center"/>
              <w:rPr>
                <w:b/>
                <w:bCs/>
              </w:rPr>
            </w:pPr>
            <w:r w:rsidRPr="00FD204B">
              <w:rPr>
                <w:b/>
                <w:bCs/>
              </w:rPr>
              <w:t>Comparability</w:t>
            </w:r>
          </w:p>
        </w:tc>
        <w:tc>
          <w:tcPr>
            <w:tcW w:w="4252" w:type="dxa"/>
            <w:gridSpan w:val="4"/>
            <w:shd w:val="clear" w:color="auto" w:fill="auto"/>
            <w:vAlign w:val="center"/>
          </w:tcPr>
          <w:p w:rsidR="00325127" w:rsidRPr="00FD204B" w:rsidRDefault="00325127" w:rsidP="002F111E">
            <w:pPr>
              <w:spacing w:after="0" w:line="240" w:lineRule="auto"/>
              <w:contextualSpacing/>
              <w:jc w:val="center"/>
              <w:rPr>
                <w:b/>
                <w:bCs/>
              </w:rPr>
            </w:pPr>
            <w:r w:rsidRPr="00FD204B">
              <w:rPr>
                <w:b/>
                <w:bCs/>
              </w:rPr>
              <w:t>Outcome</w:t>
            </w:r>
          </w:p>
        </w:tc>
      </w:tr>
      <w:tr w:rsidR="00325127" w:rsidRPr="00FD204B" w:rsidTr="002E1AEB">
        <w:trPr>
          <w:trHeight w:val="979"/>
        </w:trPr>
        <w:tc>
          <w:tcPr>
            <w:tcW w:w="1276" w:type="dxa"/>
            <w:vMerge/>
            <w:shd w:val="clear" w:color="auto" w:fill="auto"/>
          </w:tcPr>
          <w:p w:rsidR="00325127" w:rsidRPr="00FD204B" w:rsidRDefault="00325127" w:rsidP="002F111E">
            <w:pPr>
              <w:spacing w:after="0" w:line="240" w:lineRule="auto"/>
              <w:contextualSpacing/>
              <w:rPr>
                <w:b/>
                <w:bCs/>
              </w:rPr>
            </w:pPr>
          </w:p>
        </w:tc>
        <w:tc>
          <w:tcPr>
            <w:tcW w:w="1701" w:type="dxa"/>
            <w:shd w:val="clear" w:color="auto" w:fill="auto"/>
            <w:vAlign w:val="center"/>
          </w:tcPr>
          <w:p w:rsidR="00325127" w:rsidRPr="0054174F" w:rsidRDefault="00325127" w:rsidP="002F111E">
            <w:pPr>
              <w:spacing w:after="0" w:line="240" w:lineRule="auto"/>
              <w:contextualSpacing/>
              <w:rPr>
                <w:b/>
                <w:bCs/>
              </w:rPr>
            </w:pPr>
            <w:r w:rsidRPr="0054174F">
              <w:rPr>
                <w:b/>
                <w:bCs/>
              </w:rPr>
              <w:t>Representative-ness of the exposed cohort</w:t>
            </w:r>
          </w:p>
        </w:tc>
        <w:tc>
          <w:tcPr>
            <w:tcW w:w="1276" w:type="dxa"/>
            <w:shd w:val="clear" w:color="auto" w:fill="auto"/>
            <w:vAlign w:val="center"/>
          </w:tcPr>
          <w:p w:rsidR="00325127" w:rsidRPr="0054174F" w:rsidRDefault="00325127" w:rsidP="002F111E">
            <w:pPr>
              <w:spacing w:after="0" w:line="240" w:lineRule="auto"/>
              <w:contextualSpacing/>
              <w:rPr>
                <w:b/>
                <w:bCs/>
              </w:rPr>
            </w:pPr>
            <w:r w:rsidRPr="0054174F">
              <w:rPr>
                <w:b/>
                <w:bCs/>
              </w:rPr>
              <w:t>Selection of the non-exposed cohort</w:t>
            </w:r>
          </w:p>
        </w:tc>
        <w:tc>
          <w:tcPr>
            <w:tcW w:w="1417" w:type="dxa"/>
            <w:shd w:val="clear" w:color="auto" w:fill="auto"/>
            <w:vAlign w:val="center"/>
          </w:tcPr>
          <w:p w:rsidR="00325127" w:rsidRPr="0054174F" w:rsidRDefault="00325127" w:rsidP="002F111E">
            <w:pPr>
              <w:spacing w:after="0" w:line="240" w:lineRule="auto"/>
              <w:contextualSpacing/>
              <w:rPr>
                <w:b/>
                <w:bCs/>
              </w:rPr>
            </w:pPr>
            <w:r w:rsidRPr="0054174F">
              <w:rPr>
                <w:b/>
                <w:bCs/>
              </w:rPr>
              <w:t>Ascertainment of exposure</w:t>
            </w:r>
          </w:p>
        </w:tc>
        <w:tc>
          <w:tcPr>
            <w:tcW w:w="1701" w:type="dxa"/>
            <w:shd w:val="clear" w:color="auto" w:fill="auto"/>
            <w:vAlign w:val="center"/>
          </w:tcPr>
          <w:p w:rsidR="00325127" w:rsidRPr="0054174F" w:rsidRDefault="00325127" w:rsidP="002F111E">
            <w:pPr>
              <w:spacing w:after="0" w:line="240" w:lineRule="auto"/>
              <w:contextualSpacing/>
              <w:rPr>
                <w:b/>
                <w:bCs/>
              </w:rPr>
            </w:pPr>
            <w:r w:rsidRPr="0054174F">
              <w:rPr>
                <w:b/>
                <w:bCs/>
              </w:rPr>
              <w:t>Demonstration that outcome of interest was not present at start of study</w:t>
            </w:r>
          </w:p>
        </w:tc>
        <w:tc>
          <w:tcPr>
            <w:tcW w:w="2660" w:type="dxa"/>
            <w:gridSpan w:val="2"/>
            <w:shd w:val="clear" w:color="auto" w:fill="auto"/>
            <w:vAlign w:val="center"/>
          </w:tcPr>
          <w:p w:rsidR="00325127" w:rsidRPr="0054174F" w:rsidRDefault="00325127" w:rsidP="002F111E">
            <w:pPr>
              <w:spacing w:after="0" w:line="240" w:lineRule="auto"/>
              <w:contextualSpacing/>
              <w:rPr>
                <w:b/>
                <w:bCs/>
              </w:rPr>
            </w:pPr>
            <w:bookmarkStart w:id="1" w:name="_GoBack"/>
            <w:r w:rsidRPr="0054174F">
              <w:rPr>
                <w:b/>
                <w:bCs/>
              </w:rPr>
              <w:t>Comparability of cohorts on the basis of the design or analysis</w:t>
            </w:r>
            <w:bookmarkEnd w:id="1"/>
          </w:p>
        </w:tc>
        <w:tc>
          <w:tcPr>
            <w:tcW w:w="1417" w:type="dxa"/>
            <w:shd w:val="clear" w:color="auto" w:fill="auto"/>
            <w:vAlign w:val="center"/>
          </w:tcPr>
          <w:p w:rsidR="00325127" w:rsidRPr="0054174F" w:rsidRDefault="00325127" w:rsidP="002F111E">
            <w:pPr>
              <w:spacing w:after="0" w:line="240" w:lineRule="auto"/>
              <w:contextualSpacing/>
              <w:rPr>
                <w:b/>
                <w:bCs/>
              </w:rPr>
            </w:pPr>
            <w:r w:rsidRPr="0054174F">
              <w:rPr>
                <w:b/>
                <w:bCs/>
              </w:rPr>
              <w:t>Assessment of outcome</w:t>
            </w:r>
          </w:p>
        </w:tc>
        <w:tc>
          <w:tcPr>
            <w:tcW w:w="1418" w:type="dxa"/>
            <w:shd w:val="clear" w:color="auto" w:fill="auto"/>
            <w:vAlign w:val="center"/>
          </w:tcPr>
          <w:p w:rsidR="00325127" w:rsidRPr="0054174F" w:rsidRDefault="00325127" w:rsidP="002F111E">
            <w:pPr>
              <w:spacing w:after="0" w:line="240" w:lineRule="auto"/>
              <w:contextualSpacing/>
              <w:rPr>
                <w:b/>
                <w:bCs/>
              </w:rPr>
            </w:pPr>
            <w:r w:rsidRPr="0054174F">
              <w:rPr>
                <w:b/>
                <w:bCs/>
              </w:rPr>
              <w:t>Was follow-up long enough for outcomes to occur</w:t>
            </w:r>
          </w:p>
        </w:tc>
        <w:tc>
          <w:tcPr>
            <w:tcW w:w="1417" w:type="dxa"/>
            <w:gridSpan w:val="2"/>
            <w:shd w:val="clear" w:color="auto" w:fill="auto"/>
            <w:vAlign w:val="center"/>
          </w:tcPr>
          <w:p w:rsidR="00325127" w:rsidRPr="0054174F" w:rsidRDefault="00325127" w:rsidP="002F111E">
            <w:pPr>
              <w:spacing w:after="0" w:line="240" w:lineRule="auto"/>
              <w:contextualSpacing/>
              <w:rPr>
                <w:b/>
                <w:bCs/>
              </w:rPr>
            </w:pPr>
            <w:r w:rsidRPr="0054174F">
              <w:rPr>
                <w:b/>
                <w:bCs/>
              </w:rPr>
              <w:t>Adequacy of follow up of cohorts</w:t>
            </w:r>
          </w:p>
        </w:tc>
      </w:tr>
      <w:tr w:rsidR="00325127" w:rsidRPr="00FD204B" w:rsidTr="002E1AEB">
        <w:tc>
          <w:tcPr>
            <w:tcW w:w="1276" w:type="dxa"/>
            <w:shd w:val="clear" w:color="auto" w:fill="auto"/>
          </w:tcPr>
          <w:p w:rsidR="00325127" w:rsidRPr="00831C4F" w:rsidRDefault="00325127" w:rsidP="002F111E">
            <w:pPr>
              <w:spacing w:after="0" w:line="240" w:lineRule="auto"/>
              <w:contextualSpacing/>
              <w:rPr>
                <w:bCs/>
              </w:rPr>
            </w:pPr>
            <w:r w:rsidRPr="00831C4F">
              <w:rPr>
                <w:bCs/>
              </w:rPr>
              <w:lastRenderedPageBreak/>
              <w:t xml:space="preserve">Bailey </w:t>
            </w:r>
            <w:r w:rsidR="00831C4F" w:rsidRPr="00831C4F">
              <w:rPr>
                <w:bCs/>
              </w:rPr>
              <w:t xml:space="preserve">et al </w:t>
            </w:r>
            <w:r w:rsidRPr="00831C4F">
              <w:rPr>
                <w:bCs/>
              </w:rPr>
              <w:t xml:space="preserve">(2001) </w:t>
            </w:r>
            <w:r w:rsidR="00451332">
              <w:rPr>
                <w:bCs/>
              </w:rPr>
              <w:t>[26]</w:t>
            </w:r>
          </w:p>
        </w:tc>
        <w:tc>
          <w:tcPr>
            <w:tcW w:w="1701" w:type="dxa"/>
            <w:shd w:val="clear" w:color="auto" w:fill="auto"/>
          </w:tcPr>
          <w:p w:rsidR="00325127" w:rsidRPr="00325127" w:rsidRDefault="00325127" w:rsidP="002F111E">
            <w:pPr>
              <w:spacing w:after="0" w:line="240" w:lineRule="auto"/>
              <w:contextualSpacing/>
              <w:rPr>
                <w:bCs/>
              </w:rPr>
            </w:pPr>
            <w:r w:rsidRPr="00325127">
              <w:rPr>
                <w:bCs/>
              </w:rPr>
              <w:t>++</w:t>
            </w:r>
          </w:p>
          <w:p w:rsidR="00325127" w:rsidRPr="00325127" w:rsidRDefault="00325127" w:rsidP="002F111E">
            <w:pPr>
              <w:spacing w:after="0" w:line="240" w:lineRule="auto"/>
              <w:contextualSpacing/>
              <w:rPr>
                <w:bCs/>
              </w:rPr>
            </w:pPr>
            <w:r w:rsidRPr="00325127">
              <w:rPr>
                <w:bCs/>
              </w:rPr>
              <w:t>Somewhat representative of the average trainee police officer in the community</w:t>
            </w:r>
          </w:p>
        </w:tc>
        <w:tc>
          <w:tcPr>
            <w:tcW w:w="1276" w:type="dxa"/>
            <w:shd w:val="clear" w:color="auto" w:fill="auto"/>
          </w:tcPr>
          <w:p w:rsidR="00325127" w:rsidRPr="00325127" w:rsidRDefault="00325127" w:rsidP="002F111E">
            <w:pPr>
              <w:spacing w:after="0" w:line="240" w:lineRule="auto"/>
              <w:contextualSpacing/>
              <w:rPr>
                <w:bCs/>
              </w:rPr>
            </w:pPr>
            <w:r w:rsidRPr="00325127">
              <w:rPr>
                <w:bCs/>
              </w:rPr>
              <w:t>+</w:t>
            </w:r>
          </w:p>
          <w:p w:rsidR="00325127" w:rsidRPr="00325127" w:rsidRDefault="00325127" w:rsidP="002F111E">
            <w:pPr>
              <w:spacing w:after="0" w:line="240" w:lineRule="auto"/>
              <w:contextualSpacing/>
              <w:rPr>
                <w:bCs/>
              </w:rPr>
            </w:pPr>
            <w:r w:rsidRPr="00325127">
              <w:rPr>
                <w:bCs/>
              </w:rPr>
              <w:t>Drawn from the same community as the exposed cohort</w:t>
            </w:r>
          </w:p>
        </w:tc>
        <w:tc>
          <w:tcPr>
            <w:tcW w:w="1417" w:type="dxa"/>
            <w:shd w:val="clear" w:color="auto" w:fill="auto"/>
          </w:tcPr>
          <w:p w:rsidR="00325127" w:rsidRPr="00325127" w:rsidRDefault="00325127" w:rsidP="002F111E">
            <w:pPr>
              <w:spacing w:after="0" w:line="240" w:lineRule="auto"/>
              <w:contextualSpacing/>
              <w:rPr>
                <w:bCs/>
              </w:rPr>
            </w:pPr>
            <w:r w:rsidRPr="00325127">
              <w:rPr>
                <w:bCs/>
              </w:rPr>
              <w:t>Not clear when or how surveys were administered</w:t>
            </w:r>
          </w:p>
        </w:tc>
        <w:tc>
          <w:tcPr>
            <w:tcW w:w="1701" w:type="dxa"/>
            <w:shd w:val="clear" w:color="auto" w:fill="auto"/>
          </w:tcPr>
          <w:p w:rsidR="00325127" w:rsidRPr="00325127" w:rsidRDefault="00325127" w:rsidP="002F111E">
            <w:pPr>
              <w:spacing w:after="0" w:line="240" w:lineRule="auto"/>
              <w:contextualSpacing/>
              <w:rPr>
                <w:bCs/>
              </w:rPr>
            </w:pPr>
            <w:r w:rsidRPr="00325127">
              <w:rPr>
                <w:bCs/>
              </w:rPr>
              <w:t>Unclear</w:t>
            </w:r>
          </w:p>
        </w:tc>
        <w:tc>
          <w:tcPr>
            <w:tcW w:w="1300" w:type="dxa"/>
            <w:shd w:val="clear" w:color="auto" w:fill="auto"/>
          </w:tcPr>
          <w:p w:rsidR="00325127" w:rsidRPr="00325127" w:rsidRDefault="00325127" w:rsidP="002F111E">
            <w:pPr>
              <w:spacing w:after="0" w:line="240" w:lineRule="auto"/>
              <w:contextualSpacing/>
              <w:rPr>
                <w:bCs/>
              </w:rPr>
            </w:pPr>
            <w:r w:rsidRPr="00325127">
              <w:rPr>
                <w:bCs/>
              </w:rPr>
              <w:t>+</w:t>
            </w:r>
          </w:p>
          <w:p w:rsidR="00325127" w:rsidRPr="00325127" w:rsidRDefault="00325127" w:rsidP="002F111E">
            <w:pPr>
              <w:spacing w:after="0" w:line="240" w:lineRule="auto"/>
              <w:contextualSpacing/>
              <w:rPr>
                <w:bCs/>
              </w:rPr>
            </w:pPr>
            <w:r w:rsidRPr="00325127">
              <w:rPr>
                <w:bCs/>
              </w:rPr>
              <w:t>Study controls for pre-existing knowledge and skills</w:t>
            </w:r>
          </w:p>
        </w:tc>
        <w:tc>
          <w:tcPr>
            <w:tcW w:w="1360" w:type="dxa"/>
            <w:shd w:val="clear" w:color="auto" w:fill="auto"/>
          </w:tcPr>
          <w:p w:rsidR="00325127" w:rsidRPr="00325127" w:rsidRDefault="00325127" w:rsidP="002F111E">
            <w:pPr>
              <w:spacing w:after="0" w:line="240" w:lineRule="auto"/>
              <w:contextualSpacing/>
              <w:rPr>
                <w:bCs/>
              </w:rPr>
            </w:pPr>
            <w:r w:rsidRPr="00325127">
              <w:rPr>
                <w:bCs/>
              </w:rPr>
              <w:t>No other factors controlled for</w:t>
            </w:r>
          </w:p>
        </w:tc>
        <w:tc>
          <w:tcPr>
            <w:tcW w:w="1417" w:type="dxa"/>
            <w:shd w:val="clear" w:color="auto" w:fill="auto"/>
          </w:tcPr>
          <w:p w:rsidR="00325127" w:rsidRPr="00325127" w:rsidRDefault="00325127" w:rsidP="002F111E">
            <w:pPr>
              <w:spacing w:after="0" w:line="240" w:lineRule="auto"/>
              <w:contextualSpacing/>
              <w:rPr>
                <w:bCs/>
              </w:rPr>
            </w:pPr>
            <w:r w:rsidRPr="00325127">
              <w:rPr>
                <w:bCs/>
              </w:rPr>
              <w:t>Survey – self allocated ‘code’ names</w:t>
            </w:r>
          </w:p>
        </w:tc>
        <w:tc>
          <w:tcPr>
            <w:tcW w:w="1432" w:type="dxa"/>
            <w:gridSpan w:val="2"/>
            <w:shd w:val="clear" w:color="auto" w:fill="auto"/>
          </w:tcPr>
          <w:p w:rsidR="00325127" w:rsidRPr="00325127" w:rsidRDefault="00325127" w:rsidP="002F111E">
            <w:pPr>
              <w:spacing w:after="0" w:line="240" w:lineRule="auto"/>
              <w:contextualSpacing/>
              <w:rPr>
                <w:bCs/>
              </w:rPr>
            </w:pPr>
            <w:r w:rsidRPr="00325127">
              <w:rPr>
                <w:bCs/>
              </w:rPr>
              <w:t>No: follow up was immediately post training only</w:t>
            </w:r>
          </w:p>
        </w:tc>
        <w:tc>
          <w:tcPr>
            <w:tcW w:w="1403" w:type="dxa"/>
            <w:shd w:val="clear" w:color="auto" w:fill="auto"/>
          </w:tcPr>
          <w:p w:rsidR="00325127" w:rsidRPr="00325127" w:rsidRDefault="00325127" w:rsidP="002F111E">
            <w:pPr>
              <w:spacing w:after="0" w:line="240" w:lineRule="auto"/>
              <w:contextualSpacing/>
              <w:rPr>
                <w:bCs/>
              </w:rPr>
            </w:pPr>
            <w:r w:rsidRPr="00325127">
              <w:rPr>
                <w:bCs/>
              </w:rPr>
              <w:t>++</w:t>
            </w:r>
          </w:p>
          <w:p w:rsidR="00325127" w:rsidRPr="00325127" w:rsidRDefault="00325127" w:rsidP="002F111E">
            <w:pPr>
              <w:spacing w:after="0" w:line="240" w:lineRule="auto"/>
              <w:contextualSpacing/>
              <w:rPr>
                <w:bCs/>
              </w:rPr>
            </w:pPr>
            <w:r w:rsidRPr="00325127">
              <w:rPr>
                <w:bCs/>
              </w:rPr>
              <w:t>Subjects lost to follow up unlikely to introduce bias - small number lost - &gt; 80 %</w:t>
            </w:r>
          </w:p>
        </w:tc>
      </w:tr>
      <w:tr w:rsidR="00325127" w:rsidRPr="00FD204B" w:rsidTr="002E1AEB">
        <w:tc>
          <w:tcPr>
            <w:tcW w:w="1276" w:type="dxa"/>
            <w:shd w:val="clear" w:color="auto" w:fill="auto"/>
          </w:tcPr>
          <w:p w:rsidR="00325127" w:rsidRPr="00831C4F" w:rsidRDefault="00325127" w:rsidP="002F111E">
            <w:pPr>
              <w:spacing w:after="0" w:line="240" w:lineRule="auto"/>
              <w:contextualSpacing/>
              <w:rPr>
                <w:bCs/>
              </w:rPr>
            </w:pPr>
            <w:r w:rsidRPr="00831C4F">
              <w:rPr>
                <w:bCs/>
              </w:rPr>
              <w:t xml:space="preserve">Hansson </w:t>
            </w:r>
            <w:r w:rsidR="00831C4F" w:rsidRPr="00831C4F">
              <w:rPr>
                <w:bCs/>
              </w:rPr>
              <w:t xml:space="preserve">&amp; Markstrom </w:t>
            </w:r>
            <w:r w:rsidRPr="00831C4F">
              <w:rPr>
                <w:bCs/>
              </w:rPr>
              <w:t xml:space="preserve">(2014) </w:t>
            </w:r>
            <w:r w:rsidR="00451332">
              <w:rPr>
                <w:bCs/>
              </w:rPr>
              <w:t>[27]</w:t>
            </w:r>
          </w:p>
        </w:tc>
        <w:tc>
          <w:tcPr>
            <w:tcW w:w="1701" w:type="dxa"/>
            <w:shd w:val="clear" w:color="auto" w:fill="auto"/>
          </w:tcPr>
          <w:p w:rsidR="00325127" w:rsidRPr="00325127" w:rsidRDefault="00325127" w:rsidP="002F111E">
            <w:pPr>
              <w:spacing w:after="0" w:line="240" w:lineRule="auto"/>
              <w:contextualSpacing/>
              <w:rPr>
                <w:bCs/>
              </w:rPr>
            </w:pPr>
            <w:r w:rsidRPr="00325127">
              <w:rPr>
                <w:bCs/>
              </w:rPr>
              <w:t>+</w:t>
            </w:r>
          </w:p>
          <w:p w:rsidR="00325127" w:rsidRPr="00325127" w:rsidRDefault="00325127" w:rsidP="002F111E">
            <w:pPr>
              <w:spacing w:after="0" w:line="240" w:lineRule="auto"/>
              <w:contextualSpacing/>
              <w:rPr>
                <w:bCs/>
              </w:rPr>
            </w:pPr>
            <w:r w:rsidRPr="00325127">
              <w:rPr>
                <w:bCs/>
              </w:rPr>
              <w:t>Somewhat representative of the average student police officer in the community</w:t>
            </w:r>
          </w:p>
        </w:tc>
        <w:tc>
          <w:tcPr>
            <w:tcW w:w="1276" w:type="dxa"/>
            <w:shd w:val="clear" w:color="auto" w:fill="auto"/>
          </w:tcPr>
          <w:p w:rsidR="00325127" w:rsidRPr="00325127" w:rsidRDefault="00325127" w:rsidP="002F111E">
            <w:pPr>
              <w:spacing w:after="0" w:line="240" w:lineRule="auto"/>
              <w:contextualSpacing/>
              <w:rPr>
                <w:bCs/>
              </w:rPr>
            </w:pPr>
            <w:r w:rsidRPr="00325127">
              <w:rPr>
                <w:bCs/>
              </w:rPr>
              <w:t>+</w:t>
            </w:r>
          </w:p>
          <w:p w:rsidR="00325127" w:rsidRPr="00325127" w:rsidRDefault="00325127" w:rsidP="002F111E">
            <w:pPr>
              <w:spacing w:after="0" w:line="240" w:lineRule="auto"/>
              <w:contextualSpacing/>
              <w:rPr>
                <w:bCs/>
              </w:rPr>
            </w:pPr>
            <w:r w:rsidRPr="00325127">
              <w:rPr>
                <w:bCs/>
              </w:rPr>
              <w:t>Drawn from the same community as the exposed cohort</w:t>
            </w:r>
          </w:p>
        </w:tc>
        <w:tc>
          <w:tcPr>
            <w:tcW w:w="1417" w:type="dxa"/>
            <w:shd w:val="clear" w:color="auto" w:fill="auto"/>
          </w:tcPr>
          <w:p w:rsidR="00325127" w:rsidRPr="00325127" w:rsidRDefault="00325127" w:rsidP="002F111E">
            <w:pPr>
              <w:spacing w:after="0" w:line="240" w:lineRule="auto"/>
              <w:contextualSpacing/>
              <w:rPr>
                <w:bCs/>
              </w:rPr>
            </w:pPr>
            <w:r w:rsidRPr="00325127">
              <w:rPr>
                <w:bCs/>
              </w:rPr>
              <w:t>+</w:t>
            </w:r>
          </w:p>
          <w:p w:rsidR="00325127" w:rsidRPr="00325127" w:rsidRDefault="00325127" w:rsidP="002F111E">
            <w:pPr>
              <w:spacing w:after="0" w:line="240" w:lineRule="auto"/>
              <w:contextualSpacing/>
              <w:rPr>
                <w:bCs/>
              </w:rPr>
            </w:pPr>
            <w:r w:rsidRPr="00325127">
              <w:rPr>
                <w:bCs/>
              </w:rPr>
              <w:t>Secure record: completion of survey in classroom pre and post</w:t>
            </w:r>
          </w:p>
        </w:tc>
        <w:tc>
          <w:tcPr>
            <w:tcW w:w="1701" w:type="dxa"/>
            <w:shd w:val="clear" w:color="auto" w:fill="auto"/>
          </w:tcPr>
          <w:p w:rsidR="00325127" w:rsidRPr="00325127" w:rsidRDefault="00325127" w:rsidP="002F111E">
            <w:pPr>
              <w:spacing w:after="0" w:line="240" w:lineRule="auto"/>
              <w:contextualSpacing/>
              <w:rPr>
                <w:bCs/>
              </w:rPr>
            </w:pPr>
            <w:r w:rsidRPr="00325127">
              <w:rPr>
                <w:bCs/>
              </w:rPr>
              <w:t>+</w:t>
            </w:r>
          </w:p>
          <w:p w:rsidR="00325127" w:rsidRPr="00325127" w:rsidRDefault="00325127" w:rsidP="002F111E">
            <w:pPr>
              <w:spacing w:after="0" w:line="240" w:lineRule="auto"/>
              <w:contextualSpacing/>
              <w:rPr>
                <w:bCs/>
              </w:rPr>
            </w:pPr>
            <w:r w:rsidRPr="00325127">
              <w:rPr>
                <w:bCs/>
              </w:rPr>
              <w:t>Yes - participants familiarity with mental illness  assessed at base line</w:t>
            </w:r>
          </w:p>
        </w:tc>
        <w:tc>
          <w:tcPr>
            <w:tcW w:w="1300" w:type="dxa"/>
            <w:shd w:val="clear" w:color="auto" w:fill="auto"/>
          </w:tcPr>
          <w:p w:rsidR="00325127" w:rsidRPr="00325127" w:rsidRDefault="00325127" w:rsidP="002F111E">
            <w:pPr>
              <w:spacing w:after="0" w:line="240" w:lineRule="auto"/>
              <w:contextualSpacing/>
              <w:rPr>
                <w:bCs/>
              </w:rPr>
            </w:pPr>
            <w:r w:rsidRPr="00325127">
              <w:rPr>
                <w:bCs/>
              </w:rPr>
              <w:t>No control for pre-existing knowledge and skills</w:t>
            </w:r>
          </w:p>
        </w:tc>
        <w:tc>
          <w:tcPr>
            <w:tcW w:w="1360" w:type="dxa"/>
            <w:shd w:val="clear" w:color="auto" w:fill="auto"/>
          </w:tcPr>
          <w:p w:rsidR="00325127" w:rsidRPr="00325127" w:rsidRDefault="00325127" w:rsidP="002F111E">
            <w:pPr>
              <w:spacing w:after="0" w:line="240" w:lineRule="auto"/>
              <w:contextualSpacing/>
              <w:rPr>
                <w:bCs/>
              </w:rPr>
            </w:pPr>
            <w:r w:rsidRPr="00325127">
              <w:rPr>
                <w:bCs/>
              </w:rPr>
              <w:t>No other factors controlled for</w:t>
            </w:r>
          </w:p>
        </w:tc>
        <w:tc>
          <w:tcPr>
            <w:tcW w:w="1417" w:type="dxa"/>
            <w:shd w:val="clear" w:color="auto" w:fill="auto"/>
          </w:tcPr>
          <w:p w:rsidR="00325127" w:rsidRPr="00325127" w:rsidRDefault="00325127" w:rsidP="002F111E">
            <w:pPr>
              <w:spacing w:after="0" w:line="240" w:lineRule="auto"/>
              <w:contextualSpacing/>
              <w:rPr>
                <w:bCs/>
              </w:rPr>
            </w:pPr>
            <w:r w:rsidRPr="00325127">
              <w:rPr>
                <w:bCs/>
              </w:rPr>
              <w:t>Self report</w:t>
            </w:r>
          </w:p>
        </w:tc>
        <w:tc>
          <w:tcPr>
            <w:tcW w:w="1432" w:type="dxa"/>
            <w:gridSpan w:val="2"/>
            <w:shd w:val="clear" w:color="auto" w:fill="auto"/>
          </w:tcPr>
          <w:p w:rsidR="00325127" w:rsidRPr="00325127" w:rsidRDefault="00325127" w:rsidP="002F111E">
            <w:pPr>
              <w:spacing w:after="0" w:line="240" w:lineRule="auto"/>
              <w:contextualSpacing/>
              <w:rPr>
                <w:bCs/>
              </w:rPr>
            </w:pPr>
            <w:r w:rsidRPr="00325127">
              <w:rPr>
                <w:bCs/>
              </w:rPr>
              <w:t>No: only intervention group followed up at 6 months</w:t>
            </w:r>
          </w:p>
        </w:tc>
        <w:tc>
          <w:tcPr>
            <w:tcW w:w="1403" w:type="dxa"/>
            <w:shd w:val="clear" w:color="auto" w:fill="auto"/>
          </w:tcPr>
          <w:p w:rsidR="00325127" w:rsidRPr="00325127" w:rsidRDefault="00325127" w:rsidP="002F111E">
            <w:pPr>
              <w:spacing w:after="0" w:line="240" w:lineRule="auto"/>
              <w:contextualSpacing/>
              <w:rPr>
                <w:bCs/>
              </w:rPr>
            </w:pPr>
            <w:r w:rsidRPr="00325127">
              <w:rPr>
                <w:bCs/>
              </w:rPr>
              <w:t>+</w:t>
            </w:r>
          </w:p>
          <w:p w:rsidR="00325127" w:rsidRPr="00325127" w:rsidRDefault="00325127" w:rsidP="002F111E">
            <w:pPr>
              <w:spacing w:after="0" w:line="240" w:lineRule="auto"/>
              <w:contextualSpacing/>
              <w:rPr>
                <w:bCs/>
              </w:rPr>
            </w:pPr>
            <w:r w:rsidRPr="00325127">
              <w:rPr>
                <w:bCs/>
              </w:rPr>
              <w:t>Subjects lost to follow up unlikely to introduce bias - small number lost - &gt; 80 %</w:t>
            </w:r>
          </w:p>
        </w:tc>
      </w:tr>
      <w:tr w:rsidR="00325127" w:rsidRPr="00FD204B" w:rsidTr="002E1AEB">
        <w:tc>
          <w:tcPr>
            <w:tcW w:w="1276" w:type="dxa"/>
            <w:shd w:val="clear" w:color="auto" w:fill="auto"/>
          </w:tcPr>
          <w:p w:rsidR="00325127" w:rsidRPr="00831C4F" w:rsidRDefault="00325127" w:rsidP="002F111E">
            <w:pPr>
              <w:spacing w:after="0" w:line="240" w:lineRule="auto"/>
              <w:contextualSpacing/>
              <w:rPr>
                <w:bCs/>
              </w:rPr>
            </w:pPr>
            <w:r w:rsidRPr="00831C4F">
              <w:rPr>
                <w:bCs/>
              </w:rPr>
              <w:t xml:space="preserve">Herrington </w:t>
            </w:r>
            <w:r w:rsidR="00831C4F" w:rsidRPr="00831C4F">
              <w:rPr>
                <w:bCs/>
              </w:rPr>
              <w:t xml:space="preserve">&amp; Pope </w:t>
            </w:r>
            <w:r w:rsidRPr="00831C4F">
              <w:rPr>
                <w:bCs/>
              </w:rPr>
              <w:t xml:space="preserve">(2013) </w:t>
            </w:r>
            <w:r w:rsidR="00451332">
              <w:rPr>
                <w:bCs/>
              </w:rPr>
              <w:t>[28]</w:t>
            </w:r>
          </w:p>
        </w:tc>
        <w:tc>
          <w:tcPr>
            <w:tcW w:w="1701" w:type="dxa"/>
            <w:shd w:val="clear" w:color="auto" w:fill="auto"/>
          </w:tcPr>
          <w:p w:rsidR="00325127" w:rsidRPr="00325127" w:rsidRDefault="00325127" w:rsidP="002F111E">
            <w:pPr>
              <w:spacing w:after="0" w:line="240" w:lineRule="auto"/>
              <w:contextualSpacing/>
              <w:rPr>
                <w:bCs/>
              </w:rPr>
            </w:pPr>
            <w:r w:rsidRPr="00325127">
              <w:rPr>
                <w:bCs/>
              </w:rPr>
              <w:t>+</w:t>
            </w:r>
          </w:p>
          <w:p w:rsidR="00325127" w:rsidRPr="00325127" w:rsidRDefault="00325127" w:rsidP="002F111E">
            <w:pPr>
              <w:spacing w:after="0" w:line="240" w:lineRule="auto"/>
              <w:contextualSpacing/>
              <w:rPr>
                <w:bCs/>
              </w:rPr>
            </w:pPr>
            <w:r w:rsidRPr="00325127">
              <w:rPr>
                <w:bCs/>
              </w:rPr>
              <w:t>Somewhat representative of the average police officer in the community</w:t>
            </w:r>
          </w:p>
        </w:tc>
        <w:tc>
          <w:tcPr>
            <w:tcW w:w="1276" w:type="dxa"/>
            <w:shd w:val="clear" w:color="auto" w:fill="auto"/>
          </w:tcPr>
          <w:p w:rsidR="00325127" w:rsidRPr="00325127" w:rsidRDefault="00325127" w:rsidP="002F111E">
            <w:pPr>
              <w:spacing w:after="0" w:line="240" w:lineRule="auto"/>
              <w:contextualSpacing/>
              <w:rPr>
                <w:bCs/>
              </w:rPr>
            </w:pPr>
            <w:r w:rsidRPr="00325127">
              <w:rPr>
                <w:bCs/>
              </w:rPr>
              <w:t>+</w:t>
            </w:r>
          </w:p>
          <w:p w:rsidR="00325127" w:rsidRPr="00325127" w:rsidRDefault="00325127" w:rsidP="002F111E">
            <w:pPr>
              <w:spacing w:after="0" w:line="240" w:lineRule="auto"/>
              <w:contextualSpacing/>
              <w:rPr>
                <w:bCs/>
              </w:rPr>
            </w:pPr>
            <w:r w:rsidRPr="00325127">
              <w:rPr>
                <w:bCs/>
              </w:rPr>
              <w:t>Drawn from the same community as the exposed cohort</w:t>
            </w:r>
          </w:p>
        </w:tc>
        <w:tc>
          <w:tcPr>
            <w:tcW w:w="1417" w:type="dxa"/>
            <w:shd w:val="clear" w:color="auto" w:fill="auto"/>
          </w:tcPr>
          <w:p w:rsidR="00325127" w:rsidRPr="00325127" w:rsidRDefault="00325127" w:rsidP="002F111E">
            <w:pPr>
              <w:spacing w:after="0" w:line="240" w:lineRule="auto"/>
              <w:contextualSpacing/>
              <w:rPr>
                <w:bCs/>
              </w:rPr>
            </w:pPr>
            <w:r w:rsidRPr="00325127">
              <w:rPr>
                <w:bCs/>
              </w:rPr>
              <w:t>No description</w:t>
            </w:r>
          </w:p>
        </w:tc>
        <w:tc>
          <w:tcPr>
            <w:tcW w:w="1701" w:type="dxa"/>
            <w:shd w:val="clear" w:color="auto" w:fill="auto"/>
          </w:tcPr>
          <w:p w:rsidR="00325127" w:rsidRPr="00325127" w:rsidRDefault="00325127" w:rsidP="002F111E">
            <w:pPr>
              <w:spacing w:after="0" w:line="240" w:lineRule="auto"/>
              <w:contextualSpacing/>
              <w:rPr>
                <w:bCs/>
              </w:rPr>
            </w:pPr>
            <w:r w:rsidRPr="00325127">
              <w:rPr>
                <w:bCs/>
              </w:rPr>
              <w:t>Not reported</w:t>
            </w:r>
          </w:p>
        </w:tc>
        <w:tc>
          <w:tcPr>
            <w:tcW w:w="1300" w:type="dxa"/>
            <w:shd w:val="clear" w:color="auto" w:fill="auto"/>
          </w:tcPr>
          <w:p w:rsidR="00325127" w:rsidRPr="00325127" w:rsidRDefault="00325127" w:rsidP="002F111E">
            <w:pPr>
              <w:spacing w:after="0" w:line="240" w:lineRule="auto"/>
              <w:contextualSpacing/>
              <w:rPr>
                <w:bCs/>
              </w:rPr>
            </w:pPr>
            <w:r w:rsidRPr="00325127">
              <w:rPr>
                <w:bCs/>
              </w:rPr>
              <w:t>No control for pre-existing knowledge and skills</w:t>
            </w:r>
          </w:p>
        </w:tc>
        <w:tc>
          <w:tcPr>
            <w:tcW w:w="1360" w:type="dxa"/>
            <w:shd w:val="clear" w:color="auto" w:fill="auto"/>
          </w:tcPr>
          <w:p w:rsidR="00325127" w:rsidRPr="00325127" w:rsidRDefault="00325127" w:rsidP="002F111E">
            <w:pPr>
              <w:spacing w:after="0" w:line="240" w:lineRule="auto"/>
              <w:contextualSpacing/>
              <w:rPr>
                <w:bCs/>
              </w:rPr>
            </w:pPr>
            <w:r w:rsidRPr="00325127">
              <w:rPr>
                <w:bCs/>
              </w:rPr>
              <w:t>No other factors controlled for</w:t>
            </w:r>
          </w:p>
        </w:tc>
        <w:tc>
          <w:tcPr>
            <w:tcW w:w="1417" w:type="dxa"/>
            <w:shd w:val="clear" w:color="auto" w:fill="auto"/>
          </w:tcPr>
          <w:p w:rsidR="00325127" w:rsidRPr="00325127" w:rsidRDefault="00325127" w:rsidP="002F111E">
            <w:pPr>
              <w:spacing w:after="0" w:line="240" w:lineRule="auto"/>
              <w:contextualSpacing/>
              <w:rPr>
                <w:bCs/>
              </w:rPr>
            </w:pPr>
            <w:r w:rsidRPr="00325127">
              <w:rPr>
                <w:bCs/>
              </w:rPr>
              <w:t>Not reported</w:t>
            </w:r>
          </w:p>
        </w:tc>
        <w:tc>
          <w:tcPr>
            <w:tcW w:w="1432" w:type="dxa"/>
            <w:gridSpan w:val="2"/>
            <w:shd w:val="clear" w:color="auto" w:fill="auto"/>
          </w:tcPr>
          <w:p w:rsidR="00325127" w:rsidRPr="00325127" w:rsidRDefault="00325127" w:rsidP="002F111E">
            <w:pPr>
              <w:spacing w:after="0" w:line="240" w:lineRule="auto"/>
              <w:contextualSpacing/>
              <w:rPr>
                <w:bCs/>
              </w:rPr>
            </w:pPr>
            <w:r w:rsidRPr="00325127">
              <w:rPr>
                <w:bCs/>
              </w:rPr>
              <w:t>+</w:t>
            </w:r>
          </w:p>
          <w:p w:rsidR="00325127" w:rsidRPr="00325127" w:rsidRDefault="00325127" w:rsidP="002F111E">
            <w:pPr>
              <w:spacing w:after="0" w:line="240" w:lineRule="auto"/>
              <w:contextualSpacing/>
              <w:rPr>
                <w:bCs/>
              </w:rPr>
            </w:pPr>
            <w:r w:rsidRPr="00325127">
              <w:rPr>
                <w:bCs/>
              </w:rPr>
              <w:t>Yes: 18 months</w:t>
            </w:r>
          </w:p>
        </w:tc>
        <w:tc>
          <w:tcPr>
            <w:tcW w:w="1403" w:type="dxa"/>
            <w:shd w:val="clear" w:color="auto" w:fill="auto"/>
          </w:tcPr>
          <w:p w:rsidR="00325127" w:rsidRPr="00325127" w:rsidRDefault="00325127" w:rsidP="002F111E">
            <w:pPr>
              <w:spacing w:after="0" w:line="240" w:lineRule="auto"/>
              <w:contextualSpacing/>
              <w:rPr>
                <w:bCs/>
              </w:rPr>
            </w:pPr>
            <w:r w:rsidRPr="00325127">
              <w:rPr>
                <w:bCs/>
              </w:rPr>
              <w:t>Follow up rate varies and overall insufficient data reported</w:t>
            </w:r>
          </w:p>
        </w:tc>
      </w:tr>
    </w:tbl>
    <w:p w:rsidR="0054174F" w:rsidRDefault="0054174F">
      <w:pPr>
        <w:rPr>
          <w:b/>
          <w:bCs/>
        </w:rPr>
      </w:pPr>
    </w:p>
    <w:p w:rsidR="00BD5ED3" w:rsidRDefault="002E1AEB">
      <w:pPr>
        <w:rPr>
          <w:b/>
          <w:bCs/>
        </w:rPr>
      </w:pPr>
      <w:r>
        <w:rPr>
          <w:b/>
          <w:bCs/>
        </w:rPr>
        <w:t>D</w:t>
      </w:r>
      <w:r w:rsidR="00FD204B" w:rsidRPr="003108C7">
        <w:rPr>
          <w:b/>
          <w:bCs/>
        </w:rPr>
        <w:t xml:space="preserve">: Risk of bias assessment of </w:t>
      </w:r>
      <w:r w:rsidR="00FD204B">
        <w:rPr>
          <w:b/>
          <w:bCs/>
        </w:rPr>
        <w:t>non-</w:t>
      </w:r>
      <w:r w:rsidR="00FD204B" w:rsidRPr="00FD204B">
        <w:rPr>
          <w:b/>
          <w:bCs/>
        </w:rPr>
        <w:t>comparative studies</w:t>
      </w:r>
      <w:r w:rsidR="00165E48">
        <w:rPr>
          <w:b/>
          <w:bCs/>
        </w:rPr>
        <w:t xml:space="preserve"> using </w:t>
      </w:r>
      <w:r w:rsidR="00165E48" w:rsidRPr="00165E48">
        <w:rPr>
          <w:b/>
          <w:bCs/>
        </w:rPr>
        <w:t>the National Institutes for Health tool for studies without a control group</w:t>
      </w:r>
      <w:r w:rsidR="00402D22">
        <w:rPr>
          <w:b/>
          <w:bCs/>
        </w:rPr>
        <w:t xml:space="preserve"> [12]</w:t>
      </w:r>
    </w:p>
    <w:tbl>
      <w:tblPr>
        <w:tblStyle w:val="TableGrid"/>
        <w:tblW w:w="0" w:type="auto"/>
        <w:tblLook w:val="04A0"/>
      </w:tblPr>
      <w:tblGrid>
        <w:gridCol w:w="1101"/>
        <w:gridCol w:w="1559"/>
        <w:gridCol w:w="11514"/>
      </w:tblGrid>
      <w:tr w:rsidR="00EC7DA2" w:rsidTr="00451332">
        <w:tc>
          <w:tcPr>
            <w:tcW w:w="1101" w:type="dxa"/>
          </w:tcPr>
          <w:p w:rsidR="00EC7DA2" w:rsidRDefault="00EC7DA2" w:rsidP="007814B2">
            <w:pPr>
              <w:rPr>
                <w:b/>
              </w:rPr>
            </w:pPr>
            <w:r>
              <w:rPr>
                <w:b/>
              </w:rPr>
              <w:t>Study</w:t>
            </w:r>
          </w:p>
        </w:tc>
        <w:tc>
          <w:tcPr>
            <w:tcW w:w="1559" w:type="dxa"/>
          </w:tcPr>
          <w:p w:rsidR="00EC7DA2" w:rsidRDefault="00EC7DA2" w:rsidP="00EC7DA2">
            <w:pPr>
              <w:rPr>
                <w:b/>
              </w:rPr>
            </w:pPr>
            <w:r w:rsidRPr="00EC7DA2">
              <w:rPr>
                <w:b/>
              </w:rPr>
              <w:t xml:space="preserve">Quality Rating </w:t>
            </w:r>
            <w:r w:rsidRPr="00EC7DA2">
              <w:rPr>
                <w:b/>
                <w:sz w:val="16"/>
                <w:szCs w:val="16"/>
              </w:rPr>
              <w:t>(Good, Fair, or Poor)</w:t>
            </w:r>
          </w:p>
        </w:tc>
        <w:tc>
          <w:tcPr>
            <w:tcW w:w="11514" w:type="dxa"/>
          </w:tcPr>
          <w:p w:rsidR="00EC7DA2" w:rsidRDefault="00325127" w:rsidP="007814B2">
            <w:pPr>
              <w:rPr>
                <w:b/>
              </w:rPr>
            </w:pPr>
            <w:r>
              <w:rPr>
                <w:b/>
              </w:rPr>
              <w:t>Observations</w:t>
            </w:r>
          </w:p>
        </w:tc>
      </w:tr>
      <w:tr w:rsidR="00831C4F" w:rsidTr="00451332">
        <w:tc>
          <w:tcPr>
            <w:tcW w:w="1101" w:type="dxa"/>
          </w:tcPr>
          <w:p w:rsidR="00831C4F" w:rsidRPr="00EA41CD" w:rsidRDefault="00451332" w:rsidP="00451332">
            <w:proofErr w:type="spellStart"/>
            <w:r>
              <w:t>Forni</w:t>
            </w:r>
            <w:proofErr w:type="spellEnd"/>
            <w:r>
              <w:t xml:space="preserve"> et al (2009) [29]</w:t>
            </w:r>
          </w:p>
        </w:tc>
        <w:tc>
          <w:tcPr>
            <w:tcW w:w="1559" w:type="dxa"/>
          </w:tcPr>
          <w:p w:rsidR="00831C4F" w:rsidRPr="00831C4F" w:rsidRDefault="00831C4F" w:rsidP="007814B2">
            <w:r w:rsidRPr="00831C4F">
              <w:rPr>
                <w:rFonts w:ascii="Arial" w:eastAsia="Times New Roman" w:hAnsi="Arial" w:cs="Arial"/>
                <w:bCs/>
                <w:lang w:eastAsia="en-GB"/>
              </w:rPr>
              <w:t>Fair</w:t>
            </w:r>
          </w:p>
        </w:tc>
        <w:tc>
          <w:tcPr>
            <w:tcW w:w="11514" w:type="dxa"/>
          </w:tcPr>
          <w:p w:rsidR="00831C4F" w:rsidRDefault="00831C4F" w:rsidP="007814B2">
            <w:pPr>
              <w:rPr>
                <w:b/>
              </w:rPr>
            </w:pPr>
            <w:r>
              <w:rPr>
                <w:rFonts w:ascii="Arial" w:eastAsia="Times New Roman" w:hAnsi="Arial" w:cs="Arial"/>
                <w:lang w:eastAsia="en-GB"/>
              </w:rPr>
              <w:t>Reasonably well reported evaluation consisted of immediate post training questionnaire on presentation and content only 280/364 completed forms.  However, unclear if pre-specified and validity/reliability of the questionnaire uncertain. Little detail on the evaluation form or how it was created. The findings of the evaluation are specific to the setting and participants and are not generalizable, however interesting and fair report on local initiative.</w:t>
            </w:r>
          </w:p>
        </w:tc>
      </w:tr>
      <w:tr w:rsidR="00831C4F" w:rsidTr="00451332">
        <w:tc>
          <w:tcPr>
            <w:tcW w:w="1101" w:type="dxa"/>
          </w:tcPr>
          <w:p w:rsidR="00831C4F" w:rsidRPr="00EA41CD" w:rsidRDefault="00831C4F" w:rsidP="00120D6A">
            <w:r>
              <w:t xml:space="preserve">Norris &amp; </w:t>
            </w:r>
            <w:r>
              <w:lastRenderedPageBreak/>
              <w:t xml:space="preserve">Cooke </w:t>
            </w:r>
            <w:r w:rsidR="00451332">
              <w:t>(2000) [30]</w:t>
            </w:r>
          </w:p>
        </w:tc>
        <w:tc>
          <w:tcPr>
            <w:tcW w:w="1559" w:type="dxa"/>
          </w:tcPr>
          <w:p w:rsidR="00831C4F" w:rsidRPr="00831C4F" w:rsidRDefault="00831C4F" w:rsidP="007814B2">
            <w:r w:rsidRPr="00831C4F">
              <w:rPr>
                <w:rFonts w:ascii="Arial" w:eastAsia="Times New Roman" w:hAnsi="Arial" w:cs="Arial"/>
                <w:bCs/>
                <w:lang w:eastAsia="en-GB"/>
              </w:rPr>
              <w:lastRenderedPageBreak/>
              <w:t>Fair</w:t>
            </w:r>
          </w:p>
        </w:tc>
        <w:tc>
          <w:tcPr>
            <w:tcW w:w="11514" w:type="dxa"/>
          </w:tcPr>
          <w:p w:rsidR="00831C4F" w:rsidRDefault="00831C4F" w:rsidP="007814B2">
            <w:pPr>
              <w:rPr>
                <w:b/>
              </w:rPr>
            </w:pPr>
            <w:r>
              <w:rPr>
                <w:rFonts w:ascii="Arial" w:eastAsia="Times New Roman" w:hAnsi="Arial" w:cs="Arial"/>
                <w:lang w:eastAsia="en-GB"/>
              </w:rPr>
              <w:t xml:space="preserve">Fair level of detail about training given but evaluation was immediate feedback and then retrospective survey so no </w:t>
            </w:r>
            <w:r>
              <w:rPr>
                <w:rFonts w:ascii="Arial" w:eastAsia="Times New Roman" w:hAnsi="Arial" w:cs="Arial"/>
                <w:lang w:eastAsia="en-GB"/>
              </w:rPr>
              <w:lastRenderedPageBreak/>
              <w:t>baseline data collected. 43% response rate (55/132). The findings of the evaluation are specific to the setting and participants and are not generalizable. Interesting and fair report on local initiative. Little detail of survey content.</w:t>
            </w:r>
          </w:p>
        </w:tc>
      </w:tr>
      <w:tr w:rsidR="00831C4F" w:rsidTr="00451332">
        <w:tc>
          <w:tcPr>
            <w:tcW w:w="1101" w:type="dxa"/>
          </w:tcPr>
          <w:p w:rsidR="00831C4F" w:rsidRPr="00EA41CD" w:rsidRDefault="00831C4F" w:rsidP="00451332">
            <w:r>
              <w:lastRenderedPageBreak/>
              <w:t xml:space="preserve">Pinfold et al (2003) </w:t>
            </w:r>
            <w:r w:rsidR="00451332">
              <w:t>[31]</w:t>
            </w:r>
          </w:p>
        </w:tc>
        <w:tc>
          <w:tcPr>
            <w:tcW w:w="1559" w:type="dxa"/>
          </w:tcPr>
          <w:p w:rsidR="00831C4F" w:rsidRPr="00831C4F" w:rsidRDefault="00831C4F" w:rsidP="007814B2">
            <w:r w:rsidRPr="00831C4F">
              <w:rPr>
                <w:rFonts w:ascii="Arial" w:eastAsia="Times New Roman" w:hAnsi="Arial" w:cs="Arial"/>
                <w:bCs/>
                <w:lang w:eastAsia="en-GB"/>
              </w:rPr>
              <w:t>Good</w:t>
            </w:r>
          </w:p>
        </w:tc>
        <w:tc>
          <w:tcPr>
            <w:tcW w:w="11514" w:type="dxa"/>
          </w:tcPr>
          <w:p w:rsidR="00831C4F" w:rsidRDefault="00831C4F" w:rsidP="007814B2">
            <w:pPr>
              <w:rPr>
                <w:b/>
              </w:rPr>
            </w:pPr>
            <w:r>
              <w:rPr>
                <w:rFonts w:ascii="Arial" w:eastAsia="Times New Roman" w:hAnsi="Arial" w:cs="Arial"/>
                <w:lang w:eastAsia="en-GB"/>
              </w:rPr>
              <w:t>Well reported pre and post evaluation</w:t>
            </w:r>
          </w:p>
        </w:tc>
      </w:tr>
    </w:tbl>
    <w:p w:rsidR="007814B2" w:rsidRDefault="007814B2" w:rsidP="00FC50A8">
      <w:pPr>
        <w:spacing w:after="0"/>
        <w:rPr>
          <w:bCs/>
        </w:rPr>
      </w:pPr>
    </w:p>
    <w:sectPr w:rsidR="007814B2" w:rsidSect="0054174F">
      <w:pgSz w:w="16838" w:h="11906" w:orient="landscape"/>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Total_Editing_Time" w:val="52"/>
  </w:docVars>
  <w:rsids>
    <w:rsidRoot w:val="003108C7"/>
    <w:rsid w:val="00050F85"/>
    <w:rsid w:val="00096B75"/>
    <w:rsid w:val="000C5135"/>
    <w:rsid w:val="00126D97"/>
    <w:rsid w:val="00165E48"/>
    <w:rsid w:val="002E1AEB"/>
    <w:rsid w:val="002F111E"/>
    <w:rsid w:val="003108C7"/>
    <w:rsid w:val="00325127"/>
    <w:rsid w:val="00360CC3"/>
    <w:rsid w:val="003C7140"/>
    <w:rsid w:val="003F3341"/>
    <w:rsid w:val="00402D22"/>
    <w:rsid w:val="00451332"/>
    <w:rsid w:val="0054174F"/>
    <w:rsid w:val="00555F2D"/>
    <w:rsid w:val="00565BFC"/>
    <w:rsid w:val="005A69A0"/>
    <w:rsid w:val="005D350E"/>
    <w:rsid w:val="00630858"/>
    <w:rsid w:val="00646821"/>
    <w:rsid w:val="006E2502"/>
    <w:rsid w:val="007127BB"/>
    <w:rsid w:val="007279BB"/>
    <w:rsid w:val="007461D7"/>
    <w:rsid w:val="007814B2"/>
    <w:rsid w:val="007972FC"/>
    <w:rsid w:val="00831C4F"/>
    <w:rsid w:val="00877306"/>
    <w:rsid w:val="008B562D"/>
    <w:rsid w:val="008B6D23"/>
    <w:rsid w:val="00A668D1"/>
    <w:rsid w:val="00B15540"/>
    <w:rsid w:val="00B56046"/>
    <w:rsid w:val="00B67E98"/>
    <w:rsid w:val="00BD5ED3"/>
    <w:rsid w:val="00BD5F84"/>
    <w:rsid w:val="00C0750A"/>
    <w:rsid w:val="00C438E2"/>
    <w:rsid w:val="00C90187"/>
    <w:rsid w:val="00CD47A0"/>
    <w:rsid w:val="00CF3DD9"/>
    <w:rsid w:val="00D64F7A"/>
    <w:rsid w:val="00D701AE"/>
    <w:rsid w:val="00D86908"/>
    <w:rsid w:val="00D9575F"/>
    <w:rsid w:val="00DB2C82"/>
    <w:rsid w:val="00DE0D40"/>
    <w:rsid w:val="00E63EFE"/>
    <w:rsid w:val="00EC7DA2"/>
    <w:rsid w:val="00F50C30"/>
    <w:rsid w:val="00F54EB3"/>
    <w:rsid w:val="00F70835"/>
    <w:rsid w:val="00FC50A8"/>
    <w:rsid w:val="00FD2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7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140"/>
    <w:rPr>
      <w:rFonts w:ascii="Tahoma" w:hAnsi="Tahoma" w:cs="Tahoma"/>
      <w:sz w:val="16"/>
      <w:szCs w:val="16"/>
    </w:rPr>
  </w:style>
  <w:style w:type="character" w:styleId="CommentReference">
    <w:name w:val="annotation reference"/>
    <w:basedOn w:val="DefaultParagraphFont"/>
    <w:uiPriority w:val="99"/>
    <w:semiHidden/>
    <w:unhideWhenUsed/>
    <w:rsid w:val="007461D7"/>
    <w:rPr>
      <w:sz w:val="16"/>
      <w:szCs w:val="16"/>
    </w:rPr>
  </w:style>
  <w:style w:type="paragraph" w:styleId="CommentText">
    <w:name w:val="annotation text"/>
    <w:basedOn w:val="Normal"/>
    <w:link w:val="CommentTextChar"/>
    <w:uiPriority w:val="99"/>
    <w:semiHidden/>
    <w:unhideWhenUsed/>
    <w:rsid w:val="007461D7"/>
    <w:pPr>
      <w:spacing w:line="240" w:lineRule="auto"/>
    </w:pPr>
    <w:rPr>
      <w:sz w:val="20"/>
      <w:szCs w:val="20"/>
    </w:rPr>
  </w:style>
  <w:style w:type="character" w:customStyle="1" w:styleId="CommentTextChar">
    <w:name w:val="Comment Text Char"/>
    <w:basedOn w:val="DefaultParagraphFont"/>
    <w:link w:val="CommentText"/>
    <w:uiPriority w:val="99"/>
    <w:semiHidden/>
    <w:rsid w:val="007461D7"/>
    <w:rPr>
      <w:sz w:val="20"/>
      <w:szCs w:val="20"/>
    </w:rPr>
  </w:style>
  <w:style w:type="paragraph" w:styleId="CommentSubject">
    <w:name w:val="annotation subject"/>
    <w:basedOn w:val="CommentText"/>
    <w:next w:val="CommentText"/>
    <w:link w:val="CommentSubjectChar"/>
    <w:uiPriority w:val="99"/>
    <w:semiHidden/>
    <w:unhideWhenUsed/>
    <w:rsid w:val="007461D7"/>
    <w:rPr>
      <w:b/>
      <w:bCs/>
    </w:rPr>
  </w:style>
  <w:style w:type="character" w:customStyle="1" w:styleId="CommentSubjectChar">
    <w:name w:val="Comment Subject Char"/>
    <w:basedOn w:val="CommentTextChar"/>
    <w:link w:val="CommentSubject"/>
    <w:uiPriority w:val="99"/>
    <w:semiHidden/>
    <w:rsid w:val="007461D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7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140"/>
    <w:rPr>
      <w:rFonts w:ascii="Tahoma" w:hAnsi="Tahoma" w:cs="Tahoma"/>
      <w:sz w:val="16"/>
      <w:szCs w:val="16"/>
    </w:rPr>
  </w:style>
  <w:style w:type="character" w:styleId="CommentReference">
    <w:name w:val="annotation reference"/>
    <w:basedOn w:val="DefaultParagraphFont"/>
    <w:uiPriority w:val="99"/>
    <w:semiHidden/>
    <w:unhideWhenUsed/>
    <w:rsid w:val="007461D7"/>
    <w:rPr>
      <w:sz w:val="16"/>
      <w:szCs w:val="16"/>
    </w:rPr>
  </w:style>
  <w:style w:type="paragraph" w:styleId="CommentText">
    <w:name w:val="annotation text"/>
    <w:basedOn w:val="Normal"/>
    <w:link w:val="CommentTextChar"/>
    <w:uiPriority w:val="99"/>
    <w:semiHidden/>
    <w:unhideWhenUsed/>
    <w:rsid w:val="007461D7"/>
    <w:pPr>
      <w:spacing w:line="240" w:lineRule="auto"/>
    </w:pPr>
    <w:rPr>
      <w:sz w:val="20"/>
      <w:szCs w:val="20"/>
    </w:rPr>
  </w:style>
  <w:style w:type="character" w:customStyle="1" w:styleId="CommentTextChar">
    <w:name w:val="Comment Text Char"/>
    <w:basedOn w:val="DefaultParagraphFont"/>
    <w:link w:val="CommentText"/>
    <w:uiPriority w:val="99"/>
    <w:semiHidden/>
    <w:rsid w:val="007461D7"/>
    <w:rPr>
      <w:sz w:val="20"/>
      <w:szCs w:val="20"/>
    </w:rPr>
  </w:style>
  <w:style w:type="paragraph" w:styleId="CommentSubject">
    <w:name w:val="annotation subject"/>
    <w:basedOn w:val="CommentText"/>
    <w:next w:val="CommentText"/>
    <w:link w:val="CommentSubjectChar"/>
    <w:uiPriority w:val="99"/>
    <w:semiHidden/>
    <w:unhideWhenUsed/>
    <w:rsid w:val="007461D7"/>
    <w:rPr>
      <w:b/>
      <w:bCs/>
    </w:rPr>
  </w:style>
  <w:style w:type="character" w:customStyle="1" w:styleId="CommentSubjectChar">
    <w:name w:val="Comment Subject Char"/>
    <w:basedOn w:val="CommentTextChar"/>
    <w:link w:val="CommentSubject"/>
    <w:uiPriority w:val="99"/>
    <w:semiHidden/>
    <w:rsid w:val="007461D7"/>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770</Words>
  <Characters>3989</Characters>
  <Application>Microsoft Office Word</Application>
  <DocSecurity>0</DocSecurity>
  <Lines>362</Lines>
  <Paragraphs>216</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Booth, A.</dc:creator>
  <cp:lastModifiedBy>EBACONG</cp:lastModifiedBy>
  <cp:revision>18</cp:revision>
  <cp:lastPrinted>2016-09-16T15:50:00Z</cp:lastPrinted>
  <dcterms:created xsi:type="dcterms:W3CDTF">2016-09-09T09:53:00Z</dcterms:created>
  <dcterms:modified xsi:type="dcterms:W3CDTF">2017-05-18T04:55:00Z</dcterms:modified>
</cp:coreProperties>
</file>