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7A07E0" w14:textId="1646E651" w:rsidR="007742C1" w:rsidRPr="00F705B9" w:rsidRDefault="00F705B9" w:rsidP="007D4526">
      <w:pPr>
        <w:autoSpaceDE w:val="0"/>
        <w:autoSpaceDN w:val="0"/>
        <w:adjustRightInd w:val="0"/>
        <w:spacing w:after="0" w:line="240" w:lineRule="auto"/>
        <w:ind w:left="-567"/>
        <w:rPr>
          <w:rFonts w:ascii="Times New Roman" w:hAnsi="Times New Roman"/>
          <w:b/>
          <w:color w:val="000000"/>
          <w:sz w:val="24"/>
          <w:szCs w:val="24"/>
          <w:lang w:val="en-GB"/>
        </w:rPr>
      </w:pPr>
      <w:r w:rsidRPr="00C437A9">
        <w:rPr>
          <w:rFonts w:ascii="Times New Roman" w:hAnsi="Times New Roman"/>
          <w:b/>
          <w:color w:val="000000"/>
          <w:sz w:val="24"/>
          <w:szCs w:val="24"/>
          <w:lang w:val="en-GB"/>
        </w:rPr>
        <w:t>Public authorities’ rec</w:t>
      </w:r>
      <w:bookmarkStart w:id="0" w:name="_GoBack"/>
      <w:bookmarkEnd w:id="0"/>
      <w:r w:rsidRPr="00C437A9">
        <w:rPr>
          <w:rFonts w:ascii="Times New Roman" w:hAnsi="Times New Roman"/>
          <w:b/>
          <w:color w:val="000000"/>
          <w:sz w:val="24"/>
          <w:szCs w:val="24"/>
          <w:lang w:val="en-GB"/>
        </w:rPr>
        <w:t>ommendations regarding psychotropic utilization in older persons with dementia</w:t>
      </w:r>
    </w:p>
    <w:tbl>
      <w:tblPr>
        <w:tblStyle w:val="GridTable5Dark-Accent31"/>
        <w:tblW w:w="15564" w:type="dxa"/>
        <w:tblInd w:w="-572" w:type="dxa"/>
        <w:tblLayout w:type="fixed"/>
        <w:tblLook w:val="04A0" w:firstRow="1" w:lastRow="0" w:firstColumn="1" w:lastColumn="0" w:noHBand="0" w:noVBand="1"/>
      </w:tblPr>
      <w:tblGrid>
        <w:gridCol w:w="680"/>
        <w:gridCol w:w="993"/>
        <w:gridCol w:w="141"/>
        <w:gridCol w:w="1560"/>
        <w:gridCol w:w="1842"/>
        <w:gridCol w:w="1843"/>
        <w:gridCol w:w="8505"/>
      </w:tblGrid>
      <w:tr w:rsidR="00FE630B" w:rsidRPr="00FE630B" w14:paraId="3C7DBF12" w14:textId="77777777" w:rsidTr="00E87C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 w:type="dxa"/>
            <w:tcBorders>
              <w:top w:val="single" w:sz="4" w:space="0" w:color="auto"/>
              <w:left w:val="single" w:sz="4" w:space="0" w:color="auto"/>
              <w:bottom w:val="single" w:sz="4" w:space="0" w:color="auto"/>
            </w:tcBorders>
            <w:shd w:val="clear" w:color="auto" w:fill="D9D9D9" w:themeFill="background1" w:themeFillShade="D9"/>
          </w:tcPr>
          <w:p w14:paraId="3D8CEE46" w14:textId="610BD878" w:rsidR="007742C1" w:rsidRPr="00FE630B" w:rsidRDefault="007742C1" w:rsidP="002B64EC">
            <w:pPr>
              <w:rPr>
                <w:rFonts w:ascii="Times New Roman" w:hAnsi="Times New Roman" w:cs="Times New Roman"/>
                <w:color w:val="auto"/>
                <w:sz w:val="20"/>
                <w:szCs w:val="20"/>
                <w:lang w:val="en-GB"/>
              </w:rPr>
            </w:pPr>
            <w:r w:rsidRPr="00FE630B">
              <w:rPr>
                <w:rFonts w:ascii="Times New Roman" w:hAnsi="Times New Roman" w:cs="Times New Roman"/>
                <w:color w:val="auto"/>
                <w:sz w:val="20"/>
                <w:szCs w:val="20"/>
                <w:lang w:val="en-GB"/>
              </w:rPr>
              <w:t>N</w:t>
            </w:r>
            <w:r w:rsidR="008670BF" w:rsidRPr="00FE630B">
              <w:rPr>
                <w:rFonts w:ascii="Times New Roman" w:hAnsi="Times New Roman" w:cs="Times New Roman"/>
                <w:color w:val="auto"/>
                <w:sz w:val="20"/>
                <w:szCs w:val="20"/>
                <w:lang w:val="en-GB"/>
              </w:rPr>
              <w:t>o.</w:t>
            </w:r>
          </w:p>
        </w:tc>
        <w:tc>
          <w:tcPr>
            <w:tcW w:w="1134" w:type="dxa"/>
            <w:gridSpan w:val="2"/>
            <w:tcBorders>
              <w:top w:val="single" w:sz="4" w:space="0" w:color="auto"/>
              <w:bottom w:val="single" w:sz="4" w:space="0" w:color="auto"/>
            </w:tcBorders>
            <w:shd w:val="clear" w:color="auto" w:fill="D9D9D9" w:themeFill="background1" w:themeFillShade="D9"/>
          </w:tcPr>
          <w:p w14:paraId="629DBB5C" w14:textId="77777777" w:rsidR="00A537D9" w:rsidRPr="00FE630B" w:rsidRDefault="007742C1" w:rsidP="002B64E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GB"/>
              </w:rPr>
            </w:pPr>
            <w:r w:rsidRPr="00FE630B">
              <w:rPr>
                <w:rFonts w:ascii="Times New Roman" w:hAnsi="Times New Roman" w:cs="Times New Roman"/>
                <w:color w:val="auto"/>
                <w:sz w:val="20"/>
                <w:szCs w:val="20"/>
                <w:lang w:val="en-GB"/>
              </w:rPr>
              <w:t>Author</w:t>
            </w:r>
            <w:r w:rsidR="002731D0" w:rsidRPr="00FE630B">
              <w:rPr>
                <w:rFonts w:ascii="Times New Roman" w:hAnsi="Times New Roman" w:cs="Times New Roman"/>
                <w:color w:val="auto"/>
                <w:sz w:val="20"/>
                <w:szCs w:val="20"/>
                <w:lang w:val="en-GB"/>
              </w:rPr>
              <w:t>ity</w:t>
            </w:r>
            <w:r w:rsidRPr="00FE630B">
              <w:rPr>
                <w:rFonts w:ascii="Times New Roman" w:hAnsi="Times New Roman" w:cs="Times New Roman"/>
                <w:color w:val="auto"/>
                <w:sz w:val="20"/>
                <w:szCs w:val="20"/>
                <w:lang w:val="en-GB"/>
              </w:rPr>
              <w:t>/</w:t>
            </w:r>
          </w:p>
          <w:p w14:paraId="5829A0A5" w14:textId="77777777" w:rsidR="007742C1" w:rsidRPr="00FE630B" w:rsidRDefault="007742C1" w:rsidP="002B64E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GB"/>
              </w:rPr>
            </w:pPr>
            <w:r w:rsidRPr="00FE630B">
              <w:rPr>
                <w:rFonts w:ascii="Times New Roman" w:hAnsi="Times New Roman" w:cs="Times New Roman"/>
                <w:color w:val="auto"/>
                <w:sz w:val="20"/>
                <w:szCs w:val="20"/>
                <w:lang w:val="en-GB"/>
              </w:rPr>
              <w:t>year</w:t>
            </w:r>
          </w:p>
        </w:tc>
        <w:tc>
          <w:tcPr>
            <w:tcW w:w="1560" w:type="dxa"/>
            <w:tcBorders>
              <w:top w:val="single" w:sz="4" w:space="0" w:color="auto"/>
              <w:bottom w:val="single" w:sz="4" w:space="0" w:color="auto"/>
            </w:tcBorders>
            <w:shd w:val="clear" w:color="auto" w:fill="D9D9D9" w:themeFill="background1" w:themeFillShade="D9"/>
          </w:tcPr>
          <w:p w14:paraId="5004CD2E" w14:textId="77777777" w:rsidR="007742C1" w:rsidRPr="00FE630B" w:rsidRDefault="007742C1" w:rsidP="002B64E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GB"/>
              </w:rPr>
            </w:pPr>
            <w:r w:rsidRPr="00FE630B">
              <w:rPr>
                <w:rFonts w:ascii="Times New Roman" w:hAnsi="Times New Roman" w:cs="Times New Roman"/>
                <w:color w:val="auto"/>
                <w:sz w:val="20"/>
                <w:szCs w:val="20"/>
                <w:lang w:val="en-GB"/>
              </w:rPr>
              <w:t>Title</w:t>
            </w:r>
          </w:p>
        </w:tc>
        <w:tc>
          <w:tcPr>
            <w:tcW w:w="1842" w:type="dxa"/>
            <w:tcBorders>
              <w:top w:val="single" w:sz="4" w:space="0" w:color="auto"/>
              <w:bottom w:val="single" w:sz="4" w:space="0" w:color="auto"/>
            </w:tcBorders>
            <w:shd w:val="clear" w:color="auto" w:fill="D9D9D9" w:themeFill="background1" w:themeFillShade="D9"/>
          </w:tcPr>
          <w:p w14:paraId="6340457C" w14:textId="77777777" w:rsidR="007742C1" w:rsidRPr="00FE630B" w:rsidRDefault="007742C1" w:rsidP="002B64E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GB"/>
              </w:rPr>
            </w:pPr>
            <w:r w:rsidRPr="00FE630B">
              <w:rPr>
                <w:rFonts w:ascii="Times New Roman" w:hAnsi="Times New Roman" w:cs="Times New Roman"/>
                <w:color w:val="auto"/>
                <w:sz w:val="20"/>
                <w:szCs w:val="20"/>
                <w:lang w:val="en-GB"/>
              </w:rPr>
              <w:t>Aim</w:t>
            </w:r>
          </w:p>
        </w:tc>
        <w:tc>
          <w:tcPr>
            <w:tcW w:w="1843" w:type="dxa"/>
            <w:tcBorders>
              <w:top w:val="single" w:sz="4" w:space="0" w:color="auto"/>
              <w:bottom w:val="single" w:sz="4" w:space="0" w:color="auto"/>
            </w:tcBorders>
            <w:shd w:val="clear" w:color="auto" w:fill="D9D9D9" w:themeFill="background1" w:themeFillShade="D9"/>
          </w:tcPr>
          <w:p w14:paraId="33B695D7" w14:textId="77777777" w:rsidR="007742C1" w:rsidRPr="00FE630B" w:rsidRDefault="007742C1" w:rsidP="002B64E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GB"/>
              </w:rPr>
            </w:pPr>
            <w:r w:rsidRPr="00FE630B">
              <w:rPr>
                <w:rFonts w:ascii="Times New Roman" w:hAnsi="Times New Roman" w:cs="Times New Roman"/>
                <w:color w:val="auto"/>
                <w:sz w:val="20"/>
                <w:szCs w:val="20"/>
                <w:lang w:val="en-GB"/>
              </w:rPr>
              <w:t>Methodology</w:t>
            </w:r>
            <w:r w:rsidR="006C4BE7" w:rsidRPr="00FE630B">
              <w:rPr>
                <w:rFonts w:ascii="Times New Roman" w:hAnsi="Times New Roman" w:cs="Times New Roman"/>
                <w:color w:val="auto"/>
                <w:sz w:val="20"/>
                <w:szCs w:val="20"/>
                <w:lang w:val="en-GB"/>
              </w:rPr>
              <w:t>/data sources</w:t>
            </w:r>
          </w:p>
        </w:tc>
        <w:tc>
          <w:tcPr>
            <w:tcW w:w="8505" w:type="dxa"/>
            <w:tcBorders>
              <w:top w:val="single" w:sz="4" w:space="0" w:color="auto"/>
              <w:bottom w:val="single" w:sz="4" w:space="0" w:color="auto"/>
              <w:right w:val="single" w:sz="4" w:space="0" w:color="auto"/>
            </w:tcBorders>
            <w:shd w:val="clear" w:color="auto" w:fill="D9D9D9" w:themeFill="background1" w:themeFillShade="D9"/>
          </w:tcPr>
          <w:p w14:paraId="7E9F333E" w14:textId="2687F7F0" w:rsidR="007742C1" w:rsidRPr="00FE630B" w:rsidRDefault="00C55B20" w:rsidP="002B64E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GB"/>
              </w:rPr>
            </w:pPr>
            <w:r w:rsidRPr="00FE630B">
              <w:rPr>
                <w:rFonts w:ascii="Times New Roman" w:hAnsi="Times New Roman" w:cs="Times New Roman"/>
                <w:color w:val="auto"/>
                <w:sz w:val="20"/>
                <w:szCs w:val="20"/>
                <w:lang w:val="en-GB"/>
              </w:rPr>
              <w:t>Findings/r</w:t>
            </w:r>
            <w:r w:rsidR="002731D0" w:rsidRPr="00FE630B">
              <w:rPr>
                <w:rFonts w:ascii="Times New Roman" w:hAnsi="Times New Roman" w:cs="Times New Roman"/>
                <w:color w:val="auto"/>
                <w:sz w:val="20"/>
                <w:szCs w:val="20"/>
                <w:lang w:val="en-GB"/>
              </w:rPr>
              <w:t>ecommendations</w:t>
            </w:r>
          </w:p>
        </w:tc>
      </w:tr>
      <w:tr w:rsidR="00AC239D" w:rsidRPr="00F705B9" w14:paraId="3D87E49F" w14:textId="77777777" w:rsidTr="00E87C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 w:type="dxa"/>
            <w:tcBorders>
              <w:top w:val="single" w:sz="4" w:space="0" w:color="auto"/>
              <w:left w:val="single" w:sz="4" w:space="0" w:color="auto"/>
            </w:tcBorders>
            <w:shd w:val="clear" w:color="auto" w:fill="F2F2F2" w:themeFill="background1" w:themeFillShade="F2"/>
          </w:tcPr>
          <w:p w14:paraId="36D068ED" w14:textId="77777777" w:rsidR="007742C1" w:rsidRPr="00AC239D" w:rsidRDefault="007742C1" w:rsidP="002B64EC">
            <w:pPr>
              <w:rPr>
                <w:rFonts w:ascii="Times New Roman" w:hAnsi="Times New Roman" w:cs="Times New Roman"/>
                <w:color w:val="auto"/>
                <w:sz w:val="20"/>
                <w:szCs w:val="20"/>
                <w:lang w:val="en-GB"/>
              </w:rPr>
            </w:pPr>
            <w:r w:rsidRPr="00AC239D">
              <w:rPr>
                <w:rFonts w:ascii="Times New Roman" w:hAnsi="Times New Roman" w:cs="Times New Roman"/>
                <w:color w:val="auto"/>
                <w:sz w:val="20"/>
                <w:szCs w:val="20"/>
                <w:lang w:val="en-GB"/>
              </w:rPr>
              <w:t>1</w:t>
            </w:r>
          </w:p>
          <w:p w14:paraId="3F17DE98" w14:textId="745613E0" w:rsidR="00576814" w:rsidRPr="00AC239D" w:rsidRDefault="00576814" w:rsidP="002B64EC">
            <w:pPr>
              <w:rPr>
                <w:rFonts w:ascii="Times New Roman" w:hAnsi="Times New Roman" w:cs="Times New Roman"/>
                <w:b w:val="0"/>
                <w:color w:val="auto"/>
                <w:sz w:val="20"/>
                <w:szCs w:val="20"/>
                <w:lang w:val="en-GB"/>
              </w:rPr>
            </w:pPr>
            <w:r w:rsidRPr="00AC239D">
              <w:rPr>
                <w:rFonts w:ascii="Times New Roman" w:hAnsi="Times New Roman"/>
                <w:b w:val="0"/>
                <w:color w:val="auto"/>
                <w:sz w:val="20"/>
                <w:szCs w:val="20"/>
                <w:lang w:val="en-GB"/>
              </w:rPr>
              <w:t>[40]</w:t>
            </w:r>
          </w:p>
        </w:tc>
        <w:tc>
          <w:tcPr>
            <w:tcW w:w="993" w:type="dxa"/>
            <w:tcBorders>
              <w:top w:val="single" w:sz="4" w:space="0" w:color="auto"/>
            </w:tcBorders>
            <w:shd w:val="clear" w:color="auto" w:fill="F2F2F2" w:themeFill="background1" w:themeFillShade="F2"/>
          </w:tcPr>
          <w:p w14:paraId="11C34AE2" w14:textId="77777777" w:rsidR="007742C1" w:rsidRPr="00DD5FE4" w:rsidRDefault="007742C1" w:rsidP="002B64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DD5FE4">
              <w:rPr>
                <w:rFonts w:ascii="Times New Roman" w:hAnsi="Times New Roman" w:cs="Times New Roman"/>
                <w:sz w:val="20"/>
                <w:szCs w:val="20"/>
                <w:lang w:val="en-GB"/>
              </w:rPr>
              <w:t>The National Board of Health and Welfare, 2004</w:t>
            </w:r>
          </w:p>
        </w:tc>
        <w:tc>
          <w:tcPr>
            <w:tcW w:w="1701" w:type="dxa"/>
            <w:gridSpan w:val="2"/>
            <w:tcBorders>
              <w:top w:val="single" w:sz="4" w:space="0" w:color="auto"/>
            </w:tcBorders>
            <w:shd w:val="clear" w:color="auto" w:fill="F2F2F2" w:themeFill="background1" w:themeFillShade="F2"/>
          </w:tcPr>
          <w:p w14:paraId="0C1C7587" w14:textId="08E675D9" w:rsidR="007742C1" w:rsidRPr="00DD5FE4" w:rsidRDefault="007742C1" w:rsidP="002B64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1325CE">
              <w:rPr>
                <w:rFonts w:ascii="Times New Roman" w:hAnsi="Times New Roman" w:cs="Times New Roman"/>
                <w:sz w:val="20"/>
                <w:szCs w:val="20"/>
              </w:rPr>
              <w:t>Uppföljning av äldres läkemedels-användning</w:t>
            </w:r>
            <w:r w:rsidR="008670BF" w:rsidRPr="001325CE">
              <w:rPr>
                <w:rFonts w:ascii="Times New Roman" w:hAnsi="Times New Roman" w:cs="Times New Roman"/>
                <w:sz w:val="20"/>
                <w:szCs w:val="20"/>
              </w:rPr>
              <w:t>.</w:t>
            </w:r>
            <w:r w:rsidRPr="001325CE">
              <w:rPr>
                <w:rFonts w:ascii="Times New Roman" w:hAnsi="Times New Roman" w:cs="Times New Roman"/>
                <w:sz w:val="20"/>
                <w:szCs w:val="20"/>
              </w:rPr>
              <w:t xml:space="preserve"> </w:t>
            </w:r>
            <w:r w:rsidRPr="00DD5FE4">
              <w:rPr>
                <w:rFonts w:ascii="Times New Roman" w:hAnsi="Times New Roman" w:cs="Times New Roman"/>
                <w:sz w:val="20"/>
                <w:szCs w:val="20"/>
                <w:lang w:val="en-GB"/>
              </w:rPr>
              <w:t>(Follow</w:t>
            </w:r>
            <w:r w:rsidR="008670BF" w:rsidRPr="00DD5FE4">
              <w:rPr>
                <w:rFonts w:ascii="Times New Roman" w:hAnsi="Times New Roman" w:cs="Times New Roman"/>
                <w:sz w:val="20"/>
                <w:szCs w:val="20"/>
                <w:lang w:val="en-GB"/>
              </w:rPr>
              <w:t>-</w:t>
            </w:r>
            <w:r w:rsidRPr="00DD5FE4">
              <w:rPr>
                <w:rFonts w:ascii="Times New Roman" w:hAnsi="Times New Roman" w:cs="Times New Roman"/>
                <w:sz w:val="20"/>
                <w:szCs w:val="20"/>
                <w:lang w:val="en-GB"/>
              </w:rPr>
              <w:t>up of older people</w:t>
            </w:r>
            <w:r w:rsidR="008670BF" w:rsidRPr="00DD5FE4">
              <w:rPr>
                <w:rFonts w:ascii="Times New Roman" w:hAnsi="Times New Roman" w:cs="Times New Roman"/>
                <w:sz w:val="20"/>
                <w:szCs w:val="20"/>
                <w:lang w:val="en-GB"/>
              </w:rPr>
              <w:t>’</w:t>
            </w:r>
            <w:r w:rsidRPr="00DD5FE4">
              <w:rPr>
                <w:rFonts w:ascii="Times New Roman" w:hAnsi="Times New Roman" w:cs="Times New Roman"/>
                <w:sz w:val="20"/>
                <w:szCs w:val="20"/>
                <w:lang w:val="en-GB"/>
              </w:rPr>
              <w:t>s utilization of medication</w:t>
            </w:r>
            <w:r w:rsidR="008670BF" w:rsidRPr="00DD5FE4">
              <w:rPr>
                <w:rFonts w:ascii="Times New Roman" w:hAnsi="Times New Roman" w:cs="Times New Roman"/>
                <w:sz w:val="20"/>
                <w:szCs w:val="20"/>
                <w:lang w:val="en-GB"/>
              </w:rPr>
              <w:t>.</w:t>
            </w:r>
            <w:r w:rsidRPr="00DD5FE4">
              <w:rPr>
                <w:rFonts w:ascii="Times New Roman" w:hAnsi="Times New Roman" w:cs="Times New Roman"/>
                <w:sz w:val="20"/>
                <w:szCs w:val="20"/>
                <w:lang w:val="en-GB"/>
              </w:rPr>
              <w:t>)</w:t>
            </w:r>
          </w:p>
        </w:tc>
        <w:tc>
          <w:tcPr>
            <w:tcW w:w="1842" w:type="dxa"/>
            <w:tcBorders>
              <w:top w:val="single" w:sz="4" w:space="0" w:color="auto"/>
            </w:tcBorders>
            <w:shd w:val="clear" w:color="auto" w:fill="F2F2F2" w:themeFill="background1" w:themeFillShade="F2"/>
          </w:tcPr>
          <w:p w14:paraId="3AD58313" w14:textId="77777777" w:rsidR="007742C1" w:rsidRPr="00DD5FE4" w:rsidRDefault="007742C1" w:rsidP="002B64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DD5FE4">
              <w:rPr>
                <w:rFonts w:ascii="Times New Roman" w:hAnsi="Times New Roman" w:cs="Times New Roman"/>
                <w:sz w:val="20"/>
                <w:szCs w:val="20"/>
                <w:lang w:val="en-GB"/>
              </w:rPr>
              <w:t>To follow up and evaluate the utilization of medication in the elderly</w:t>
            </w:r>
            <w:r w:rsidR="008670BF" w:rsidRPr="00DD5FE4">
              <w:rPr>
                <w:rFonts w:ascii="Times New Roman" w:hAnsi="Times New Roman" w:cs="Times New Roman"/>
                <w:sz w:val="20"/>
                <w:szCs w:val="20"/>
                <w:lang w:val="en-GB"/>
              </w:rPr>
              <w:t>.</w:t>
            </w:r>
          </w:p>
        </w:tc>
        <w:tc>
          <w:tcPr>
            <w:tcW w:w="1843" w:type="dxa"/>
            <w:tcBorders>
              <w:top w:val="single" w:sz="4" w:space="0" w:color="auto"/>
            </w:tcBorders>
            <w:shd w:val="clear" w:color="auto" w:fill="F2F2F2" w:themeFill="background1" w:themeFillShade="F2"/>
          </w:tcPr>
          <w:p w14:paraId="2C12513C" w14:textId="142FEF24" w:rsidR="007742C1" w:rsidRPr="00DD5FE4" w:rsidRDefault="007742C1" w:rsidP="008670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DD5FE4">
              <w:rPr>
                <w:rFonts w:ascii="Times New Roman" w:hAnsi="Times New Roman" w:cs="Times New Roman"/>
                <w:sz w:val="20"/>
                <w:szCs w:val="20"/>
                <w:lang w:val="en-GB"/>
              </w:rPr>
              <w:t xml:space="preserve">Review of </w:t>
            </w:r>
            <w:r w:rsidR="008670BF" w:rsidRPr="00DD5FE4">
              <w:rPr>
                <w:rFonts w:ascii="Times New Roman" w:hAnsi="Times New Roman" w:cs="Times New Roman"/>
                <w:sz w:val="20"/>
                <w:szCs w:val="20"/>
                <w:lang w:val="en-GB"/>
              </w:rPr>
              <w:t>three</w:t>
            </w:r>
            <w:r w:rsidRPr="00DD5FE4">
              <w:rPr>
                <w:rFonts w:ascii="Times New Roman" w:hAnsi="Times New Roman" w:cs="Times New Roman"/>
                <w:sz w:val="20"/>
                <w:szCs w:val="20"/>
                <w:lang w:val="en-GB"/>
              </w:rPr>
              <w:t xml:space="preserve"> studies regarding utilization of medication. Survey </w:t>
            </w:r>
            <w:r w:rsidR="008670BF" w:rsidRPr="00DD5FE4">
              <w:rPr>
                <w:rFonts w:ascii="Times New Roman" w:hAnsi="Times New Roman" w:cs="Times New Roman"/>
                <w:sz w:val="20"/>
                <w:szCs w:val="20"/>
                <w:lang w:val="en-GB"/>
              </w:rPr>
              <w:t>of</w:t>
            </w:r>
            <w:r w:rsidR="00A537D9" w:rsidRPr="00DD5FE4">
              <w:rPr>
                <w:rFonts w:ascii="Times New Roman" w:hAnsi="Times New Roman" w:cs="Times New Roman"/>
                <w:sz w:val="20"/>
                <w:szCs w:val="20"/>
                <w:lang w:val="en-GB"/>
              </w:rPr>
              <w:t>:</w:t>
            </w:r>
            <w:r w:rsidR="008670BF" w:rsidRPr="00DD5FE4">
              <w:rPr>
                <w:rFonts w:ascii="Times New Roman" w:hAnsi="Times New Roman" w:cs="Times New Roman"/>
                <w:sz w:val="20"/>
                <w:szCs w:val="20"/>
                <w:lang w:val="en-GB"/>
              </w:rPr>
              <w:t xml:space="preserve"> </w:t>
            </w:r>
            <w:r w:rsidRPr="00DD5FE4">
              <w:rPr>
                <w:rFonts w:ascii="Times New Roman" w:hAnsi="Times New Roman" w:cs="Times New Roman"/>
                <w:sz w:val="20"/>
                <w:szCs w:val="20"/>
                <w:lang w:val="en-GB"/>
              </w:rPr>
              <w:t>managers in primary out</w:t>
            </w:r>
            <w:r w:rsidR="008670BF" w:rsidRPr="00DD5FE4">
              <w:rPr>
                <w:rFonts w:ascii="Times New Roman" w:hAnsi="Times New Roman" w:cs="Times New Roman"/>
                <w:sz w:val="20"/>
                <w:szCs w:val="20"/>
                <w:lang w:val="en-GB"/>
              </w:rPr>
              <w:t>-</w:t>
            </w:r>
            <w:r w:rsidRPr="00DD5FE4">
              <w:rPr>
                <w:rFonts w:ascii="Times New Roman" w:hAnsi="Times New Roman" w:cs="Times New Roman"/>
                <w:sz w:val="20"/>
                <w:szCs w:val="20"/>
                <w:lang w:val="en-GB"/>
              </w:rPr>
              <w:t xml:space="preserve">patient care, </w:t>
            </w:r>
            <w:r w:rsidR="008670BF" w:rsidRPr="00DD5FE4">
              <w:rPr>
                <w:rFonts w:ascii="Times New Roman" w:hAnsi="Times New Roman" w:cs="Times New Roman"/>
                <w:sz w:val="20"/>
                <w:szCs w:val="20"/>
                <w:lang w:val="en-GB"/>
              </w:rPr>
              <w:t>the</w:t>
            </w:r>
            <w:r w:rsidRPr="00DD5FE4">
              <w:rPr>
                <w:rFonts w:ascii="Times New Roman" w:hAnsi="Times New Roman" w:cs="Times New Roman"/>
                <w:sz w:val="20"/>
                <w:szCs w:val="20"/>
                <w:lang w:val="en-GB"/>
              </w:rPr>
              <w:t xml:space="preserve"> responsib</w:t>
            </w:r>
            <w:r w:rsidR="00D239D5" w:rsidRPr="00DD5FE4">
              <w:rPr>
                <w:rFonts w:ascii="Times New Roman" w:hAnsi="Times New Roman" w:cs="Times New Roman"/>
                <w:sz w:val="20"/>
                <w:szCs w:val="20"/>
                <w:lang w:val="en-GB"/>
              </w:rPr>
              <w:t>le RN</w:t>
            </w:r>
            <w:r w:rsidR="008670BF" w:rsidRPr="00DD5FE4">
              <w:rPr>
                <w:rFonts w:ascii="Times New Roman" w:hAnsi="Times New Roman" w:cs="Times New Roman"/>
                <w:sz w:val="20"/>
                <w:szCs w:val="20"/>
                <w:lang w:val="en-GB"/>
              </w:rPr>
              <w:t>s,</w:t>
            </w:r>
            <w:r w:rsidRPr="00DD5FE4">
              <w:rPr>
                <w:rFonts w:ascii="Times New Roman" w:hAnsi="Times New Roman" w:cs="Times New Roman"/>
                <w:sz w:val="20"/>
                <w:szCs w:val="20"/>
                <w:lang w:val="en-GB"/>
              </w:rPr>
              <w:t xml:space="preserve"> and chairmen </w:t>
            </w:r>
            <w:r w:rsidR="008670BF" w:rsidRPr="00DD5FE4">
              <w:rPr>
                <w:rFonts w:ascii="Times New Roman" w:hAnsi="Times New Roman" w:cs="Times New Roman"/>
                <w:sz w:val="20"/>
                <w:szCs w:val="20"/>
                <w:lang w:val="en-GB"/>
              </w:rPr>
              <w:t>of</w:t>
            </w:r>
            <w:r w:rsidRPr="00DD5FE4">
              <w:rPr>
                <w:rFonts w:ascii="Times New Roman" w:hAnsi="Times New Roman" w:cs="Times New Roman"/>
                <w:sz w:val="20"/>
                <w:szCs w:val="20"/>
                <w:lang w:val="en-GB"/>
              </w:rPr>
              <w:t xml:space="preserve"> pharmaceutical committees.</w:t>
            </w:r>
          </w:p>
        </w:tc>
        <w:tc>
          <w:tcPr>
            <w:tcW w:w="8505" w:type="dxa"/>
            <w:tcBorders>
              <w:top w:val="single" w:sz="4" w:space="0" w:color="auto"/>
              <w:right w:val="single" w:sz="4" w:space="0" w:color="auto"/>
            </w:tcBorders>
            <w:shd w:val="clear" w:color="auto" w:fill="F2F2F2" w:themeFill="background1" w:themeFillShade="F2"/>
          </w:tcPr>
          <w:p w14:paraId="55C342C3" w14:textId="46F8D76D" w:rsidR="007742C1" w:rsidRPr="00DD5FE4" w:rsidRDefault="00C55B20" w:rsidP="002B64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DD5FE4">
              <w:rPr>
                <w:rFonts w:ascii="Times New Roman" w:hAnsi="Times New Roman" w:cs="Times New Roman"/>
                <w:sz w:val="20"/>
                <w:szCs w:val="20"/>
                <w:lang w:val="en-GB"/>
              </w:rPr>
              <w:t>Findings</w:t>
            </w:r>
            <w:r w:rsidR="00A537D9" w:rsidRPr="00DD5FE4">
              <w:rPr>
                <w:rFonts w:ascii="Times New Roman" w:hAnsi="Times New Roman" w:cs="Times New Roman"/>
                <w:sz w:val="20"/>
                <w:szCs w:val="20"/>
                <w:lang w:val="en-GB"/>
              </w:rPr>
              <w:t xml:space="preserve">: </w:t>
            </w:r>
            <w:r w:rsidR="007742C1" w:rsidRPr="00DD5FE4">
              <w:rPr>
                <w:rFonts w:ascii="Times New Roman" w:hAnsi="Times New Roman" w:cs="Times New Roman"/>
                <w:sz w:val="20"/>
                <w:szCs w:val="20"/>
                <w:lang w:val="en-GB"/>
              </w:rPr>
              <w:t>The survey showed that the quality indicators for follow</w:t>
            </w:r>
            <w:r w:rsidR="008670BF" w:rsidRPr="00DD5FE4">
              <w:rPr>
                <w:rFonts w:ascii="Times New Roman" w:hAnsi="Times New Roman" w:cs="Times New Roman"/>
                <w:sz w:val="20"/>
                <w:szCs w:val="20"/>
                <w:lang w:val="en-GB"/>
              </w:rPr>
              <w:t xml:space="preserve">ing </w:t>
            </w:r>
            <w:r w:rsidR="007742C1" w:rsidRPr="00DD5FE4">
              <w:rPr>
                <w:rFonts w:ascii="Times New Roman" w:hAnsi="Times New Roman" w:cs="Times New Roman"/>
                <w:sz w:val="20"/>
                <w:szCs w:val="20"/>
                <w:lang w:val="en-GB"/>
              </w:rPr>
              <w:t>up and reconsider</w:t>
            </w:r>
            <w:r w:rsidR="008670BF" w:rsidRPr="00DD5FE4">
              <w:rPr>
                <w:rFonts w:ascii="Times New Roman" w:hAnsi="Times New Roman" w:cs="Times New Roman"/>
                <w:sz w:val="20"/>
                <w:szCs w:val="20"/>
                <w:lang w:val="en-GB"/>
              </w:rPr>
              <w:t>ing</w:t>
            </w:r>
            <w:r w:rsidR="007742C1" w:rsidRPr="00DD5FE4">
              <w:rPr>
                <w:rFonts w:ascii="Times New Roman" w:hAnsi="Times New Roman" w:cs="Times New Roman"/>
                <w:sz w:val="20"/>
                <w:szCs w:val="20"/>
                <w:lang w:val="en-GB"/>
              </w:rPr>
              <w:t xml:space="preserve"> medication treatment of older people </w:t>
            </w:r>
            <w:r w:rsidR="00A537D9" w:rsidRPr="00DD5FE4">
              <w:rPr>
                <w:rFonts w:ascii="Times New Roman" w:hAnsi="Times New Roman" w:cs="Times New Roman"/>
                <w:sz w:val="20"/>
                <w:szCs w:val="20"/>
                <w:lang w:val="en-GB"/>
              </w:rPr>
              <w:t>a</w:t>
            </w:r>
            <w:r w:rsidR="007742C1" w:rsidRPr="00DD5FE4">
              <w:rPr>
                <w:rFonts w:ascii="Times New Roman" w:hAnsi="Times New Roman" w:cs="Times New Roman"/>
                <w:sz w:val="20"/>
                <w:szCs w:val="20"/>
                <w:lang w:val="en-GB"/>
              </w:rPr>
              <w:t>re well</w:t>
            </w:r>
            <w:r w:rsidR="008670BF" w:rsidRPr="00DD5FE4">
              <w:rPr>
                <w:rFonts w:ascii="Times New Roman" w:hAnsi="Times New Roman" w:cs="Times New Roman"/>
                <w:sz w:val="20"/>
                <w:szCs w:val="20"/>
                <w:lang w:val="en-GB"/>
              </w:rPr>
              <w:t xml:space="preserve"> </w:t>
            </w:r>
            <w:r w:rsidR="007742C1" w:rsidRPr="00DD5FE4">
              <w:rPr>
                <w:rFonts w:ascii="Times New Roman" w:hAnsi="Times New Roman" w:cs="Times New Roman"/>
                <w:sz w:val="20"/>
                <w:szCs w:val="20"/>
                <w:lang w:val="en-GB"/>
              </w:rPr>
              <w:t xml:space="preserve">known. </w:t>
            </w:r>
            <w:r w:rsidR="008670BF" w:rsidRPr="00DD5FE4">
              <w:rPr>
                <w:rFonts w:ascii="Times New Roman" w:hAnsi="Times New Roman" w:cs="Times New Roman"/>
                <w:sz w:val="20"/>
                <w:szCs w:val="20"/>
                <w:lang w:val="en-GB"/>
              </w:rPr>
              <w:t>F</w:t>
            </w:r>
            <w:r w:rsidR="007742C1" w:rsidRPr="00DD5FE4">
              <w:rPr>
                <w:rFonts w:ascii="Times New Roman" w:hAnsi="Times New Roman" w:cs="Times New Roman"/>
                <w:sz w:val="20"/>
                <w:szCs w:val="20"/>
                <w:lang w:val="en-GB"/>
              </w:rPr>
              <w:t>ollow-up of older people’s utilization of medication is lacking</w:t>
            </w:r>
            <w:r w:rsidR="008670BF" w:rsidRPr="00DD5FE4">
              <w:rPr>
                <w:rFonts w:ascii="Times New Roman" w:hAnsi="Times New Roman" w:cs="Times New Roman"/>
                <w:sz w:val="20"/>
                <w:szCs w:val="20"/>
                <w:lang w:val="en-GB"/>
              </w:rPr>
              <w:t>;</w:t>
            </w:r>
            <w:r w:rsidR="007742C1" w:rsidRPr="00DD5FE4">
              <w:rPr>
                <w:rFonts w:ascii="Times New Roman" w:hAnsi="Times New Roman" w:cs="Times New Roman"/>
                <w:sz w:val="20"/>
                <w:szCs w:val="20"/>
                <w:lang w:val="en-GB"/>
              </w:rPr>
              <w:t xml:space="preserve"> improvements are needed. Physician continuity is a requirement for a satisfactory follow-up. The pharmaceutical committees should stake more on patient safety aspects. It seems to be unclear who is responsible to decide about the follow-up of older people</w:t>
            </w:r>
            <w:r w:rsidR="008670BF" w:rsidRPr="00DD5FE4">
              <w:rPr>
                <w:rFonts w:ascii="Times New Roman" w:hAnsi="Times New Roman" w:cs="Times New Roman"/>
                <w:sz w:val="20"/>
                <w:szCs w:val="20"/>
                <w:lang w:val="en-GB"/>
              </w:rPr>
              <w:t>’</w:t>
            </w:r>
            <w:r w:rsidR="007742C1" w:rsidRPr="00DD5FE4">
              <w:rPr>
                <w:rFonts w:ascii="Times New Roman" w:hAnsi="Times New Roman" w:cs="Times New Roman"/>
                <w:sz w:val="20"/>
                <w:szCs w:val="20"/>
                <w:lang w:val="en-GB"/>
              </w:rPr>
              <w:t xml:space="preserve">s utilization of medication. </w:t>
            </w:r>
          </w:p>
          <w:p w14:paraId="3EE5161F" w14:textId="77777777" w:rsidR="008670BF" w:rsidRPr="00DD5FE4" w:rsidRDefault="008670BF" w:rsidP="002B64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p w14:paraId="748215B6" w14:textId="624178CD" w:rsidR="007742C1" w:rsidRPr="00DD5FE4" w:rsidRDefault="008670BF" w:rsidP="00473A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DD5FE4">
              <w:rPr>
                <w:rFonts w:ascii="Times New Roman" w:hAnsi="Times New Roman" w:cs="Times New Roman"/>
                <w:sz w:val="20"/>
                <w:szCs w:val="20"/>
                <w:lang w:val="en-GB"/>
              </w:rPr>
              <w:t>Recommendations</w:t>
            </w:r>
            <w:r w:rsidR="007742C1" w:rsidRPr="00DD5FE4">
              <w:rPr>
                <w:rFonts w:ascii="Times New Roman" w:hAnsi="Times New Roman" w:cs="Times New Roman"/>
                <w:sz w:val="20"/>
                <w:szCs w:val="20"/>
                <w:lang w:val="en-GB"/>
              </w:rPr>
              <w:t>:</w:t>
            </w:r>
            <w:r w:rsidR="00A537D9" w:rsidRPr="00DD5FE4">
              <w:rPr>
                <w:rFonts w:ascii="Times New Roman" w:hAnsi="Times New Roman" w:cs="Times New Roman"/>
                <w:sz w:val="20"/>
                <w:szCs w:val="20"/>
                <w:lang w:val="en-GB"/>
              </w:rPr>
              <w:t xml:space="preserve"> </w:t>
            </w:r>
            <w:r w:rsidR="007742C1" w:rsidRPr="00DD5FE4">
              <w:rPr>
                <w:rFonts w:ascii="Times New Roman" w:hAnsi="Times New Roman" w:cs="Times New Roman"/>
                <w:sz w:val="20"/>
                <w:szCs w:val="20"/>
                <w:lang w:val="en-GB"/>
              </w:rPr>
              <w:t>The same physician should have the responsib</w:t>
            </w:r>
            <w:r w:rsidRPr="00DD5FE4">
              <w:rPr>
                <w:rFonts w:ascii="Times New Roman" w:hAnsi="Times New Roman" w:cs="Times New Roman"/>
                <w:sz w:val="20"/>
                <w:szCs w:val="20"/>
                <w:lang w:val="en-GB"/>
              </w:rPr>
              <w:t>i</w:t>
            </w:r>
            <w:r w:rsidR="007742C1" w:rsidRPr="00DD5FE4">
              <w:rPr>
                <w:rFonts w:ascii="Times New Roman" w:hAnsi="Times New Roman" w:cs="Times New Roman"/>
                <w:sz w:val="20"/>
                <w:szCs w:val="20"/>
                <w:lang w:val="en-GB"/>
              </w:rPr>
              <w:t>l</w:t>
            </w:r>
            <w:r w:rsidRPr="00DD5FE4">
              <w:rPr>
                <w:rFonts w:ascii="Times New Roman" w:hAnsi="Times New Roman" w:cs="Times New Roman"/>
                <w:sz w:val="20"/>
                <w:szCs w:val="20"/>
                <w:lang w:val="en-GB"/>
              </w:rPr>
              <w:t>ity</w:t>
            </w:r>
            <w:r w:rsidR="007742C1" w:rsidRPr="00DD5FE4">
              <w:rPr>
                <w:rFonts w:ascii="Times New Roman" w:hAnsi="Times New Roman" w:cs="Times New Roman"/>
                <w:sz w:val="20"/>
                <w:szCs w:val="20"/>
                <w:lang w:val="en-GB"/>
              </w:rPr>
              <w:t xml:space="preserve"> for the older person’s medication. </w:t>
            </w:r>
            <w:r w:rsidRPr="00DD5FE4">
              <w:rPr>
                <w:rFonts w:ascii="Times New Roman" w:hAnsi="Times New Roman" w:cs="Times New Roman"/>
                <w:sz w:val="20"/>
                <w:szCs w:val="20"/>
                <w:lang w:val="en-GB"/>
              </w:rPr>
              <w:t xml:space="preserve">There should be </w:t>
            </w:r>
            <w:r w:rsidR="007742C1" w:rsidRPr="00DD5FE4">
              <w:rPr>
                <w:rFonts w:ascii="Times New Roman" w:hAnsi="Times New Roman" w:cs="Times New Roman"/>
                <w:sz w:val="20"/>
                <w:szCs w:val="20"/>
                <w:lang w:val="en-GB"/>
              </w:rPr>
              <w:t>regulation in follow-up of older people</w:t>
            </w:r>
            <w:r w:rsidRPr="00DD5FE4">
              <w:rPr>
                <w:rFonts w:ascii="Times New Roman" w:hAnsi="Times New Roman" w:cs="Times New Roman"/>
                <w:sz w:val="20"/>
                <w:szCs w:val="20"/>
                <w:lang w:val="en-GB"/>
              </w:rPr>
              <w:t>’</w:t>
            </w:r>
            <w:r w:rsidR="007742C1" w:rsidRPr="00DD5FE4">
              <w:rPr>
                <w:rFonts w:ascii="Times New Roman" w:hAnsi="Times New Roman" w:cs="Times New Roman"/>
                <w:sz w:val="20"/>
                <w:szCs w:val="20"/>
                <w:lang w:val="en-GB"/>
              </w:rPr>
              <w:t>s medication. Indicators for assessment of older people</w:t>
            </w:r>
            <w:r w:rsidRPr="00DD5FE4">
              <w:rPr>
                <w:rFonts w:ascii="Times New Roman" w:hAnsi="Times New Roman" w:cs="Times New Roman"/>
                <w:sz w:val="20"/>
                <w:szCs w:val="20"/>
                <w:lang w:val="en-GB"/>
              </w:rPr>
              <w:t>’</w:t>
            </w:r>
            <w:r w:rsidR="007742C1" w:rsidRPr="00DD5FE4">
              <w:rPr>
                <w:rFonts w:ascii="Times New Roman" w:hAnsi="Times New Roman" w:cs="Times New Roman"/>
                <w:sz w:val="20"/>
                <w:szCs w:val="20"/>
                <w:lang w:val="en-GB"/>
              </w:rPr>
              <w:t xml:space="preserve">s medication should be </w:t>
            </w:r>
            <w:r w:rsidRPr="00DD5FE4">
              <w:rPr>
                <w:rFonts w:ascii="Times New Roman" w:hAnsi="Times New Roman" w:cs="Times New Roman"/>
                <w:sz w:val="20"/>
                <w:szCs w:val="20"/>
                <w:lang w:val="en-GB"/>
              </w:rPr>
              <w:t>part of</w:t>
            </w:r>
            <w:r w:rsidR="007742C1" w:rsidRPr="00DD5FE4">
              <w:rPr>
                <w:rFonts w:ascii="Times New Roman" w:hAnsi="Times New Roman" w:cs="Times New Roman"/>
                <w:sz w:val="20"/>
                <w:szCs w:val="20"/>
                <w:lang w:val="en-GB"/>
              </w:rPr>
              <w:t xml:space="preserve"> the care activities. Education and in</w:t>
            </w:r>
            <w:r w:rsidRPr="00DD5FE4">
              <w:rPr>
                <w:rFonts w:ascii="Times New Roman" w:hAnsi="Times New Roman" w:cs="Times New Roman"/>
                <w:sz w:val="20"/>
                <w:szCs w:val="20"/>
                <w:lang w:val="en-GB"/>
              </w:rPr>
              <w:t>-</w:t>
            </w:r>
            <w:r w:rsidR="007742C1" w:rsidRPr="00DD5FE4">
              <w:rPr>
                <w:rFonts w:ascii="Times New Roman" w:hAnsi="Times New Roman" w:cs="Times New Roman"/>
                <w:sz w:val="20"/>
                <w:szCs w:val="20"/>
                <w:lang w:val="en-GB"/>
              </w:rPr>
              <w:t>service training of physicians and other health care staff</w:t>
            </w:r>
            <w:r w:rsidRPr="00DD5FE4">
              <w:rPr>
                <w:rFonts w:ascii="Times New Roman" w:hAnsi="Times New Roman" w:cs="Times New Roman"/>
                <w:sz w:val="20"/>
                <w:szCs w:val="20"/>
                <w:lang w:val="en-GB"/>
              </w:rPr>
              <w:t xml:space="preserve"> is needed, as is a</w:t>
            </w:r>
            <w:r w:rsidR="007742C1" w:rsidRPr="00DD5FE4">
              <w:rPr>
                <w:rFonts w:ascii="Times New Roman" w:hAnsi="Times New Roman" w:cs="Times New Roman"/>
                <w:sz w:val="20"/>
                <w:szCs w:val="20"/>
                <w:lang w:val="en-GB"/>
              </w:rPr>
              <w:t xml:space="preserve"> joint medication list and computerized support for </w:t>
            </w:r>
            <w:r w:rsidR="00473AC9">
              <w:rPr>
                <w:rFonts w:ascii="Times New Roman" w:hAnsi="Times New Roman" w:cs="Times New Roman"/>
                <w:sz w:val="20"/>
                <w:szCs w:val="20"/>
                <w:lang w:val="en-GB"/>
              </w:rPr>
              <w:t>prescribing.</w:t>
            </w:r>
          </w:p>
        </w:tc>
      </w:tr>
      <w:tr w:rsidR="00FE630B" w:rsidRPr="00F705B9" w14:paraId="0331CB33" w14:textId="77777777" w:rsidTr="00E87C6E">
        <w:tc>
          <w:tcPr>
            <w:cnfStyle w:val="001000000000" w:firstRow="0" w:lastRow="0" w:firstColumn="1" w:lastColumn="0" w:oddVBand="0" w:evenVBand="0" w:oddHBand="0" w:evenHBand="0" w:firstRowFirstColumn="0" w:firstRowLastColumn="0" w:lastRowFirstColumn="0" w:lastRowLastColumn="0"/>
            <w:tcW w:w="680" w:type="dxa"/>
            <w:tcBorders>
              <w:left w:val="single" w:sz="4" w:space="0" w:color="auto"/>
            </w:tcBorders>
            <w:shd w:val="clear" w:color="auto" w:fill="auto"/>
          </w:tcPr>
          <w:p w14:paraId="7C744281" w14:textId="77777777" w:rsidR="00D239D5" w:rsidRDefault="00D239D5" w:rsidP="002B64EC">
            <w:pPr>
              <w:rPr>
                <w:rFonts w:ascii="Times New Roman" w:hAnsi="Times New Roman" w:cs="Times New Roman"/>
                <w:color w:val="auto"/>
                <w:sz w:val="20"/>
                <w:szCs w:val="20"/>
                <w:lang w:val="en-GB"/>
              </w:rPr>
            </w:pPr>
            <w:r w:rsidRPr="00FE630B">
              <w:rPr>
                <w:rFonts w:ascii="Times New Roman" w:hAnsi="Times New Roman" w:cs="Times New Roman"/>
                <w:color w:val="auto"/>
                <w:sz w:val="20"/>
                <w:szCs w:val="20"/>
                <w:lang w:val="en-GB"/>
              </w:rPr>
              <w:t>2</w:t>
            </w:r>
          </w:p>
          <w:p w14:paraId="215A8B32" w14:textId="6580E564" w:rsidR="00AC239D" w:rsidRPr="00FE630B" w:rsidRDefault="00AC239D" w:rsidP="002B64EC">
            <w:pPr>
              <w:rPr>
                <w:rFonts w:ascii="Times New Roman" w:hAnsi="Times New Roman" w:cs="Times New Roman"/>
                <w:color w:val="auto"/>
                <w:sz w:val="20"/>
                <w:szCs w:val="20"/>
                <w:lang w:val="en-GB"/>
              </w:rPr>
            </w:pPr>
            <w:r>
              <w:rPr>
                <w:rFonts w:ascii="Times New Roman" w:hAnsi="Times New Roman"/>
                <w:b w:val="0"/>
                <w:color w:val="auto"/>
                <w:sz w:val="20"/>
                <w:szCs w:val="20"/>
                <w:lang w:val="en-GB"/>
              </w:rPr>
              <w:t>[37</w:t>
            </w:r>
            <w:r w:rsidRPr="00B7743A">
              <w:rPr>
                <w:rFonts w:ascii="Times New Roman" w:hAnsi="Times New Roman"/>
                <w:b w:val="0"/>
                <w:color w:val="auto"/>
                <w:sz w:val="20"/>
                <w:szCs w:val="20"/>
                <w:lang w:val="en-GB"/>
              </w:rPr>
              <w:t>]</w:t>
            </w:r>
          </w:p>
        </w:tc>
        <w:tc>
          <w:tcPr>
            <w:tcW w:w="993" w:type="dxa"/>
            <w:shd w:val="clear" w:color="auto" w:fill="auto"/>
          </w:tcPr>
          <w:p w14:paraId="299AB211" w14:textId="77777777" w:rsidR="00D239D5" w:rsidRPr="00DD5FE4" w:rsidRDefault="00D239D5" w:rsidP="002B64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DD5FE4">
              <w:rPr>
                <w:rFonts w:ascii="Times New Roman" w:hAnsi="Times New Roman" w:cs="Times New Roman"/>
                <w:sz w:val="20"/>
                <w:szCs w:val="20"/>
                <w:lang w:val="en-GB"/>
              </w:rPr>
              <w:t>SBU, 2006</w:t>
            </w:r>
          </w:p>
        </w:tc>
        <w:tc>
          <w:tcPr>
            <w:tcW w:w="1701" w:type="dxa"/>
            <w:gridSpan w:val="2"/>
            <w:shd w:val="clear" w:color="auto" w:fill="auto"/>
          </w:tcPr>
          <w:p w14:paraId="2EADF2CB" w14:textId="77777777" w:rsidR="00D239D5" w:rsidRPr="001325CE" w:rsidRDefault="00D239D5" w:rsidP="00473AC9">
            <w:pPr>
              <w:pStyle w:val="Pa2"/>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325CE">
              <w:rPr>
                <w:rFonts w:ascii="Times New Roman" w:hAnsi="Times New Roman" w:cs="Times New Roman"/>
                <w:color w:val="000000"/>
                <w:sz w:val="20"/>
                <w:szCs w:val="20"/>
              </w:rPr>
              <w:t>Demenssjukdomar, En systematisk litteraturöversikt.</w:t>
            </w:r>
          </w:p>
          <w:p w14:paraId="62482D8F" w14:textId="77777777" w:rsidR="00D239D5" w:rsidRPr="00DD5FE4" w:rsidRDefault="00D239D5" w:rsidP="00473AC9">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1325CE">
              <w:rPr>
                <w:rFonts w:ascii="Times New Roman" w:hAnsi="Times New Roman" w:cs="Times New Roman"/>
                <w:sz w:val="20"/>
                <w:szCs w:val="20"/>
              </w:rPr>
              <w:t xml:space="preserve">(Dementia diseases. </w:t>
            </w:r>
            <w:r w:rsidRPr="00DD5FE4">
              <w:rPr>
                <w:rFonts w:ascii="Times New Roman" w:hAnsi="Times New Roman" w:cs="Times New Roman"/>
                <w:sz w:val="20"/>
                <w:szCs w:val="20"/>
                <w:lang w:val="en-GB"/>
              </w:rPr>
              <w:t>A systematic literature review</w:t>
            </w:r>
            <w:r w:rsidR="008670BF" w:rsidRPr="00DD5FE4">
              <w:rPr>
                <w:rFonts w:ascii="Times New Roman" w:hAnsi="Times New Roman" w:cs="Times New Roman"/>
                <w:sz w:val="20"/>
                <w:szCs w:val="20"/>
                <w:lang w:val="en-GB"/>
              </w:rPr>
              <w:t>.</w:t>
            </w:r>
            <w:r w:rsidRPr="00DD5FE4">
              <w:rPr>
                <w:rFonts w:ascii="Times New Roman" w:hAnsi="Times New Roman" w:cs="Times New Roman"/>
                <w:sz w:val="20"/>
                <w:szCs w:val="20"/>
                <w:lang w:val="en-GB"/>
              </w:rPr>
              <w:t xml:space="preserve">) </w:t>
            </w:r>
          </w:p>
        </w:tc>
        <w:tc>
          <w:tcPr>
            <w:tcW w:w="1842" w:type="dxa"/>
            <w:shd w:val="clear" w:color="auto" w:fill="auto"/>
          </w:tcPr>
          <w:p w14:paraId="0608C2A9" w14:textId="77777777" w:rsidR="00D239D5" w:rsidRPr="00DD5FE4" w:rsidRDefault="00D239D5" w:rsidP="00856E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DD5FE4">
              <w:rPr>
                <w:rFonts w:ascii="Times New Roman" w:hAnsi="Times New Roman" w:cs="Times New Roman"/>
                <w:color w:val="000000"/>
                <w:sz w:val="20"/>
                <w:szCs w:val="20"/>
                <w:lang w:val="en-GB"/>
              </w:rPr>
              <w:t>To establish the state of knowledge regarding medication treatment in dementia disease</w:t>
            </w:r>
            <w:r w:rsidR="00A537D9" w:rsidRPr="00DD5FE4">
              <w:rPr>
                <w:rFonts w:ascii="Times New Roman" w:hAnsi="Times New Roman" w:cs="Times New Roman"/>
                <w:color w:val="000000"/>
                <w:sz w:val="20"/>
                <w:szCs w:val="20"/>
                <w:lang w:val="en-GB"/>
              </w:rPr>
              <w:t>.</w:t>
            </w:r>
            <w:r w:rsidRPr="00DD5FE4">
              <w:rPr>
                <w:rFonts w:ascii="Times New Roman" w:hAnsi="Times New Roman" w:cs="Times New Roman"/>
                <w:color w:val="000000"/>
                <w:sz w:val="20"/>
                <w:szCs w:val="20"/>
                <w:lang w:val="en-GB"/>
              </w:rPr>
              <w:t xml:space="preserve"> </w:t>
            </w:r>
          </w:p>
        </w:tc>
        <w:tc>
          <w:tcPr>
            <w:tcW w:w="1843" w:type="dxa"/>
            <w:shd w:val="clear" w:color="auto" w:fill="auto"/>
          </w:tcPr>
          <w:p w14:paraId="19207C9A" w14:textId="77777777" w:rsidR="00D239D5" w:rsidRPr="00DD5FE4" w:rsidRDefault="00D239D5" w:rsidP="00856E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DD5FE4">
              <w:rPr>
                <w:rFonts w:ascii="Times New Roman" w:hAnsi="Times New Roman" w:cs="Times New Roman"/>
                <w:sz w:val="20"/>
                <w:szCs w:val="20"/>
                <w:lang w:val="en-GB"/>
              </w:rPr>
              <w:t xml:space="preserve">Systematic review of </w:t>
            </w:r>
            <w:r w:rsidR="008670BF" w:rsidRPr="00DD5FE4">
              <w:rPr>
                <w:rFonts w:ascii="Times New Roman" w:hAnsi="Times New Roman" w:cs="Times New Roman"/>
                <w:sz w:val="20"/>
                <w:szCs w:val="20"/>
                <w:lang w:val="en-GB"/>
              </w:rPr>
              <w:t xml:space="preserve">the </w:t>
            </w:r>
            <w:r w:rsidRPr="00DD5FE4">
              <w:rPr>
                <w:rFonts w:ascii="Times New Roman" w:hAnsi="Times New Roman" w:cs="Times New Roman"/>
                <w:sz w:val="20"/>
                <w:szCs w:val="20"/>
                <w:lang w:val="en-GB"/>
              </w:rPr>
              <w:t>scientific literature</w:t>
            </w:r>
            <w:r w:rsidR="008670BF" w:rsidRPr="00DD5FE4">
              <w:rPr>
                <w:rFonts w:ascii="Times New Roman" w:hAnsi="Times New Roman" w:cs="Times New Roman"/>
                <w:sz w:val="20"/>
                <w:szCs w:val="20"/>
                <w:lang w:val="en-GB"/>
              </w:rPr>
              <w:t>.</w:t>
            </w:r>
            <w:r w:rsidRPr="00DD5FE4">
              <w:rPr>
                <w:rFonts w:ascii="Times New Roman" w:hAnsi="Times New Roman" w:cs="Times New Roman"/>
                <w:sz w:val="20"/>
                <w:szCs w:val="20"/>
                <w:lang w:val="en-GB"/>
              </w:rPr>
              <w:t xml:space="preserve">  </w:t>
            </w:r>
          </w:p>
        </w:tc>
        <w:tc>
          <w:tcPr>
            <w:tcW w:w="8505" w:type="dxa"/>
            <w:tcBorders>
              <w:right w:val="single" w:sz="4" w:space="0" w:color="auto"/>
            </w:tcBorders>
            <w:shd w:val="clear" w:color="auto" w:fill="auto"/>
          </w:tcPr>
          <w:p w14:paraId="0E58E40F" w14:textId="0E1A3A73" w:rsidR="00D239D5" w:rsidRPr="00DD5FE4" w:rsidRDefault="00A537D9" w:rsidP="002B64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DD5FE4">
              <w:rPr>
                <w:rFonts w:ascii="Times New Roman" w:hAnsi="Times New Roman" w:cs="Times New Roman"/>
                <w:color w:val="000000"/>
                <w:sz w:val="20"/>
                <w:szCs w:val="20"/>
                <w:lang w:val="en-GB"/>
              </w:rPr>
              <w:t xml:space="preserve">Findings: </w:t>
            </w:r>
            <w:r w:rsidR="00D239D5" w:rsidRPr="00DD5FE4">
              <w:rPr>
                <w:rFonts w:ascii="Times New Roman" w:hAnsi="Times New Roman" w:cs="Times New Roman"/>
                <w:color w:val="000000"/>
                <w:sz w:val="20"/>
                <w:szCs w:val="20"/>
                <w:lang w:val="en-GB"/>
              </w:rPr>
              <w:t xml:space="preserve">Medication treatment in BPSD has </w:t>
            </w:r>
            <w:r w:rsidRPr="00DD5FE4">
              <w:rPr>
                <w:rFonts w:ascii="Times New Roman" w:hAnsi="Times New Roman" w:cs="Times New Roman"/>
                <w:color w:val="000000"/>
                <w:sz w:val="20"/>
                <w:szCs w:val="20"/>
                <w:lang w:val="en-GB"/>
              </w:rPr>
              <w:t xml:space="preserve">a </w:t>
            </w:r>
            <w:r w:rsidR="00D239D5" w:rsidRPr="00DD5FE4">
              <w:rPr>
                <w:rFonts w:ascii="Times New Roman" w:hAnsi="Times New Roman" w:cs="Times New Roman"/>
                <w:color w:val="000000"/>
                <w:sz w:val="20"/>
                <w:szCs w:val="20"/>
                <w:lang w:val="en-GB"/>
              </w:rPr>
              <w:t>limited effect. Increased mortality has been found when using atypical antipsychotic medication in treatment of BPSD in dementia. The effect has not been seen in individual studies, but has been establish in a meta</w:t>
            </w:r>
            <w:r w:rsidR="008670BF" w:rsidRPr="00DD5FE4">
              <w:rPr>
                <w:rFonts w:ascii="Times New Roman" w:hAnsi="Times New Roman" w:cs="Times New Roman"/>
                <w:color w:val="000000"/>
                <w:sz w:val="20"/>
                <w:szCs w:val="20"/>
                <w:lang w:val="en-GB"/>
              </w:rPr>
              <w:t>-</w:t>
            </w:r>
            <w:r w:rsidR="00D239D5" w:rsidRPr="00DD5FE4">
              <w:rPr>
                <w:rFonts w:ascii="Times New Roman" w:hAnsi="Times New Roman" w:cs="Times New Roman"/>
                <w:color w:val="000000"/>
                <w:sz w:val="20"/>
                <w:szCs w:val="20"/>
                <w:lang w:val="en-GB"/>
              </w:rPr>
              <w:t xml:space="preserve">analysis. </w:t>
            </w:r>
          </w:p>
        </w:tc>
      </w:tr>
      <w:tr w:rsidR="00372F31" w:rsidRPr="00F705B9" w14:paraId="5869B671" w14:textId="77777777" w:rsidTr="00E87C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 w:type="dxa"/>
            <w:tcBorders>
              <w:left w:val="single" w:sz="4" w:space="0" w:color="auto"/>
            </w:tcBorders>
            <w:shd w:val="clear" w:color="auto" w:fill="F2F2F2" w:themeFill="background1" w:themeFillShade="F2"/>
          </w:tcPr>
          <w:p w14:paraId="1CED2BA9" w14:textId="77777777" w:rsidR="00372F31" w:rsidRDefault="00D239D5" w:rsidP="002B64EC">
            <w:pPr>
              <w:rPr>
                <w:rFonts w:ascii="Times New Roman" w:hAnsi="Times New Roman" w:cs="Times New Roman"/>
                <w:color w:val="auto"/>
                <w:sz w:val="20"/>
                <w:szCs w:val="20"/>
                <w:lang w:val="en-GB"/>
              </w:rPr>
            </w:pPr>
            <w:r w:rsidRPr="00FE630B">
              <w:rPr>
                <w:rFonts w:ascii="Times New Roman" w:hAnsi="Times New Roman" w:cs="Times New Roman"/>
                <w:color w:val="auto"/>
                <w:sz w:val="20"/>
                <w:szCs w:val="20"/>
                <w:lang w:val="en-GB"/>
              </w:rPr>
              <w:t>3</w:t>
            </w:r>
          </w:p>
          <w:p w14:paraId="284D1C66" w14:textId="47058A30" w:rsidR="00AC239D" w:rsidRPr="00FE630B" w:rsidRDefault="00AC239D" w:rsidP="002B64EC">
            <w:pPr>
              <w:rPr>
                <w:rFonts w:ascii="Times New Roman" w:hAnsi="Times New Roman" w:cs="Times New Roman"/>
                <w:color w:val="auto"/>
                <w:sz w:val="20"/>
                <w:szCs w:val="20"/>
                <w:lang w:val="en-GB"/>
              </w:rPr>
            </w:pPr>
            <w:r w:rsidRPr="00B7743A">
              <w:rPr>
                <w:rFonts w:ascii="Times New Roman" w:hAnsi="Times New Roman"/>
                <w:b w:val="0"/>
                <w:color w:val="auto"/>
                <w:sz w:val="20"/>
                <w:szCs w:val="20"/>
                <w:lang w:val="en-GB"/>
              </w:rPr>
              <w:t>[4</w:t>
            </w:r>
            <w:r>
              <w:rPr>
                <w:rFonts w:ascii="Times New Roman" w:hAnsi="Times New Roman"/>
                <w:b w:val="0"/>
                <w:color w:val="auto"/>
                <w:sz w:val="20"/>
                <w:szCs w:val="20"/>
                <w:lang w:val="en-GB"/>
              </w:rPr>
              <w:t>1</w:t>
            </w:r>
            <w:r w:rsidRPr="00B7743A">
              <w:rPr>
                <w:rFonts w:ascii="Times New Roman" w:hAnsi="Times New Roman"/>
                <w:b w:val="0"/>
                <w:color w:val="auto"/>
                <w:sz w:val="20"/>
                <w:szCs w:val="20"/>
                <w:lang w:val="en-GB"/>
              </w:rPr>
              <w:t>]</w:t>
            </w:r>
          </w:p>
        </w:tc>
        <w:tc>
          <w:tcPr>
            <w:tcW w:w="993" w:type="dxa"/>
            <w:shd w:val="clear" w:color="auto" w:fill="F2F2F2" w:themeFill="background1" w:themeFillShade="F2"/>
          </w:tcPr>
          <w:p w14:paraId="314749BA" w14:textId="77777777" w:rsidR="00372F31" w:rsidRPr="00DD5FE4" w:rsidRDefault="00372F31" w:rsidP="002B64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DD5FE4">
              <w:rPr>
                <w:rFonts w:ascii="Times New Roman" w:hAnsi="Times New Roman" w:cs="Times New Roman"/>
                <w:sz w:val="20"/>
                <w:szCs w:val="20"/>
                <w:lang w:val="en-GB"/>
              </w:rPr>
              <w:t>MPA, 2008</w:t>
            </w:r>
          </w:p>
        </w:tc>
        <w:tc>
          <w:tcPr>
            <w:tcW w:w="1701" w:type="dxa"/>
            <w:gridSpan w:val="2"/>
            <w:shd w:val="clear" w:color="auto" w:fill="F2F2F2" w:themeFill="background1" w:themeFillShade="F2"/>
          </w:tcPr>
          <w:p w14:paraId="16E438CB" w14:textId="5EAC77F7" w:rsidR="00372F31" w:rsidRPr="00DD5FE4" w:rsidRDefault="00372F31" w:rsidP="0097336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1325CE">
              <w:rPr>
                <w:rFonts w:ascii="Times New Roman" w:hAnsi="Times New Roman" w:cs="Times New Roman"/>
                <w:sz w:val="20"/>
                <w:szCs w:val="20"/>
              </w:rPr>
              <w:t>Läkemedels-behandling och bemötande vid beteendemässiga och psykiska symtom vid demenssjukdom-BPSD</w:t>
            </w:r>
            <w:r w:rsidR="008670BF" w:rsidRPr="001325CE">
              <w:rPr>
                <w:rFonts w:ascii="Times New Roman" w:hAnsi="Times New Roman" w:cs="Times New Roman"/>
                <w:sz w:val="20"/>
                <w:szCs w:val="20"/>
              </w:rPr>
              <w:t>.</w:t>
            </w:r>
            <w:r w:rsidRPr="001325CE">
              <w:rPr>
                <w:rFonts w:ascii="Times New Roman" w:hAnsi="Times New Roman" w:cs="Times New Roman"/>
                <w:sz w:val="20"/>
                <w:szCs w:val="20"/>
              </w:rPr>
              <w:t xml:space="preserve"> </w:t>
            </w:r>
            <w:r w:rsidRPr="00DD5FE4">
              <w:rPr>
                <w:rFonts w:ascii="Times New Roman" w:hAnsi="Times New Roman" w:cs="Times New Roman"/>
                <w:sz w:val="20"/>
                <w:szCs w:val="20"/>
                <w:lang w:val="en-GB"/>
              </w:rPr>
              <w:t xml:space="preserve">(Medication treatment and encountering behaviour and </w:t>
            </w:r>
            <w:r w:rsidRPr="00DD5FE4">
              <w:rPr>
                <w:rStyle w:val="hps"/>
                <w:rFonts w:ascii="Times New Roman" w:hAnsi="Times New Roman" w:cs="Times New Roman"/>
                <w:color w:val="222222"/>
                <w:sz w:val="20"/>
                <w:szCs w:val="20"/>
                <w:lang w:val="en-GB"/>
              </w:rPr>
              <w:t>psychological symptoms in dementia disease</w:t>
            </w:r>
            <w:r w:rsidR="0097336A">
              <w:rPr>
                <w:rStyle w:val="hps"/>
                <w:rFonts w:ascii="Times New Roman" w:hAnsi="Times New Roman" w:cs="Times New Roman"/>
                <w:color w:val="222222"/>
                <w:sz w:val="20"/>
                <w:szCs w:val="20"/>
                <w:lang w:val="en-GB"/>
              </w:rPr>
              <w:t>-BPSD</w:t>
            </w:r>
            <w:r w:rsidR="008670BF" w:rsidRPr="00DD5FE4">
              <w:rPr>
                <w:rStyle w:val="hps"/>
                <w:rFonts w:ascii="Times New Roman" w:hAnsi="Times New Roman" w:cs="Times New Roman"/>
                <w:color w:val="222222"/>
                <w:sz w:val="20"/>
                <w:szCs w:val="20"/>
                <w:lang w:val="en-GB"/>
              </w:rPr>
              <w:t>.</w:t>
            </w:r>
            <w:r w:rsidRPr="00DD5FE4">
              <w:rPr>
                <w:rStyle w:val="hps"/>
                <w:rFonts w:ascii="Times New Roman" w:hAnsi="Times New Roman" w:cs="Times New Roman"/>
                <w:color w:val="222222"/>
                <w:sz w:val="20"/>
                <w:szCs w:val="20"/>
                <w:lang w:val="en-GB"/>
              </w:rPr>
              <w:t>)</w:t>
            </w:r>
          </w:p>
        </w:tc>
        <w:tc>
          <w:tcPr>
            <w:tcW w:w="1842" w:type="dxa"/>
            <w:shd w:val="clear" w:color="auto" w:fill="F2F2F2" w:themeFill="background1" w:themeFillShade="F2"/>
          </w:tcPr>
          <w:p w14:paraId="4C637D84" w14:textId="77777777" w:rsidR="00372F31" w:rsidRPr="00DD5FE4" w:rsidRDefault="00372F31" w:rsidP="002B64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tc>
        <w:tc>
          <w:tcPr>
            <w:tcW w:w="1843" w:type="dxa"/>
            <w:shd w:val="clear" w:color="auto" w:fill="F2F2F2" w:themeFill="background1" w:themeFillShade="F2"/>
          </w:tcPr>
          <w:p w14:paraId="1FD30C85" w14:textId="77777777" w:rsidR="00372F31" w:rsidRPr="00DD5FE4" w:rsidRDefault="00372F31" w:rsidP="002B64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tc>
        <w:tc>
          <w:tcPr>
            <w:tcW w:w="8505" w:type="dxa"/>
            <w:tcBorders>
              <w:right w:val="single" w:sz="4" w:space="0" w:color="auto"/>
            </w:tcBorders>
            <w:shd w:val="clear" w:color="auto" w:fill="F2F2F2" w:themeFill="background1" w:themeFillShade="F2"/>
          </w:tcPr>
          <w:p w14:paraId="7E93FC71" w14:textId="77777777" w:rsidR="00372F31" w:rsidRPr="00DD5FE4" w:rsidRDefault="00372F31" w:rsidP="002B64E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DD5FE4">
              <w:rPr>
                <w:rFonts w:ascii="Times New Roman" w:hAnsi="Times New Roman" w:cs="Times New Roman"/>
                <w:sz w:val="20"/>
                <w:szCs w:val="20"/>
                <w:lang w:val="en-GB"/>
              </w:rPr>
              <w:t xml:space="preserve">Recommendations: </w:t>
            </w:r>
          </w:p>
          <w:p w14:paraId="0E4868C0" w14:textId="04AD8623" w:rsidR="00372F31" w:rsidRPr="00DD5FE4" w:rsidRDefault="00372F31" w:rsidP="002B64E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DD5FE4">
              <w:rPr>
                <w:rFonts w:ascii="Times New Roman" w:hAnsi="Times New Roman" w:cs="Times New Roman"/>
                <w:sz w:val="20"/>
                <w:szCs w:val="20"/>
                <w:lang w:val="en-GB"/>
              </w:rPr>
              <w:t>1. Investigat</w:t>
            </w:r>
            <w:r w:rsidR="008670BF" w:rsidRPr="00DD5FE4">
              <w:rPr>
                <w:rFonts w:ascii="Times New Roman" w:hAnsi="Times New Roman" w:cs="Times New Roman"/>
                <w:sz w:val="20"/>
                <w:szCs w:val="20"/>
                <w:lang w:val="en-GB"/>
              </w:rPr>
              <w:t>e</w:t>
            </w:r>
            <w:r w:rsidRPr="00DD5FE4">
              <w:rPr>
                <w:rFonts w:ascii="Times New Roman" w:hAnsi="Times New Roman" w:cs="Times New Roman"/>
                <w:sz w:val="20"/>
                <w:szCs w:val="20"/>
                <w:lang w:val="en-GB"/>
              </w:rPr>
              <w:t xml:space="preserve">/map symptoms, possible causes and triggering factors, and </w:t>
            </w:r>
            <w:r w:rsidR="008670BF" w:rsidRPr="00DD5FE4">
              <w:rPr>
                <w:rFonts w:ascii="Times New Roman" w:hAnsi="Times New Roman" w:cs="Times New Roman"/>
                <w:sz w:val="20"/>
                <w:szCs w:val="20"/>
                <w:lang w:val="en-GB"/>
              </w:rPr>
              <w:t xml:space="preserve">possibly also the </w:t>
            </w:r>
            <w:r w:rsidRPr="00DD5FE4">
              <w:rPr>
                <w:rFonts w:ascii="Times New Roman" w:hAnsi="Times New Roman" w:cs="Times New Roman"/>
                <w:sz w:val="20"/>
                <w:szCs w:val="20"/>
                <w:lang w:val="en-GB"/>
              </w:rPr>
              <w:t>burden of mental or physical diseases.</w:t>
            </w:r>
          </w:p>
          <w:p w14:paraId="0AE73E3B" w14:textId="0FFF95A1" w:rsidR="00372F31" w:rsidRPr="00DD5FE4" w:rsidRDefault="00372F31" w:rsidP="002B64E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DD5FE4">
              <w:rPr>
                <w:rFonts w:ascii="Times New Roman" w:hAnsi="Times New Roman" w:cs="Times New Roman"/>
                <w:sz w:val="20"/>
                <w:szCs w:val="20"/>
                <w:lang w:val="en-GB"/>
              </w:rPr>
              <w:t xml:space="preserve">2. Review </w:t>
            </w:r>
            <w:r w:rsidR="00C55B20" w:rsidRPr="00DD5FE4">
              <w:rPr>
                <w:rFonts w:ascii="Times New Roman" w:hAnsi="Times New Roman" w:cs="Times New Roman"/>
                <w:sz w:val="20"/>
                <w:szCs w:val="20"/>
                <w:lang w:val="en-GB"/>
              </w:rPr>
              <w:t>the</w:t>
            </w:r>
            <w:r w:rsidRPr="00DD5FE4">
              <w:rPr>
                <w:rFonts w:ascii="Times New Roman" w:hAnsi="Times New Roman" w:cs="Times New Roman"/>
                <w:sz w:val="20"/>
                <w:szCs w:val="20"/>
                <w:lang w:val="en-GB"/>
              </w:rPr>
              <w:t xml:space="preserve"> medical treatment</w:t>
            </w:r>
            <w:r w:rsidR="008670BF" w:rsidRPr="00DD5FE4">
              <w:rPr>
                <w:rFonts w:ascii="Times New Roman" w:hAnsi="Times New Roman" w:cs="Times New Roman"/>
                <w:sz w:val="20"/>
                <w:szCs w:val="20"/>
                <w:lang w:val="en-GB"/>
              </w:rPr>
              <w:t>.</w:t>
            </w:r>
          </w:p>
          <w:p w14:paraId="644B24EA" w14:textId="77777777" w:rsidR="00372F31" w:rsidRPr="00DD5FE4" w:rsidRDefault="00372F31" w:rsidP="002B64E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DD5FE4">
              <w:rPr>
                <w:rFonts w:ascii="Times New Roman" w:hAnsi="Times New Roman" w:cs="Times New Roman"/>
                <w:sz w:val="20"/>
                <w:szCs w:val="20"/>
                <w:lang w:val="en-GB"/>
              </w:rPr>
              <w:t>3. Optimize the caring environment and treatment</w:t>
            </w:r>
            <w:r w:rsidR="008670BF" w:rsidRPr="00DD5FE4">
              <w:rPr>
                <w:rFonts w:ascii="Times New Roman" w:hAnsi="Times New Roman" w:cs="Times New Roman"/>
                <w:sz w:val="20"/>
                <w:szCs w:val="20"/>
                <w:lang w:val="en-GB"/>
              </w:rPr>
              <w:t>.</w:t>
            </w:r>
          </w:p>
          <w:p w14:paraId="31D409CA" w14:textId="5B942DC3" w:rsidR="00372F31" w:rsidRPr="00DD5FE4" w:rsidRDefault="00372F31" w:rsidP="002B64E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DD5FE4">
              <w:rPr>
                <w:rFonts w:ascii="Times New Roman" w:hAnsi="Times New Roman" w:cs="Times New Roman"/>
                <w:sz w:val="20"/>
                <w:szCs w:val="20"/>
                <w:lang w:val="en-GB"/>
              </w:rPr>
              <w:t xml:space="preserve">4. </w:t>
            </w:r>
            <w:r w:rsidR="008670BF" w:rsidRPr="00DD5FE4">
              <w:rPr>
                <w:rFonts w:ascii="Times New Roman" w:hAnsi="Times New Roman" w:cs="Times New Roman"/>
                <w:sz w:val="20"/>
                <w:szCs w:val="20"/>
                <w:lang w:val="en-GB"/>
              </w:rPr>
              <w:t xml:space="preserve">Where effects are </w:t>
            </w:r>
            <w:r w:rsidRPr="00DD5FE4">
              <w:rPr>
                <w:rFonts w:ascii="Times New Roman" w:hAnsi="Times New Roman" w:cs="Times New Roman"/>
                <w:sz w:val="20"/>
                <w:szCs w:val="20"/>
                <w:lang w:val="en-GB"/>
              </w:rPr>
              <w:t xml:space="preserve">insufficient, a decision </w:t>
            </w:r>
            <w:r w:rsidR="008670BF" w:rsidRPr="00DD5FE4">
              <w:rPr>
                <w:rFonts w:ascii="Times New Roman" w:hAnsi="Times New Roman" w:cs="Times New Roman"/>
                <w:sz w:val="20"/>
                <w:szCs w:val="20"/>
                <w:lang w:val="en-GB"/>
              </w:rPr>
              <w:t xml:space="preserve">needs to be made </w:t>
            </w:r>
            <w:r w:rsidRPr="00DD5FE4">
              <w:rPr>
                <w:rFonts w:ascii="Times New Roman" w:hAnsi="Times New Roman" w:cs="Times New Roman"/>
                <w:sz w:val="20"/>
                <w:szCs w:val="20"/>
                <w:lang w:val="en-GB"/>
              </w:rPr>
              <w:t>about medical treatment</w:t>
            </w:r>
            <w:r w:rsidR="008670BF" w:rsidRPr="00DD5FE4">
              <w:rPr>
                <w:rFonts w:ascii="Times New Roman" w:hAnsi="Times New Roman" w:cs="Times New Roman"/>
                <w:sz w:val="20"/>
                <w:szCs w:val="20"/>
                <w:lang w:val="en-GB"/>
              </w:rPr>
              <w:t>:</w:t>
            </w:r>
          </w:p>
          <w:p w14:paraId="2E8849A0" w14:textId="58A2648F" w:rsidR="00372F31" w:rsidRPr="00DD5FE4" w:rsidRDefault="00372F31" w:rsidP="002B64E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DD5FE4">
              <w:rPr>
                <w:rFonts w:ascii="Times New Roman" w:hAnsi="Times New Roman" w:cs="Times New Roman"/>
                <w:sz w:val="20"/>
                <w:szCs w:val="20"/>
                <w:lang w:val="en-GB"/>
              </w:rPr>
              <w:t>- In depressive symptoms, SSRI</w:t>
            </w:r>
            <w:r w:rsidR="008670BF" w:rsidRPr="00DD5FE4">
              <w:rPr>
                <w:rFonts w:ascii="Times New Roman" w:hAnsi="Times New Roman" w:cs="Times New Roman"/>
                <w:sz w:val="20"/>
                <w:szCs w:val="20"/>
                <w:lang w:val="en-GB"/>
              </w:rPr>
              <w:t xml:space="preserve"> </w:t>
            </w:r>
            <w:r w:rsidRPr="00DD5FE4">
              <w:rPr>
                <w:rFonts w:ascii="Times New Roman" w:hAnsi="Times New Roman" w:cs="Times New Roman"/>
                <w:sz w:val="20"/>
                <w:szCs w:val="20"/>
                <w:lang w:val="en-GB"/>
              </w:rPr>
              <w:t>medication is the first choice</w:t>
            </w:r>
            <w:r w:rsidR="008670BF" w:rsidRPr="00DD5FE4">
              <w:rPr>
                <w:rFonts w:ascii="Times New Roman" w:hAnsi="Times New Roman" w:cs="Times New Roman"/>
                <w:sz w:val="20"/>
                <w:szCs w:val="20"/>
                <w:lang w:val="en-GB"/>
              </w:rPr>
              <w:t>.</w:t>
            </w:r>
          </w:p>
          <w:p w14:paraId="3D7D3E4A" w14:textId="26353245" w:rsidR="00372F31" w:rsidRPr="00DD5FE4" w:rsidRDefault="00372F31" w:rsidP="002B64E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DD5FE4">
              <w:rPr>
                <w:rFonts w:ascii="Times New Roman" w:hAnsi="Times New Roman" w:cs="Times New Roman"/>
                <w:sz w:val="20"/>
                <w:szCs w:val="20"/>
                <w:lang w:val="en-GB"/>
              </w:rPr>
              <w:t>- In irritab</w:t>
            </w:r>
            <w:r w:rsidR="008670BF" w:rsidRPr="00DD5FE4">
              <w:rPr>
                <w:rFonts w:ascii="Times New Roman" w:hAnsi="Times New Roman" w:cs="Times New Roman"/>
                <w:sz w:val="20"/>
                <w:szCs w:val="20"/>
                <w:lang w:val="en-GB"/>
              </w:rPr>
              <w:t>ility</w:t>
            </w:r>
            <w:r w:rsidRPr="00DD5FE4">
              <w:rPr>
                <w:rFonts w:ascii="Times New Roman" w:hAnsi="Times New Roman" w:cs="Times New Roman"/>
                <w:sz w:val="20"/>
                <w:szCs w:val="20"/>
                <w:lang w:val="en-GB"/>
              </w:rPr>
              <w:t>, agitation and anxiety</w:t>
            </w:r>
            <w:r w:rsidR="008670BF" w:rsidRPr="00DD5FE4">
              <w:rPr>
                <w:rFonts w:ascii="Times New Roman" w:hAnsi="Times New Roman" w:cs="Times New Roman"/>
                <w:sz w:val="20"/>
                <w:szCs w:val="20"/>
                <w:lang w:val="en-GB"/>
              </w:rPr>
              <w:t>,</w:t>
            </w:r>
            <w:r w:rsidRPr="00DD5FE4">
              <w:rPr>
                <w:rFonts w:ascii="Times New Roman" w:hAnsi="Times New Roman" w:cs="Times New Roman"/>
                <w:sz w:val="20"/>
                <w:szCs w:val="20"/>
                <w:lang w:val="en-GB"/>
              </w:rPr>
              <w:t xml:space="preserve"> SSRI</w:t>
            </w:r>
            <w:r w:rsidR="008670BF" w:rsidRPr="00DD5FE4">
              <w:rPr>
                <w:rFonts w:ascii="Times New Roman" w:hAnsi="Times New Roman" w:cs="Times New Roman"/>
                <w:sz w:val="20"/>
                <w:szCs w:val="20"/>
                <w:lang w:val="en-GB"/>
              </w:rPr>
              <w:t xml:space="preserve"> </w:t>
            </w:r>
            <w:r w:rsidRPr="00DD5FE4">
              <w:rPr>
                <w:rFonts w:ascii="Times New Roman" w:hAnsi="Times New Roman" w:cs="Times New Roman"/>
                <w:sz w:val="20"/>
                <w:szCs w:val="20"/>
                <w:lang w:val="en-GB"/>
              </w:rPr>
              <w:t>medication</w:t>
            </w:r>
            <w:r w:rsidR="008670BF" w:rsidRPr="00DD5FE4">
              <w:rPr>
                <w:rFonts w:ascii="Times New Roman" w:hAnsi="Times New Roman" w:cs="Times New Roman"/>
                <w:sz w:val="20"/>
                <w:szCs w:val="20"/>
                <w:lang w:val="en-GB"/>
              </w:rPr>
              <w:t xml:space="preserve"> may</w:t>
            </w:r>
            <w:r w:rsidRPr="00DD5FE4">
              <w:rPr>
                <w:rFonts w:ascii="Times New Roman" w:hAnsi="Times New Roman" w:cs="Times New Roman"/>
                <w:sz w:val="20"/>
                <w:szCs w:val="20"/>
                <w:lang w:val="en-GB"/>
              </w:rPr>
              <w:t xml:space="preserve"> be tested</w:t>
            </w:r>
            <w:r w:rsidR="008670BF" w:rsidRPr="00DD5FE4">
              <w:rPr>
                <w:rFonts w:ascii="Times New Roman" w:hAnsi="Times New Roman" w:cs="Times New Roman"/>
                <w:sz w:val="20"/>
                <w:szCs w:val="20"/>
                <w:lang w:val="en-GB"/>
              </w:rPr>
              <w:t>.</w:t>
            </w:r>
          </w:p>
          <w:p w14:paraId="08CB7B72" w14:textId="61D649BF" w:rsidR="00372F31" w:rsidRPr="00DD5FE4" w:rsidRDefault="00372F31" w:rsidP="002B64E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DD5FE4">
              <w:rPr>
                <w:rFonts w:ascii="Times New Roman" w:hAnsi="Times New Roman" w:cs="Times New Roman"/>
                <w:sz w:val="20"/>
                <w:szCs w:val="20"/>
                <w:lang w:val="en-GB"/>
              </w:rPr>
              <w:t>- Memantin</w:t>
            </w:r>
            <w:r w:rsidR="008670BF" w:rsidRPr="00DD5FE4">
              <w:rPr>
                <w:rFonts w:ascii="Times New Roman" w:hAnsi="Times New Roman" w:cs="Times New Roman"/>
                <w:sz w:val="20"/>
                <w:szCs w:val="20"/>
                <w:lang w:val="en-GB"/>
              </w:rPr>
              <w:t>e</w:t>
            </w:r>
            <w:r w:rsidRPr="00DD5FE4">
              <w:rPr>
                <w:rFonts w:ascii="Times New Roman" w:hAnsi="Times New Roman" w:cs="Times New Roman"/>
                <w:sz w:val="20"/>
                <w:szCs w:val="20"/>
                <w:lang w:val="en-GB"/>
              </w:rPr>
              <w:t xml:space="preserve"> may have </w:t>
            </w:r>
            <w:r w:rsidR="008670BF" w:rsidRPr="00DD5FE4">
              <w:rPr>
                <w:rFonts w:ascii="Times New Roman" w:hAnsi="Times New Roman" w:cs="Times New Roman"/>
                <w:sz w:val="20"/>
                <w:szCs w:val="20"/>
                <w:lang w:val="en-GB"/>
              </w:rPr>
              <w:t xml:space="preserve">an </w:t>
            </w:r>
            <w:r w:rsidRPr="00DD5FE4">
              <w:rPr>
                <w:rFonts w:ascii="Times New Roman" w:hAnsi="Times New Roman" w:cs="Times New Roman"/>
                <w:sz w:val="20"/>
                <w:szCs w:val="20"/>
                <w:lang w:val="en-GB"/>
              </w:rPr>
              <w:t xml:space="preserve">effect </w:t>
            </w:r>
            <w:r w:rsidR="008670BF" w:rsidRPr="00DD5FE4">
              <w:rPr>
                <w:rFonts w:ascii="Times New Roman" w:hAnsi="Times New Roman" w:cs="Times New Roman"/>
                <w:sz w:val="20"/>
                <w:szCs w:val="20"/>
                <w:lang w:val="en-GB"/>
              </w:rPr>
              <w:t xml:space="preserve">primarily on </w:t>
            </w:r>
            <w:r w:rsidRPr="00DD5FE4">
              <w:rPr>
                <w:rFonts w:ascii="Times New Roman" w:hAnsi="Times New Roman" w:cs="Times New Roman"/>
                <w:sz w:val="20"/>
                <w:szCs w:val="20"/>
                <w:lang w:val="en-GB"/>
              </w:rPr>
              <w:t xml:space="preserve">agitation and aggressiveness.  </w:t>
            </w:r>
          </w:p>
          <w:p w14:paraId="014B80BC" w14:textId="1E5A7C12" w:rsidR="00372F31" w:rsidRPr="00DD5FE4" w:rsidRDefault="00372F31" w:rsidP="002B64E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DD5FE4">
              <w:rPr>
                <w:rFonts w:ascii="Times New Roman" w:hAnsi="Times New Roman" w:cs="Times New Roman"/>
                <w:sz w:val="20"/>
                <w:szCs w:val="20"/>
                <w:lang w:val="en-GB"/>
              </w:rPr>
              <w:t>- In psychotic symptoms and aggressiveness causing suffering for the patient and/or potential danger for the patient or others</w:t>
            </w:r>
            <w:r w:rsidR="008670BF" w:rsidRPr="00DD5FE4">
              <w:rPr>
                <w:rFonts w:ascii="Times New Roman" w:hAnsi="Times New Roman" w:cs="Times New Roman"/>
                <w:sz w:val="20"/>
                <w:szCs w:val="20"/>
                <w:lang w:val="en-GB"/>
              </w:rPr>
              <w:t>,</w:t>
            </w:r>
            <w:r w:rsidRPr="00DD5FE4">
              <w:rPr>
                <w:rFonts w:ascii="Times New Roman" w:hAnsi="Times New Roman" w:cs="Times New Roman"/>
                <w:sz w:val="20"/>
                <w:szCs w:val="20"/>
                <w:lang w:val="en-GB"/>
              </w:rPr>
              <w:t xml:space="preserve"> </w:t>
            </w:r>
            <w:r w:rsidR="008670BF" w:rsidRPr="00DD5FE4">
              <w:rPr>
                <w:rFonts w:ascii="Times New Roman" w:hAnsi="Times New Roman" w:cs="Times New Roman"/>
                <w:sz w:val="20"/>
                <w:szCs w:val="20"/>
                <w:lang w:val="en-GB"/>
              </w:rPr>
              <w:t xml:space="preserve">a </w:t>
            </w:r>
            <w:r w:rsidRPr="00DD5FE4">
              <w:rPr>
                <w:rFonts w:ascii="Times New Roman" w:hAnsi="Times New Roman" w:cs="Times New Roman"/>
                <w:sz w:val="20"/>
                <w:szCs w:val="20"/>
                <w:lang w:val="en-GB"/>
              </w:rPr>
              <w:t>low dose of antipsychotic medication may be tested. The medication should be used very restrictive</w:t>
            </w:r>
            <w:r w:rsidR="008670BF" w:rsidRPr="00DD5FE4">
              <w:rPr>
                <w:rFonts w:ascii="Times New Roman" w:hAnsi="Times New Roman" w:cs="Times New Roman"/>
                <w:sz w:val="20"/>
                <w:szCs w:val="20"/>
                <w:lang w:val="en-GB"/>
              </w:rPr>
              <w:t>ly</w:t>
            </w:r>
            <w:r w:rsidRPr="00DD5FE4">
              <w:rPr>
                <w:rFonts w:ascii="Times New Roman" w:hAnsi="Times New Roman" w:cs="Times New Roman"/>
                <w:sz w:val="20"/>
                <w:szCs w:val="20"/>
                <w:lang w:val="en-GB"/>
              </w:rPr>
              <w:t>.</w:t>
            </w:r>
          </w:p>
          <w:p w14:paraId="4896683D" w14:textId="49C6A436" w:rsidR="00372F31" w:rsidRPr="00DD5FE4" w:rsidRDefault="00372F31" w:rsidP="002B64E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DD5FE4">
              <w:rPr>
                <w:rFonts w:ascii="Times New Roman" w:hAnsi="Times New Roman" w:cs="Times New Roman"/>
                <w:sz w:val="20"/>
                <w:szCs w:val="20"/>
                <w:lang w:val="en-GB"/>
              </w:rPr>
              <w:t>- Whe</w:t>
            </w:r>
            <w:r w:rsidR="008670BF" w:rsidRPr="00DD5FE4">
              <w:rPr>
                <w:rFonts w:ascii="Times New Roman" w:hAnsi="Times New Roman" w:cs="Times New Roman"/>
                <w:sz w:val="20"/>
                <w:szCs w:val="20"/>
                <w:lang w:val="en-GB"/>
              </w:rPr>
              <w:t>re</w:t>
            </w:r>
            <w:r w:rsidRPr="00DD5FE4">
              <w:rPr>
                <w:rFonts w:ascii="Times New Roman" w:hAnsi="Times New Roman" w:cs="Times New Roman"/>
                <w:sz w:val="20"/>
                <w:szCs w:val="20"/>
                <w:lang w:val="en-GB"/>
              </w:rPr>
              <w:t xml:space="preserve"> acute sedation is needed, anxiolytics (N05B) </w:t>
            </w:r>
            <w:r w:rsidR="008670BF" w:rsidRPr="00DD5FE4">
              <w:rPr>
                <w:rFonts w:ascii="Times New Roman" w:hAnsi="Times New Roman" w:cs="Times New Roman"/>
                <w:sz w:val="20"/>
                <w:szCs w:val="20"/>
                <w:lang w:val="en-GB"/>
              </w:rPr>
              <w:t xml:space="preserve">may </w:t>
            </w:r>
            <w:r w:rsidRPr="00DD5FE4">
              <w:rPr>
                <w:rFonts w:ascii="Times New Roman" w:hAnsi="Times New Roman" w:cs="Times New Roman"/>
                <w:sz w:val="20"/>
                <w:szCs w:val="20"/>
                <w:lang w:val="en-GB"/>
              </w:rPr>
              <w:t xml:space="preserve">be tested </w:t>
            </w:r>
            <w:r w:rsidR="008670BF" w:rsidRPr="00DD5FE4">
              <w:rPr>
                <w:rFonts w:ascii="Times New Roman" w:hAnsi="Times New Roman" w:cs="Times New Roman"/>
                <w:sz w:val="20"/>
                <w:szCs w:val="20"/>
                <w:lang w:val="en-GB"/>
              </w:rPr>
              <w:t xml:space="preserve">for </w:t>
            </w:r>
            <w:r w:rsidRPr="00DD5FE4">
              <w:rPr>
                <w:rFonts w:ascii="Times New Roman" w:hAnsi="Times New Roman" w:cs="Times New Roman"/>
                <w:sz w:val="20"/>
                <w:szCs w:val="20"/>
                <w:lang w:val="en-GB"/>
              </w:rPr>
              <w:t>a short period and with adequate supervision.</w:t>
            </w:r>
          </w:p>
          <w:p w14:paraId="4D29D1FD" w14:textId="21605D42" w:rsidR="00372F31" w:rsidRPr="00DD5FE4" w:rsidRDefault="00372F31" w:rsidP="008670B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DD5FE4">
              <w:rPr>
                <w:rFonts w:ascii="Times New Roman" w:hAnsi="Times New Roman" w:cs="Times New Roman"/>
                <w:sz w:val="20"/>
                <w:szCs w:val="20"/>
                <w:lang w:val="en-GB"/>
              </w:rPr>
              <w:t xml:space="preserve">- </w:t>
            </w:r>
            <w:r w:rsidR="008670BF" w:rsidRPr="00DD5FE4">
              <w:rPr>
                <w:rFonts w:ascii="Times New Roman" w:hAnsi="Times New Roman" w:cs="Times New Roman"/>
                <w:sz w:val="20"/>
                <w:szCs w:val="20"/>
                <w:lang w:val="en-GB"/>
              </w:rPr>
              <w:t>Where</w:t>
            </w:r>
            <w:r w:rsidRPr="00DD5FE4">
              <w:rPr>
                <w:rFonts w:ascii="Times New Roman" w:hAnsi="Times New Roman" w:cs="Times New Roman"/>
                <w:sz w:val="20"/>
                <w:szCs w:val="20"/>
                <w:lang w:val="en-GB"/>
              </w:rPr>
              <w:t xml:space="preserve"> antipsychotics or anxiolytics are prescribed</w:t>
            </w:r>
            <w:r w:rsidR="008670BF" w:rsidRPr="00DD5FE4">
              <w:rPr>
                <w:rFonts w:ascii="Times New Roman" w:hAnsi="Times New Roman" w:cs="Times New Roman"/>
                <w:sz w:val="20"/>
                <w:szCs w:val="20"/>
                <w:lang w:val="en-GB"/>
              </w:rPr>
              <w:t>, this</w:t>
            </w:r>
            <w:r w:rsidRPr="00DD5FE4">
              <w:rPr>
                <w:rFonts w:ascii="Times New Roman" w:hAnsi="Times New Roman" w:cs="Times New Roman"/>
                <w:sz w:val="20"/>
                <w:szCs w:val="20"/>
                <w:lang w:val="en-GB"/>
              </w:rPr>
              <w:t xml:space="preserve"> should be for a short </w:t>
            </w:r>
            <w:r w:rsidR="008670BF" w:rsidRPr="00DD5FE4">
              <w:rPr>
                <w:rFonts w:ascii="Times New Roman" w:hAnsi="Times New Roman" w:cs="Times New Roman"/>
                <w:sz w:val="20"/>
                <w:szCs w:val="20"/>
                <w:lang w:val="en-GB"/>
              </w:rPr>
              <w:t>period</w:t>
            </w:r>
            <w:r w:rsidRPr="00DD5FE4">
              <w:rPr>
                <w:rFonts w:ascii="Times New Roman" w:hAnsi="Times New Roman" w:cs="Times New Roman"/>
                <w:sz w:val="20"/>
                <w:szCs w:val="20"/>
                <w:lang w:val="en-GB"/>
              </w:rPr>
              <w:t>, with evaluation of effect</w:t>
            </w:r>
            <w:r w:rsidR="008670BF" w:rsidRPr="00DD5FE4">
              <w:rPr>
                <w:rFonts w:ascii="Times New Roman" w:hAnsi="Times New Roman" w:cs="Times New Roman"/>
                <w:sz w:val="20"/>
                <w:szCs w:val="20"/>
                <w:lang w:val="en-GB"/>
              </w:rPr>
              <w:t>s</w:t>
            </w:r>
            <w:r w:rsidRPr="00DD5FE4">
              <w:rPr>
                <w:rFonts w:ascii="Times New Roman" w:hAnsi="Times New Roman" w:cs="Times New Roman"/>
                <w:sz w:val="20"/>
                <w:szCs w:val="20"/>
                <w:lang w:val="en-GB"/>
              </w:rPr>
              <w:t xml:space="preserve"> and side effects within 2 weeks. </w:t>
            </w:r>
            <w:r w:rsidR="008670BF" w:rsidRPr="00DD5FE4">
              <w:rPr>
                <w:rFonts w:ascii="Times New Roman" w:hAnsi="Times New Roman" w:cs="Times New Roman"/>
                <w:sz w:val="20"/>
                <w:szCs w:val="20"/>
                <w:lang w:val="en-GB"/>
              </w:rPr>
              <w:t>Treatment cessation and/</w:t>
            </w:r>
            <w:r w:rsidRPr="00DD5FE4">
              <w:rPr>
                <w:rFonts w:ascii="Times New Roman" w:hAnsi="Times New Roman" w:cs="Times New Roman"/>
                <w:sz w:val="20"/>
                <w:szCs w:val="20"/>
                <w:lang w:val="en-GB"/>
              </w:rPr>
              <w:t xml:space="preserve">or </w:t>
            </w:r>
            <w:r w:rsidR="008670BF" w:rsidRPr="00DD5FE4">
              <w:rPr>
                <w:rFonts w:ascii="Times New Roman" w:hAnsi="Times New Roman" w:cs="Times New Roman"/>
                <w:sz w:val="20"/>
                <w:szCs w:val="20"/>
                <w:lang w:val="en-GB"/>
              </w:rPr>
              <w:t xml:space="preserve">a </w:t>
            </w:r>
            <w:r w:rsidRPr="00DD5FE4">
              <w:rPr>
                <w:rFonts w:ascii="Times New Roman" w:hAnsi="Times New Roman" w:cs="Times New Roman"/>
                <w:sz w:val="20"/>
                <w:szCs w:val="20"/>
                <w:lang w:val="en-GB"/>
              </w:rPr>
              <w:t xml:space="preserve">decrease </w:t>
            </w:r>
            <w:r w:rsidR="008670BF" w:rsidRPr="00DD5FE4">
              <w:rPr>
                <w:rFonts w:ascii="Times New Roman" w:hAnsi="Times New Roman" w:cs="Times New Roman"/>
                <w:sz w:val="20"/>
                <w:szCs w:val="20"/>
                <w:lang w:val="en-GB"/>
              </w:rPr>
              <w:t xml:space="preserve">in </w:t>
            </w:r>
            <w:r w:rsidRPr="00DD5FE4">
              <w:rPr>
                <w:rFonts w:ascii="Times New Roman" w:hAnsi="Times New Roman" w:cs="Times New Roman"/>
                <w:sz w:val="20"/>
                <w:szCs w:val="20"/>
                <w:lang w:val="en-GB"/>
              </w:rPr>
              <w:t xml:space="preserve">dosage </w:t>
            </w:r>
            <w:r w:rsidR="008670BF" w:rsidRPr="00DD5FE4">
              <w:rPr>
                <w:rFonts w:ascii="Times New Roman" w:hAnsi="Times New Roman" w:cs="Times New Roman"/>
                <w:sz w:val="20"/>
                <w:szCs w:val="20"/>
                <w:lang w:val="en-GB"/>
              </w:rPr>
              <w:t xml:space="preserve">should be considered </w:t>
            </w:r>
            <w:r w:rsidRPr="00DD5FE4">
              <w:rPr>
                <w:rFonts w:ascii="Times New Roman" w:hAnsi="Times New Roman" w:cs="Times New Roman"/>
                <w:sz w:val="20"/>
                <w:szCs w:val="20"/>
                <w:lang w:val="en-GB"/>
              </w:rPr>
              <w:t>regularly.</w:t>
            </w:r>
          </w:p>
        </w:tc>
      </w:tr>
      <w:tr w:rsidR="00372F31" w:rsidRPr="00F705B9" w14:paraId="59F231E1" w14:textId="77777777" w:rsidTr="00E87C6E">
        <w:tc>
          <w:tcPr>
            <w:cnfStyle w:val="001000000000" w:firstRow="0" w:lastRow="0" w:firstColumn="1" w:lastColumn="0" w:oddVBand="0" w:evenVBand="0" w:oddHBand="0" w:evenHBand="0" w:firstRowFirstColumn="0" w:firstRowLastColumn="0" w:lastRowFirstColumn="0" w:lastRowLastColumn="0"/>
            <w:tcW w:w="680" w:type="dxa"/>
            <w:tcBorders>
              <w:left w:val="single" w:sz="4" w:space="0" w:color="auto"/>
            </w:tcBorders>
            <w:shd w:val="clear" w:color="auto" w:fill="auto"/>
          </w:tcPr>
          <w:p w14:paraId="76399E7A" w14:textId="77777777" w:rsidR="007742C1" w:rsidRDefault="00D239D5" w:rsidP="002B64EC">
            <w:pPr>
              <w:rPr>
                <w:rFonts w:ascii="Times New Roman" w:hAnsi="Times New Roman" w:cs="Times New Roman"/>
                <w:color w:val="auto"/>
                <w:sz w:val="20"/>
                <w:szCs w:val="20"/>
                <w:lang w:val="en-GB"/>
              </w:rPr>
            </w:pPr>
            <w:r w:rsidRPr="00473AC9">
              <w:rPr>
                <w:rFonts w:ascii="Times New Roman" w:hAnsi="Times New Roman" w:cs="Times New Roman"/>
                <w:color w:val="auto"/>
                <w:sz w:val="20"/>
                <w:szCs w:val="20"/>
                <w:lang w:val="en-GB"/>
              </w:rPr>
              <w:lastRenderedPageBreak/>
              <w:t>4</w:t>
            </w:r>
          </w:p>
          <w:p w14:paraId="6A88FD97" w14:textId="58140894" w:rsidR="00AC239D" w:rsidRPr="00473AC9" w:rsidRDefault="00AC239D" w:rsidP="002B64EC">
            <w:pPr>
              <w:rPr>
                <w:rFonts w:ascii="Times New Roman" w:hAnsi="Times New Roman" w:cs="Times New Roman"/>
                <w:color w:val="auto"/>
                <w:sz w:val="20"/>
                <w:szCs w:val="20"/>
                <w:lang w:val="en-GB"/>
              </w:rPr>
            </w:pPr>
            <w:r>
              <w:rPr>
                <w:rFonts w:ascii="Times New Roman" w:hAnsi="Times New Roman"/>
                <w:b w:val="0"/>
                <w:color w:val="auto"/>
                <w:sz w:val="20"/>
                <w:szCs w:val="20"/>
                <w:lang w:val="en-GB"/>
              </w:rPr>
              <w:t>[38</w:t>
            </w:r>
            <w:r w:rsidRPr="00B7743A">
              <w:rPr>
                <w:rFonts w:ascii="Times New Roman" w:hAnsi="Times New Roman"/>
                <w:b w:val="0"/>
                <w:color w:val="auto"/>
                <w:sz w:val="20"/>
                <w:szCs w:val="20"/>
                <w:lang w:val="en-GB"/>
              </w:rPr>
              <w:t>]</w:t>
            </w:r>
          </w:p>
        </w:tc>
        <w:tc>
          <w:tcPr>
            <w:tcW w:w="993" w:type="dxa"/>
            <w:shd w:val="clear" w:color="auto" w:fill="auto"/>
          </w:tcPr>
          <w:p w14:paraId="24758351" w14:textId="77777777" w:rsidR="007742C1" w:rsidRPr="00DD5FE4" w:rsidRDefault="007742C1" w:rsidP="002B64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DD5FE4">
              <w:rPr>
                <w:rFonts w:ascii="Times New Roman" w:hAnsi="Times New Roman" w:cs="Times New Roman"/>
                <w:sz w:val="20"/>
                <w:szCs w:val="20"/>
                <w:lang w:val="en-GB"/>
              </w:rPr>
              <w:t>The National Board of Health and Welfare, 2010</w:t>
            </w:r>
          </w:p>
          <w:p w14:paraId="4B3B7EC3" w14:textId="77777777" w:rsidR="00E821B5" w:rsidRPr="00DD5FE4" w:rsidRDefault="00E821B5" w:rsidP="002B64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
          <w:p w14:paraId="447ACB7E" w14:textId="77777777" w:rsidR="00E821B5" w:rsidRPr="00DD5FE4" w:rsidRDefault="00E821B5" w:rsidP="002B64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
          <w:p w14:paraId="35DD73A5" w14:textId="77777777" w:rsidR="00E821B5" w:rsidRPr="00DD5FE4" w:rsidRDefault="00E821B5" w:rsidP="002B64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
          <w:p w14:paraId="0BAA56BD" w14:textId="77777777" w:rsidR="00E821B5" w:rsidRPr="00DD5FE4" w:rsidRDefault="00E821B5" w:rsidP="002B64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
          <w:p w14:paraId="20CE4350" w14:textId="77777777" w:rsidR="00E821B5" w:rsidRPr="00DD5FE4" w:rsidRDefault="00E821B5" w:rsidP="002B64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
          <w:p w14:paraId="23F925D0" w14:textId="77777777" w:rsidR="00E821B5" w:rsidRPr="00DD5FE4" w:rsidRDefault="00E821B5" w:rsidP="002B64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
          <w:p w14:paraId="282C568F" w14:textId="77777777" w:rsidR="00E821B5" w:rsidRPr="00DD5FE4" w:rsidRDefault="00E821B5" w:rsidP="002B64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
          <w:p w14:paraId="4801760E" w14:textId="77777777" w:rsidR="00E821B5" w:rsidRPr="00DD5FE4" w:rsidRDefault="00E821B5" w:rsidP="002B64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
          <w:p w14:paraId="7B1AC336" w14:textId="77777777" w:rsidR="00E821B5" w:rsidRPr="00DD5FE4" w:rsidRDefault="00E821B5" w:rsidP="002B64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
          <w:p w14:paraId="4CBFDD70" w14:textId="77777777" w:rsidR="00E821B5" w:rsidRPr="00DD5FE4" w:rsidRDefault="00E821B5" w:rsidP="002B64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
        </w:tc>
        <w:tc>
          <w:tcPr>
            <w:tcW w:w="1701" w:type="dxa"/>
            <w:gridSpan w:val="2"/>
            <w:shd w:val="clear" w:color="auto" w:fill="auto"/>
          </w:tcPr>
          <w:p w14:paraId="779EDE09" w14:textId="77777777" w:rsidR="007742C1" w:rsidRPr="00DD5FE4" w:rsidRDefault="007742C1" w:rsidP="002B64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1325CE">
              <w:rPr>
                <w:rFonts w:ascii="Times New Roman" w:hAnsi="Times New Roman" w:cs="Times New Roman"/>
                <w:sz w:val="20"/>
                <w:szCs w:val="20"/>
              </w:rPr>
              <w:t>Indikatorer för god läkemedelsterapi hos äldre</w:t>
            </w:r>
            <w:r w:rsidR="008670BF" w:rsidRPr="001325CE">
              <w:rPr>
                <w:rFonts w:ascii="Times New Roman" w:hAnsi="Times New Roman" w:cs="Times New Roman"/>
                <w:sz w:val="20"/>
                <w:szCs w:val="20"/>
              </w:rPr>
              <w:t>.</w:t>
            </w:r>
            <w:r w:rsidRPr="001325CE">
              <w:rPr>
                <w:rFonts w:ascii="Times New Roman" w:hAnsi="Times New Roman" w:cs="Times New Roman"/>
                <w:sz w:val="20"/>
                <w:szCs w:val="20"/>
              </w:rPr>
              <w:t xml:space="preserve"> </w:t>
            </w:r>
            <w:r w:rsidRPr="00DD5FE4">
              <w:rPr>
                <w:rFonts w:ascii="Times New Roman" w:hAnsi="Times New Roman" w:cs="Times New Roman"/>
                <w:sz w:val="20"/>
                <w:szCs w:val="20"/>
                <w:lang w:val="en-GB"/>
              </w:rPr>
              <w:t>(Indicators for good medication among older people</w:t>
            </w:r>
            <w:r w:rsidR="008670BF" w:rsidRPr="00DD5FE4">
              <w:rPr>
                <w:rFonts w:ascii="Times New Roman" w:hAnsi="Times New Roman" w:cs="Times New Roman"/>
                <w:sz w:val="20"/>
                <w:szCs w:val="20"/>
                <w:lang w:val="en-GB"/>
              </w:rPr>
              <w:t>.</w:t>
            </w:r>
            <w:r w:rsidRPr="00DD5FE4">
              <w:rPr>
                <w:rFonts w:ascii="Times New Roman" w:hAnsi="Times New Roman" w:cs="Times New Roman"/>
                <w:sz w:val="20"/>
                <w:szCs w:val="20"/>
                <w:lang w:val="en-GB"/>
              </w:rPr>
              <w:t>)</w:t>
            </w:r>
          </w:p>
        </w:tc>
        <w:tc>
          <w:tcPr>
            <w:tcW w:w="1842" w:type="dxa"/>
            <w:shd w:val="clear" w:color="auto" w:fill="auto"/>
          </w:tcPr>
          <w:p w14:paraId="24B902FF" w14:textId="7AF72C67" w:rsidR="007742C1" w:rsidRPr="00DD5FE4" w:rsidRDefault="007742C1" w:rsidP="008670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DD5FE4">
              <w:rPr>
                <w:rFonts w:ascii="Times New Roman" w:hAnsi="Times New Roman" w:cs="Times New Roman"/>
                <w:sz w:val="20"/>
                <w:szCs w:val="20"/>
                <w:lang w:val="en-GB"/>
              </w:rPr>
              <w:t>To update and develop indicators (previous</w:t>
            </w:r>
            <w:r w:rsidR="008670BF" w:rsidRPr="00DD5FE4">
              <w:rPr>
                <w:rFonts w:ascii="Times New Roman" w:hAnsi="Times New Roman" w:cs="Times New Roman"/>
                <w:sz w:val="20"/>
                <w:szCs w:val="20"/>
                <w:lang w:val="en-GB"/>
              </w:rPr>
              <w:t>ly</w:t>
            </w:r>
            <w:r w:rsidRPr="00DD5FE4">
              <w:rPr>
                <w:rFonts w:ascii="Times New Roman" w:hAnsi="Times New Roman" w:cs="Times New Roman"/>
                <w:sz w:val="20"/>
                <w:szCs w:val="20"/>
                <w:lang w:val="en-GB"/>
              </w:rPr>
              <w:t xml:space="preserve"> suggested </w:t>
            </w:r>
            <w:r w:rsidR="008670BF" w:rsidRPr="00DD5FE4">
              <w:rPr>
                <w:rFonts w:ascii="Times New Roman" w:hAnsi="Times New Roman" w:cs="Times New Roman"/>
                <w:sz w:val="20"/>
                <w:szCs w:val="20"/>
                <w:lang w:val="en-GB"/>
              </w:rPr>
              <w:t xml:space="preserve">by the </w:t>
            </w:r>
            <w:r w:rsidRPr="00DD5FE4">
              <w:rPr>
                <w:rFonts w:ascii="Times New Roman" w:hAnsi="Times New Roman" w:cs="Times New Roman"/>
                <w:sz w:val="20"/>
                <w:szCs w:val="20"/>
                <w:lang w:val="en-GB"/>
              </w:rPr>
              <w:t>NBHW) for measuring and following quality in older people</w:t>
            </w:r>
            <w:r w:rsidR="008670BF" w:rsidRPr="00DD5FE4">
              <w:rPr>
                <w:rFonts w:ascii="Times New Roman" w:hAnsi="Times New Roman" w:cs="Times New Roman"/>
                <w:sz w:val="20"/>
                <w:szCs w:val="20"/>
                <w:lang w:val="en-GB"/>
              </w:rPr>
              <w:t>’</w:t>
            </w:r>
            <w:r w:rsidRPr="00DD5FE4">
              <w:rPr>
                <w:rFonts w:ascii="Times New Roman" w:hAnsi="Times New Roman" w:cs="Times New Roman"/>
                <w:sz w:val="20"/>
                <w:szCs w:val="20"/>
                <w:lang w:val="en-GB"/>
              </w:rPr>
              <w:t xml:space="preserve">s medication. </w:t>
            </w:r>
          </w:p>
        </w:tc>
        <w:tc>
          <w:tcPr>
            <w:tcW w:w="1843" w:type="dxa"/>
            <w:shd w:val="clear" w:color="auto" w:fill="auto"/>
          </w:tcPr>
          <w:p w14:paraId="68B4B0B3" w14:textId="1DFF03BD" w:rsidR="007742C1" w:rsidRPr="00DD5FE4" w:rsidRDefault="007742C1" w:rsidP="00C55B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DD5FE4">
              <w:rPr>
                <w:rFonts w:ascii="Times New Roman" w:hAnsi="Times New Roman" w:cs="Times New Roman"/>
                <w:sz w:val="20"/>
                <w:szCs w:val="20"/>
                <w:lang w:val="en-GB"/>
              </w:rPr>
              <w:t xml:space="preserve">A workgroup within </w:t>
            </w:r>
            <w:r w:rsidR="008670BF" w:rsidRPr="00DD5FE4">
              <w:rPr>
                <w:rFonts w:ascii="Times New Roman" w:hAnsi="Times New Roman" w:cs="Times New Roman"/>
                <w:sz w:val="20"/>
                <w:szCs w:val="20"/>
                <w:lang w:val="en-GB"/>
              </w:rPr>
              <w:t xml:space="preserve">the </w:t>
            </w:r>
            <w:r w:rsidRPr="00DD5FE4">
              <w:rPr>
                <w:rFonts w:ascii="Times New Roman" w:hAnsi="Times New Roman" w:cs="Times New Roman"/>
                <w:sz w:val="20"/>
                <w:szCs w:val="20"/>
                <w:lang w:val="en-GB"/>
              </w:rPr>
              <w:t xml:space="preserve">NBHW made a </w:t>
            </w:r>
            <w:r w:rsidR="008670BF" w:rsidRPr="00DD5FE4">
              <w:rPr>
                <w:rFonts w:ascii="Times New Roman" w:hAnsi="Times New Roman" w:cs="Times New Roman"/>
                <w:sz w:val="20"/>
                <w:szCs w:val="20"/>
                <w:lang w:val="en-GB"/>
              </w:rPr>
              <w:t xml:space="preserve">recommendation </w:t>
            </w:r>
            <w:r w:rsidRPr="00DD5FE4">
              <w:rPr>
                <w:rFonts w:ascii="Times New Roman" w:hAnsi="Times New Roman" w:cs="Times New Roman"/>
                <w:sz w:val="20"/>
                <w:szCs w:val="20"/>
                <w:lang w:val="en-GB"/>
              </w:rPr>
              <w:t xml:space="preserve">on quality indicators for utilization of medication, assessed by an expert group and sent </w:t>
            </w:r>
            <w:r w:rsidR="00C55B20" w:rsidRPr="00DD5FE4">
              <w:rPr>
                <w:rFonts w:ascii="Times New Roman" w:hAnsi="Times New Roman" w:cs="Times New Roman"/>
                <w:sz w:val="20"/>
                <w:szCs w:val="20"/>
                <w:lang w:val="en-GB"/>
              </w:rPr>
              <w:t>for review and</w:t>
            </w:r>
            <w:r w:rsidRPr="00DD5FE4">
              <w:rPr>
                <w:rFonts w:ascii="Times New Roman" w:hAnsi="Times New Roman" w:cs="Times New Roman"/>
                <w:sz w:val="20"/>
                <w:szCs w:val="20"/>
                <w:lang w:val="en-GB"/>
              </w:rPr>
              <w:t xml:space="preserve"> consideration. This is a revision of the first version.</w:t>
            </w:r>
          </w:p>
        </w:tc>
        <w:tc>
          <w:tcPr>
            <w:tcW w:w="8505" w:type="dxa"/>
            <w:tcBorders>
              <w:right w:val="single" w:sz="4" w:space="0" w:color="auto"/>
            </w:tcBorders>
            <w:shd w:val="clear" w:color="auto" w:fill="auto"/>
          </w:tcPr>
          <w:p w14:paraId="76EBA87A" w14:textId="77777777" w:rsidR="00F37DB9" w:rsidRPr="00DD5FE4" w:rsidRDefault="00F37DB9" w:rsidP="002B64E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DD5FE4">
              <w:rPr>
                <w:rFonts w:ascii="Times New Roman" w:hAnsi="Times New Roman" w:cs="Times New Roman"/>
                <w:sz w:val="20"/>
                <w:szCs w:val="20"/>
                <w:lang w:val="en-GB"/>
              </w:rPr>
              <w:t>Recommendations included the following:</w:t>
            </w:r>
          </w:p>
          <w:p w14:paraId="49AB4E46" w14:textId="400935C4" w:rsidR="007742C1" w:rsidRPr="00DD5FE4" w:rsidRDefault="007742C1" w:rsidP="002B64E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DD5FE4">
              <w:rPr>
                <w:rFonts w:ascii="Times New Roman" w:hAnsi="Times New Roman" w:cs="Times New Roman"/>
                <w:sz w:val="20"/>
                <w:szCs w:val="20"/>
                <w:lang w:val="en-GB"/>
              </w:rPr>
              <w:t xml:space="preserve">Quality indicators for medication may be applied: as support in </w:t>
            </w:r>
            <w:r w:rsidR="00FB472C" w:rsidRPr="00DD5FE4">
              <w:rPr>
                <w:rFonts w:ascii="Times New Roman" w:hAnsi="Times New Roman" w:cs="Times New Roman"/>
                <w:sz w:val="20"/>
                <w:szCs w:val="20"/>
                <w:lang w:val="en-GB"/>
              </w:rPr>
              <w:t>pr</w:t>
            </w:r>
            <w:r w:rsidRPr="00DD5FE4">
              <w:rPr>
                <w:rFonts w:ascii="Times New Roman" w:hAnsi="Times New Roman" w:cs="Times New Roman"/>
                <w:sz w:val="20"/>
                <w:szCs w:val="20"/>
                <w:lang w:val="en-GB"/>
              </w:rPr>
              <w:t>escri</w:t>
            </w:r>
            <w:r w:rsidR="00FB472C" w:rsidRPr="00DD5FE4">
              <w:rPr>
                <w:rFonts w:ascii="Times New Roman" w:hAnsi="Times New Roman" w:cs="Times New Roman"/>
                <w:sz w:val="20"/>
                <w:szCs w:val="20"/>
                <w:lang w:val="en-GB"/>
              </w:rPr>
              <w:t>bing</w:t>
            </w:r>
            <w:r w:rsidRPr="00DD5FE4">
              <w:rPr>
                <w:rFonts w:ascii="Times New Roman" w:hAnsi="Times New Roman" w:cs="Times New Roman"/>
                <w:sz w:val="20"/>
                <w:szCs w:val="20"/>
                <w:lang w:val="en-GB"/>
              </w:rPr>
              <w:t xml:space="preserve"> medication to older people, in follow</w:t>
            </w:r>
            <w:r w:rsidR="00FB472C" w:rsidRPr="00DD5FE4">
              <w:rPr>
                <w:rFonts w:ascii="Times New Roman" w:hAnsi="Times New Roman" w:cs="Times New Roman"/>
                <w:sz w:val="20"/>
                <w:szCs w:val="20"/>
                <w:lang w:val="en-GB"/>
              </w:rPr>
              <w:t>-</w:t>
            </w:r>
            <w:r w:rsidRPr="00DD5FE4">
              <w:rPr>
                <w:rFonts w:ascii="Times New Roman" w:hAnsi="Times New Roman" w:cs="Times New Roman"/>
                <w:sz w:val="20"/>
                <w:szCs w:val="20"/>
                <w:lang w:val="en-GB"/>
              </w:rPr>
              <w:t xml:space="preserve">ups and interventions </w:t>
            </w:r>
            <w:r w:rsidR="00856ED9" w:rsidRPr="00DD5FE4">
              <w:rPr>
                <w:rFonts w:ascii="Times New Roman" w:hAnsi="Times New Roman" w:cs="Times New Roman"/>
                <w:sz w:val="20"/>
                <w:szCs w:val="20"/>
                <w:lang w:val="en-GB"/>
              </w:rPr>
              <w:t>(medication</w:t>
            </w:r>
            <w:r w:rsidR="007851CC">
              <w:rPr>
                <w:rFonts w:ascii="Times New Roman" w:hAnsi="Times New Roman" w:cs="Times New Roman"/>
                <w:sz w:val="20"/>
                <w:szCs w:val="20"/>
                <w:lang w:val="en-GB"/>
              </w:rPr>
              <w:t xml:space="preserve"> review</w:t>
            </w:r>
            <w:r w:rsidRPr="00DD5FE4">
              <w:rPr>
                <w:rFonts w:ascii="Times New Roman" w:hAnsi="Times New Roman" w:cs="Times New Roman"/>
                <w:sz w:val="20"/>
                <w:szCs w:val="20"/>
                <w:lang w:val="en-GB"/>
              </w:rPr>
              <w:t>), in follow</w:t>
            </w:r>
            <w:r w:rsidR="00FB472C" w:rsidRPr="00DD5FE4">
              <w:rPr>
                <w:rFonts w:ascii="Times New Roman" w:hAnsi="Times New Roman" w:cs="Times New Roman"/>
                <w:sz w:val="20"/>
                <w:szCs w:val="20"/>
                <w:lang w:val="en-GB"/>
              </w:rPr>
              <w:t>-</w:t>
            </w:r>
            <w:r w:rsidRPr="00DD5FE4">
              <w:rPr>
                <w:rFonts w:ascii="Times New Roman" w:hAnsi="Times New Roman" w:cs="Times New Roman"/>
                <w:sz w:val="20"/>
                <w:szCs w:val="20"/>
                <w:lang w:val="en-GB"/>
              </w:rPr>
              <w:t>up of pattern</w:t>
            </w:r>
            <w:r w:rsidR="00FB472C" w:rsidRPr="00DD5FE4">
              <w:rPr>
                <w:rFonts w:ascii="Times New Roman" w:hAnsi="Times New Roman" w:cs="Times New Roman"/>
                <w:sz w:val="20"/>
                <w:szCs w:val="20"/>
                <w:lang w:val="en-GB"/>
              </w:rPr>
              <w:t>s</w:t>
            </w:r>
            <w:r w:rsidRPr="00DD5FE4">
              <w:rPr>
                <w:rFonts w:ascii="Times New Roman" w:hAnsi="Times New Roman" w:cs="Times New Roman"/>
                <w:sz w:val="20"/>
                <w:szCs w:val="20"/>
                <w:lang w:val="en-GB"/>
              </w:rPr>
              <w:t xml:space="preserve"> in </w:t>
            </w:r>
            <w:r w:rsidR="007851CC">
              <w:rPr>
                <w:rFonts w:ascii="Times New Roman" w:hAnsi="Times New Roman" w:cs="Times New Roman"/>
                <w:sz w:val="20"/>
                <w:szCs w:val="20"/>
                <w:lang w:val="en-GB"/>
              </w:rPr>
              <w:t>prescribing</w:t>
            </w:r>
            <w:r w:rsidRPr="00DD5FE4">
              <w:rPr>
                <w:rFonts w:ascii="Times New Roman" w:hAnsi="Times New Roman" w:cs="Times New Roman"/>
                <w:sz w:val="20"/>
                <w:szCs w:val="20"/>
                <w:lang w:val="en-GB"/>
              </w:rPr>
              <w:t xml:space="preserve"> of medication, in national follow</w:t>
            </w:r>
            <w:r w:rsidR="00FB472C" w:rsidRPr="00DD5FE4">
              <w:rPr>
                <w:rFonts w:ascii="Times New Roman" w:hAnsi="Times New Roman" w:cs="Times New Roman"/>
                <w:sz w:val="20"/>
                <w:szCs w:val="20"/>
                <w:lang w:val="en-GB"/>
              </w:rPr>
              <w:t>-</w:t>
            </w:r>
            <w:r w:rsidRPr="00DD5FE4">
              <w:rPr>
                <w:rFonts w:ascii="Times New Roman" w:hAnsi="Times New Roman" w:cs="Times New Roman"/>
                <w:sz w:val="20"/>
                <w:szCs w:val="20"/>
                <w:lang w:val="en-GB"/>
              </w:rPr>
              <w:t xml:space="preserve">ups and epidemiological studies.        </w:t>
            </w:r>
          </w:p>
          <w:p w14:paraId="4BE6BA4E" w14:textId="715A749C" w:rsidR="007742C1" w:rsidRPr="00DD5FE4" w:rsidRDefault="007742C1" w:rsidP="002B64E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DD5FE4">
              <w:rPr>
                <w:rFonts w:ascii="Times New Roman" w:hAnsi="Times New Roman" w:cs="Times New Roman"/>
                <w:sz w:val="20"/>
                <w:szCs w:val="20"/>
                <w:lang w:val="en-GB"/>
              </w:rPr>
              <w:t>Indicators are divided in</w:t>
            </w:r>
            <w:r w:rsidR="00FB472C" w:rsidRPr="00DD5FE4">
              <w:rPr>
                <w:rFonts w:ascii="Times New Roman" w:hAnsi="Times New Roman" w:cs="Times New Roman"/>
                <w:sz w:val="20"/>
                <w:szCs w:val="20"/>
                <w:lang w:val="en-GB"/>
              </w:rPr>
              <w:t>to</w:t>
            </w:r>
            <w:r w:rsidRPr="00DD5FE4">
              <w:rPr>
                <w:rFonts w:ascii="Times New Roman" w:hAnsi="Times New Roman" w:cs="Times New Roman"/>
                <w:sz w:val="20"/>
                <w:szCs w:val="20"/>
                <w:lang w:val="en-GB"/>
              </w:rPr>
              <w:t xml:space="preserve"> medication</w:t>
            </w:r>
            <w:r w:rsidR="00FB472C" w:rsidRPr="00DD5FE4">
              <w:rPr>
                <w:rFonts w:ascii="Times New Roman" w:hAnsi="Times New Roman" w:cs="Times New Roman"/>
                <w:sz w:val="20"/>
                <w:szCs w:val="20"/>
                <w:lang w:val="en-GB"/>
              </w:rPr>
              <w:t>-</w:t>
            </w:r>
            <w:r w:rsidRPr="00DD5FE4">
              <w:rPr>
                <w:rFonts w:ascii="Times New Roman" w:hAnsi="Times New Roman" w:cs="Times New Roman"/>
                <w:sz w:val="20"/>
                <w:szCs w:val="20"/>
                <w:lang w:val="en-GB"/>
              </w:rPr>
              <w:t>specific and diagnos</w:t>
            </w:r>
            <w:r w:rsidR="00FB472C" w:rsidRPr="00DD5FE4">
              <w:rPr>
                <w:rFonts w:ascii="Times New Roman" w:hAnsi="Times New Roman" w:cs="Times New Roman"/>
                <w:sz w:val="20"/>
                <w:szCs w:val="20"/>
                <w:lang w:val="en-GB"/>
              </w:rPr>
              <w:t>is-</w:t>
            </w:r>
            <w:r w:rsidRPr="00DD5FE4">
              <w:rPr>
                <w:rFonts w:ascii="Times New Roman" w:hAnsi="Times New Roman" w:cs="Times New Roman"/>
                <w:sz w:val="20"/>
                <w:szCs w:val="20"/>
                <w:lang w:val="en-GB"/>
              </w:rPr>
              <w:t xml:space="preserve">specific. </w:t>
            </w:r>
            <w:r w:rsidR="00C55B20" w:rsidRPr="00DD5FE4">
              <w:rPr>
                <w:rFonts w:ascii="Times New Roman" w:hAnsi="Times New Roman" w:cs="Times New Roman"/>
                <w:sz w:val="20"/>
                <w:szCs w:val="20"/>
                <w:lang w:val="en-GB"/>
              </w:rPr>
              <w:t>I</w:t>
            </w:r>
            <w:r w:rsidRPr="00DD5FE4">
              <w:rPr>
                <w:rFonts w:ascii="Times New Roman" w:hAnsi="Times New Roman" w:cs="Times New Roman"/>
                <w:sz w:val="20"/>
                <w:szCs w:val="20"/>
                <w:lang w:val="en-GB"/>
              </w:rPr>
              <w:t>ndicators reflect utilization in a group</w:t>
            </w:r>
            <w:r w:rsidR="00C55B20" w:rsidRPr="00DD5FE4">
              <w:rPr>
                <w:rFonts w:ascii="Times New Roman" w:hAnsi="Times New Roman" w:cs="Times New Roman"/>
                <w:sz w:val="20"/>
                <w:szCs w:val="20"/>
                <w:lang w:val="en-GB"/>
              </w:rPr>
              <w:t>,</w:t>
            </w:r>
            <w:r w:rsidRPr="00DD5FE4">
              <w:rPr>
                <w:rFonts w:ascii="Times New Roman" w:hAnsi="Times New Roman" w:cs="Times New Roman"/>
                <w:sz w:val="20"/>
                <w:szCs w:val="20"/>
                <w:lang w:val="en-GB"/>
              </w:rPr>
              <w:t xml:space="preserve"> </w:t>
            </w:r>
            <w:r w:rsidR="00FB472C" w:rsidRPr="00DD5FE4">
              <w:rPr>
                <w:rFonts w:ascii="Times New Roman" w:hAnsi="Times New Roman" w:cs="Times New Roman"/>
                <w:sz w:val="20"/>
                <w:szCs w:val="20"/>
                <w:lang w:val="en-GB"/>
              </w:rPr>
              <w:t>rather than</w:t>
            </w:r>
            <w:r w:rsidRPr="00DD5FE4">
              <w:rPr>
                <w:rFonts w:ascii="Times New Roman" w:hAnsi="Times New Roman" w:cs="Times New Roman"/>
                <w:sz w:val="20"/>
                <w:szCs w:val="20"/>
                <w:lang w:val="en-GB"/>
              </w:rPr>
              <w:t xml:space="preserve"> individual case</w:t>
            </w:r>
            <w:r w:rsidR="00FB472C" w:rsidRPr="00DD5FE4">
              <w:rPr>
                <w:rFonts w:ascii="Times New Roman" w:hAnsi="Times New Roman" w:cs="Times New Roman"/>
                <w:sz w:val="20"/>
                <w:szCs w:val="20"/>
                <w:lang w:val="en-GB"/>
              </w:rPr>
              <w:t>s</w:t>
            </w:r>
            <w:r w:rsidRPr="00DD5FE4">
              <w:rPr>
                <w:rFonts w:ascii="Times New Roman" w:hAnsi="Times New Roman" w:cs="Times New Roman"/>
                <w:sz w:val="20"/>
                <w:szCs w:val="20"/>
                <w:lang w:val="en-GB"/>
              </w:rPr>
              <w:t xml:space="preserve">. </w:t>
            </w:r>
          </w:p>
          <w:p w14:paraId="6D862B3C" w14:textId="5F2DC090" w:rsidR="007742C1" w:rsidRPr="00DD5FE4" w:rsidRDefault="007742C1" w:rsidP="002B64E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DD5FE4">
              <w:rPr>
                <w:rFonts w:ascii="Times New Roman" w:hAnsi="Times New Roman" w:cs="Times New Roman"/>
                <w:sz w:val="20"/>
                <w:szCs w:val="20"/>
                <w:lang w:val="en-GB"/>
              </w:rPr>
              <w:t>Medication</w:t>
            </w:r>
            <w:r w:rsidR="00FB472C" w:rsidRPr="00DD5FE4">
              <w:rPr>
                <w:rFonts w:ascii="Times New Roman" w:hAnsi="Times New Roman" w:cs="Times New Roman"/>
                <w:sz w:val="20"/>
                <w:szCs w:val="20"/>
                <w:lang w:val="en-GB"/>
              </w:rPr>
              <w:t>-</w:t>
            </w:r>
            <w:r w:rsidRPr="00DD5FE4">
              <w:rPr>
                <w:rFonts w:ascii="Times New Roman" w:hAnsi="Times New Roman" w:cs="Times New Roman"/>
                <w:sz w:val="20"/>
                <w:szCs w:val="20"/>
                <w:lang w:val="en-GB"/>
              </w:rPr>
              <w:t>specific indicators:</w:t>
            </w:r>
            <w:r w:rsidR="003773AF" w:rsidRPr="00DD5FE4">
              <w:rPr>
                <w:rFonts w:ascii="Times New Roman" w:hAnsi="Times New Roman" w:cs="Times New Roman"/>
                <w:sz w:val="20"/>
                <w:szCs w:val="20"/>
                <w:lang w:val="en-GB"/>
              </w:rPr>
              <w:t xml:space="preserve"> </w:t>
            </w:r>
            <w:r w:rsidR="00FB472C" w:rsidRPr="00DD5FE4">
              <w:rPr>
                <w:rFonts w:ascii="Times New Roman" w:hAnsi="Times New Roman" w:cs="Times New Roman"/>
                <w:sz w:val="20"/>
                <w:szCs w:val="20"/>
                <w:lang w:val="en-GB"/>
              </w:rPr>
              <w:t>b</w:t>
            </w:r>
            <w:r w:rsidRPr="00DD5FE4">
              <w:rPr>
                <w:rFonts w:ascii="Times New Roman" w:hAnsi="Times New Roman" w:cs="Times New Roman"/>
                <w:sz w:val="20"/>
                <w:szCs w:val="20"/>
                <w:lang w:val="en-GB"/>
              </w:rPr>
              <w:t>enzodiazepine (N05B, N05C)</w:t>
            </w:r>
            <w:r w:rsidR="00C55B20" w:rsidRPr="00DD5FE4">
              <w:rPr>
                <w:rFonts w:ascii="Times New Roman" w:hAnsi="Times New Roman" w:cs="Times New Roman"/>
                <w:sz w:val="20"/>
                <w:szCs w:val="20"/>
                <w:lang w:val="en-GB"/>
              </w:rPr>
              <w:t>,</w:t>
            </w:r>
            <w:r w:rsidRPr="00DD5FE4">
              <w:rPr>
                <w:rFonts w:ascii="Times New Roman" w:hAnsi="Times New Roman" w:cs="Times New Roman"/>
                <w:sz w:val="20"/>
                <w:szCs w:val="20"/>
                <w:lang w:val="en-GB"/>
              </w:rPr>
              <w:t xml:space="preserve"> </w:t>
            </w:r>
            <w:r w:rsidR="00C55B20" w:rsidRPr="00DD5FE4">
              <w:rPr>
                <w:rFonts w:ascii="Times New Roman" w:hAnsi="Times New Roman" w:cs="Times New Roman"/>
                <w:sz w:val="20"/>
                <w:szCs w:val="20"/>
                <w:lang w:val="en-GB"/>
              </w:rPr>
              <w:t xml:space="preserve">which has </w:t>
            </w:r>
            <w:r w:rsidR="00FB472C" w:rsidRPr="00DD5FE4">
              <w:rPr>
                <w:rFonts w:ascii="Times New Roman" w:hAnsi="Times New Roman" w:cs="Times New Roman"/>
                <w:sz w:val="20"/>
                <w:szCs w:val="20"/>
                <w:lang w:val="en-GB"/>
              </w:rPr>
              <w:t xml:space="preserve">a </w:t>
            </w:r>
            <w:r w:rsidRPr="00DD5FE4">
              <w:rPr>
                <w:rFonts w:ascii="Times New Roman" w:hAnsi="Times New Roman" w:cs="Times New Roman"/>
                <w:sz w:val="20"/>
                <w:szCs w:val="20"/>
                <w:lang w:val="en-GB"/>
              </w:rPr>
              <w:t xml:space="preserve">long half-life, medication with considerable anticholinergic effects (N05A, N05B, N06A) and </w:t>
            </w:r>
            <w:r w:rsidR="00FB472C" w:rsidRPr="00DD5FE4">
              <w:rPr>
                <w:rFonts w:ascii="Times New Roman" w:hAnsi="Times New Roman" w:cs="Times New Roman"/>
                <w:sz w:val="20"/>
                <w:szCs w:val="20"/>
                <w:lang w:val="en-GB"/>
              </w:rPr>
              <w:t>p</w:t>
            </w:r>
            <w:r w:rsidRPr="00DD5FE4">
              <w:rPr>
                <w:rFonts w:ascii="Times New Roman" w:hAnsi="Times New Roman" w:cs="Times New Roman"/>
                <w:sz w:val="20"/>
                <w:szCs w:val="20"/>
                <w:lang w:val="en-GB"/>
              </w:rPr>
              <w:t xml:space="preserve">ropiomazine (N05C) should be avoided. </w:t>
            </w:r>
          </w:p>
          <w:p w14:paraId="4F358206" w14:textId="2217E940" w:rsidR="007742C1" w:rsidRPr="00DD5FE4" w:rsidRDefault="00FB472C" w:rsidP="002B64E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DD5FE4">
              <w:rPr>
                <w:rFonts w:ascii="Times New Roman" w:hAnsi="Times New Roman" w:cs="Times New Roman"/>
                <w:sz w:val="20"/>
                <w:szCs w:val="20"/>
                <w:lang w:val="en-GB"/>
              </w:rPr>
              <w:t>Including</w:t>
            </w:r>
            <w:r w:rsidR="007742C1" w:rsidRPr="00DD5FE4">
              <w:rPr>
                <w:rFonts w:ascii="Times New Roman" w:hAnsi="Times New Roman" w:cs="Times New Roman"/>
                <w:sz w:val="20"/>
                <w:szCs w:val="20"/>
                <w:lang w:val="en-GB"/>
              </w:rPr>
              <w:t xml:space="preserve"> correct and clear indication</w:t>
            </w:r>
            <w:r w:rsidRPr="00DD5FE4">
              <w:rPr>
                <w:rFonts w:ascii="Times New Roman" w:hAnsi="Times New Roman" w:cs="Times New Roman"/>
                <w:sz w:val="20"/>
                <w:szCs w:val="20"/>
                <w:lang w:val="en-GB"/>
              </w:rPr>
              <w:t>s with medicine</w:t>
            </w:r>
            <w:r w:rsidR="007742C1" w:rsidRPr="00DD5FE4">
              <w:rPr>
                <w:rFonts w:ascii="Times New Roman" w:hAnsi="Times New Roman" w:cs="Times New Roman"/>
                <w:sz w:val="20"/>
                <w:szCs w:val="20"/>
                <w:lang w:val="en-GB"/>
              </w:rPr>
              <w:t xml:space="preserve"> </w:t>
            </w:r>
            <w:r w:rsidRPr="00DD5FE4">
              <w:rPr>
                <w:rFonts w:ascii="Times New Roman" w:hAnsi="Times New Roman" w:cs="Times New Roman"/>
                <w:sz w:val="20"/>
                <w:szCs w:val="20"/>
                <w:lang w:val="en-GB"/>
              </w:rPr>
              <w:t xml:space="preserve">is </w:t>
            </w:r>
            <w:r w:rsidR="007742C1" w:rsidRPr="00DD5FE4">
              <w:rPr>
                <w:rFonts w:ascii="Times New Roman" w:hAnsi="Times New Roman" w:cs="Times New Roman"/>
                <w:sz w:val="20"/>
                <w:szCs w:val="20"/>
                <w:lang w:val="en-GB"/>
              </w:rPr>
              <w:t>of particular importance (</w:t>
            </w:r>
            <w:r w:rsidRPr="00DD5FE4">
              <w:rPr>
                <w:rFonts w:ascii="Times New Roman" w:hAnsi="Times New Roman" w:cs="Times New Roman"/>
                <w:sz w:val="20"/>
                <w:szCs w:val="20"/>
                <w:lang w:val="en-GB"/>
              </w:rPr>
              <w:t>a</w:t>
            </w:r>
            <w:r w:rsidR="007742C1" w:rsidRPr="00DD5FE4">
              <w:rPr>
                <w:rFonts w:ascii="Times New Roman" w:hAnsi="Times New Roman" w:cs="Times New Roman"/>
                <w:sz w:val="20"/>
                <w:szCs w:val="20"/>
                <w:lang w:val="en-GB"/>
              </w:rPr>
              <w:t xml:space="preserve">ntipsychotics, N05A; </w:t>
            </w:r>
            <w:r w:rsidRPr="00DD5FE4">
              <w:rPr>
                <w:rFonts w:ascii="Times New Roman" w:hAnsi="Times New Roman" w:cs="Times New Roman"/>
                <w:sz w:val="20"/>
                <w:szCs w:val="20"/>
                <w:lang w:val="en-GB"/>
              </w:rPr>
              <w:t>a</w:t>
            </w:r>
            <w:r w:rsidR="007742C1" w:rsidRPr="00DD5FE4">
              <w:rPr>
                <w:rFonts w:ascii="Times New Roman" w:hAnsi="Times New Roman" w:cs="Times New Roman"/>
                <w:sz w:val="20"/>
                <w:szCs w:val="20"/>
                <w:lang w:val="en-GB"/>
              </w:rPr>
              <w:t>ntidepress</w:t>
            </w:r>
            <w:r w:rsidR="00475DEC">
              <w:rPr>
                <w:rFonts w:ascii="Times New Roman" w:hAnsi="Times New Roman" w:cs="Times New Roman"/>
                <w:sz w:val="20"/>
                <w:szCs w:val="20"/>
                <w:lang w:val="en-GB"/>
              </w:rPr>
              <w:t>ant</w:t>
            </w:r>
            <w:r w:rsidRPr="00DD5FE4">
              <w:rPr>
                <w:rFonts w:ascii="Times New Roman" w:hAnsi="Times New Roman" w:cs="Times New Roman"/>
                <w:sz w:val="20"/>
                <w:szCs w:val="20"/>
                <w:lang w:val="en-GB"/>
              </w:rPr>
              <w:t>s</w:t>
            </w:r>
            <w:r w:rsidR="007742C1" w:rsidRPr="00DD5FE4">
              <w:rPr>
                <w:rFonts w:ascii="Times New Roman" w:hAnsi="Times New Roman" w:cs="Times New Roman"/>
                <w:sz w:val="20"/>
                <w:szCs w:val="20"/>
                <w:lang w:val="en-GB"/>
              </w:rPr>
              <w:t xml:space="preserve"> and SSRI</w:t>
            </w:r>
            <w:r w:rsidRPr="00DD5FE4">
              <w:rPr>
                <w:rFonts w:ascii="Times New Roman" w:hAnsi="Times New Roman" w:cs="Times New Roman"/>
                <w:sz w:val="20"/>
                <w:szCs w:val="20"/>
                <w:lang w:val="en-GB"/>
              </w:rPr>
              <w:t>s</w:t>
            </w:r>
            <w:r w:rsidR="007742C1" w:rsidRPr="00DD5FE4">
              <w:rPr>
                <w:rFonts w:ascii="Times New Roman" w:hAnsi="Times New Roman" w:cs="Times New Roman"/>
                <w:sz w:val="20"/>
                <w:szCs w:val="20"/>
                <w:lang w:val="en-GB"/>
              </w:rPr>
              <w:t>, N06A)</w:t>
            </w:r>
            <w:r w:rsidRPr="00DD5FE4">
              <w:rPr>
                <w:rFonts w:ascii="Times New Roman" w:hAnsi="Times New Roman" w:cs="Times New Roman"/>
                <w:sz w:val="20"/>
                <w:szCs w:val="20"/>
                <w:lang w:val="en-GB"/>
              </w:rPr>
              <w:t>.</w:t>
            </w:r>
          </w:p>
          <w:p w14:paraId="52CA094E" w14:textId="51A0A321" w:rsidR="007742C1" w:rsidRPr="00DD5FE4" w:rsidRDefault="007742C1" w:rsidP="002B64E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DD5FE4">
              <w:rPr>
                <w:rFonts w:ascii="Times New Roman" w:hAnsi="Times New Roman" w:cs="Times New Roman"/>
                <w:sz w:val="20"/>
                <w:szCs w:val="20"/>
                <w:lang w:val="en-GB"/>
              </w:rPr>
              <w:t>Inappropriate administration with risk for side effects or ineffective treatment (</w:t>
            </w:r>
            <w:r w:rsidR="00FB472C" w:rsidRPr="00DD5FE4">
              <w:rPr>
                <w:rFonts w:ascii="Times New Roman" w:hAnsi="Times New Roman" w:cs="Times New Roman"/>
                <w:sz w:val="20"/>
                <w:szCs w:val="20"/>
                <w:lang w:val="en-GB"/>
              </w:rPr>
              <w:t>h</w:t>
            </w:r>
            <w:r w:rsidRPr="00DD5FE4">
              <w:rPr>
                <w:rFonts w:ascii="Times New Roman" w:hAnsi="Times New Roman" w:cs="Times New Roman"/>
                <w:sz w:val="20"/>
                <w:szCs w:val="20"/>
                <w:lang w:val="en-GB"/>
              </w:rPr>
              <w:t xml:space="preserve">ypnotics, N05C; </w:t>
            </w:r>
            <w:r w:rsidR="00FB472C" w:rsidRPr="00DD5FE4">
              <w:rPr>
                <w:rFonts w:ascii="Times New Roman" w:hAnsi="Times New Roman" w:cs="Times New Roman"/>
                <w:sz w:val="20"/>
                <w:szCs w:val="20"/>
                <w:lang w:val="en-GB"/>
              </w:rPr>
              <w:t>a</w:t>
            </w:r>
            <w:r w:rsidRPr="00DD5FE4">
              <w:rPr>
                <w:rFonts w:ascii="Times New Roman" w:hAnsi="Times New Roman" w:cs="Times New Roman"/>
                <w:sz w:val="20"/>
                <w:szCs w:val="20"/>
                <w:lang w:val="en-GB"/>
              </w:rPr>
              <w:t>ntipsychotics, N05A).</w:t>
            </w:r>
          </w:p>
          <w:p w14:paraId="2BD3C91B" w14:textId="5883C16F" w:rsidR="007742C1" w:rsidRPr="00DD5FE4" w:rsidRDefault="007742C1" w:rsidP="002B64E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DD5FE4">
              <w:rPr>
                <w:rFonts w:ascii="Times New Roman" w:hAnsi="Times New Roman" w:cs="Times New Roman"/>
                <w:sz w:val="20"/>
                <w:szCs w:val="20"/>
                <w:lang w:val="en-GB"/>
              </w:rPr>
              <w:t xml:space="preserve">Inappropriate dosage of </w:t>
            </w:r>
            <w:r w:rsidR="00FB472C" w:rsidRPr="00DD5FE4">
              <w:rPr>
                <w:rFonts w:ascii="Times New Roman" w:hAnsi="Times New Roman" w:cs="Times New Roman"/>
                <w:sz w:val="20"/>
                <w:szCs w:val="20"/>
                <w:lang w:val="en-GB"/>
              </w:rPr>
              <w:t>a</w:t>
            </w:r>
            <w:r w:rsidRPr="00DD5FE4">
              <w:rPr>
                <w:rFonts w:ascii="Times New Roman" w:hAnsi="Times New Roman" w:cs="Times New Roman"/>
                <w:sz w:val="20"/>
                <w:szCs w:val="20"/>
                <w:lang w:val="en-GB"/>
              </w:rPr>
              <w:t xml:space="preserve">ntipsychotics, N05A; </w:t>
            </w:r>
            <w:r w:rsidR="00FB472C" w:rsidRPr="00DD5FE4">
              <w:rPr>
                <w:rFonts w:ascii="Times New Roman" w:hAnsi="Times New Roman" w:cs="Times New Roman"/>
                <w:sz w:val="20"/>
                <w:szCs w:val="20"/>
                <w:lang w:val="en-GB"/>
              </w:rPr>
              <w:t>a</w:t>
            </w:r>
            <w:r w:rsidRPr="00DD5FE4">
              <w:rPr>
                <w:rFonts w:ascii="Times New Roman" w:hAnsi="Times New Roman" w:cs="Times New Roman"/>
                <w:sz w:val="20"/>
                <w:szCs w:val="20"/>
                <w:lang w:val="en-GB"/>
              </w:rPr>
              <w:t xml:space="preserve">nxiolytics, N05B; </w:t>
            </w:r>
            <w:r w:rsidR="00FB472C" w:rsidRPr="00DD5FE4">
              <w:rPr>
                <w:rFonts w:ascii="Times New Roman" w:hAnsi="Times New Roman" w:cs="Times New Roman"/>
                <w:sz w:val="20"/>
                <w:szCs w:val="20"/>
                <w:lang w:val="en-GB"/>
              </w:rPr>
              <w:t>h</w:t>
            </w:r>
            <w:r w:rsidRPr="00DD5FE4">
              <w:rPr>
                <w:rFonts w:ascii="Times New Roman" w:hAnsi="Times New Roman" w:cs="Times New Roman"/>
                <w:sz w:val="20"/>
                <w:szCs w:val="20"/>
                <w:lang w:val="en-GB"/>
              </w:rPr>
              <w:t>ypnotics, N05C</w:t>
            </w:r>
            <w:r w:rsidR="00FB472C" w:rsidRPr="00DD5FE4">
              <w:rPr>
                <w:rFonts w:ascii="Times New Roman" w:hAnsi="Times New Roman" w:cs="Times New Roman"/>
                <w:sz w:val="20"/>
                <w:szCs w:val="20"/>
                <w:lang w:val="en-GB"/>
              </w:rPr>
              <w:t>,</w:t>
            </w:r>
            <w:r w:rsidRPr="00DD5FE4">
              <w:rPr>
                <w:rFonts w:ascii="Times New Roman" w:hAnsi="Times New Roman" w:cs="Times New Roman"/>
                <w:sz w:val="20"/>
                <w:szCs w:val="20"/>
                <w:lang w:val="en-GB"/>
              </w:rPr>
              <w:t xml:space="preserve"> with risk </w:t>
            </w:r>
            <w:r w:rsidR="00C55B20" w:rsidRPr="00DD5FE4">
              <w:rPr>
                <w:rFonts w:ascii="Times New Roman" w:hAnsi="Times New Roman" w:cs="Times New Roman"/>
                <w:sz w:val="20"/>
                <w:szCs w:val="20"/>
                <w:lang w:val="en-GB"/>
              </w:rPr>
              <w:t>of</w:t>
            </w:r>
            <w:r w:rsidRPr="00DD5FE4">
              <w:rPr>
                <w:rFonts w:ascii="Times New Roman" w:hAnsi="Times New Roman" w:cs="Times New Roman"/>
                <w:sz w:val="20"/>
                <w:szCs w:val="20"/>
                <w:lang w:val="en-GB"/>
              </w:rPr>
              <w:t xml:space="preserve"> side effects.</w:t>
            </w:r>
          </w:p>
          <w:p w14:paraId="76D6ED7E" w14:textId="27B66388" w:rsidR="007742C1" w:rsidRPr="00DD5FE4" w:rsidRDefault="007742C1" w:rsidP="002B64E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DD5FE4">
              <w:rPr>
                <w:rFonts w:ascii="Times New Roman" w:hAnsi="Times New Roman" w:cs="Times New Roman"/>
                <w:sz w:val="20"/>
                <w:szCs w:val="20"/>
                <w:lang w:val="en-GB"/>
              </w:rPr>
              <w:t xml:space="preserve">Joint treatment with three or more psychotropic </w:t>
            </w:r>
            <w:r w:rsidR="00FB472C" w:rsidRPr="00DD5FE4">
              <w:rPr>
                <w:rFonts w:ascii="Times New Roman" w:hAnsi="Times New Roman" w:cs="Times New Roman"/>
                <w:sz w:val="20"/>
                <w:szCs w:val="20"/>
                <w:lang w:val="en-GB"/>
              </w:rPr>
              <w:t xml:space="preserve">drugs </w:t>
            </w:r>
            <w:r w:rsidRPr="00DD5FE4">
              <w:rPr>
                <w:rFonts w:ascii="Times New Roman" w:hAnsi="Times New Roman" w:cs="Times New Roman"/>
                <w:sz w:val="20"/>
                <w:szCs w:val="20"/>
                <w:lang w:val="en-GB"/>
              </w:rPr>
              <w:t>(N05A, N05B, N05C, N06A) implies an increased risk for side effects and interactions.</w:t>
            </w:r>
          </w:p>
          <w:p w14:paraId="2E61EF10" w14:textId="77777777" w:rsidR="00050421" w:rsidRPr="00DD5FE4" w:rsidRDefault="00050421" w:rsidP="002B64E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DD5FE4">
              <w:rPr>
                <w:rFonts w:ascii="Times New Roman" w:hAnsi="Times New Roman" w:cs="Times New Roman"/>
                <w:sz w:val="20"/>
                <w:szCs w:val="20"/>
                <w:lang w:val="en-GB"/>
              </w:rPr>
              <w:t xml:space="preserve">Recommendations </w:t>
            </w:r>
            <w:r w:rsidR="00C55B20" w:rsidRPr="00DD5FE4">
              <w:rPr>
                <w:rFonts w:ascii="Times New Roman" w:hAnsi="Times New Roman" w:cs="Times New Roman"/>
                <w:sz w:val="20"/>
                <w:szCs w:val="20"/>
                <w:lang w:val="en-GB"/>
              </w:rPr>
              <w:t xml:space="preserve">also </w:t>
            </w:r>
            <w:r w:rsidRPr="00DD5FE4">
              <w:rPr>
                <w:rFonts w:ascii="Times New Roman" w:hAnsi="Times New Roman" w:cs="Times New Roman"/>
                <w:sz w:val="20"/>
                <w:szCs w:val="20"/>
                <w:lang w:val="en-GB"/>
              </w:rPr>
              <w:t>included:</w:t>
            </w:r>
          </w:p>
          <w:p w14:paraId="7E1D0F0D" w14:textId="1D8DF1F8" w:rsidR="007742C1" w:rsidRPr="00DD5FE4" w:rsidRDefault="007742C1" w:rsidP="002B64E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DD5FE4">
              <w:rPr>
                <w:rFonts w:ascii="Times New Roman" w:hAnsi="Times New Roman" w:cs="Times New Roman"/>
                <w:sz w:val="20"/>
                <w:szCs w:val="20"/>
                <w:lang w:val="en-GB"/>
              </w:rPr>
              <w:t xml:space="preserve">Medication </w:t>
            </w:r>
            <w:r w:rsidR="00FB472C" w:rsidRPr="00DD5FE4">
              <w:rPr>
                <w:rFonts w:ascii="Times New Roman" w:hAnsi="Times New Roman" w:cs="Times New Roman"/>
                <w:sz w:val="20"/>
                <w:szCs w:val="20"/>
                <w:lang w:val="en-GB"/>
              </w:rPr>
              <w:t xml:space="preserve">that </w:t>
            </w:r>
            <w:r w:rsidRPr="00DD5FE4">
              <w:rPr>
                <w:rFonts w:ascii="Times New Roman" w:hAnsi="Times New Roman" w:cs="Times New Roman"/>
                <w:sz w:val="20"/>
                <w:szCs w:val="20"/>
                <w:lang w:val="en-GB"/>
              </w:rPr>
              <w:t>cause</w:t>
            </w:r>
            <w:r w:rsidR="00FB472C" w:rsidRPr="00DD5FE4">
              <w:rPr>
                <w:rFonts w:ascii="Times New Roman" w:hAnsi="Times New Roman" w:cs="Times New Roman"/>
                <w:sz w:val="20"/>
                <w:szCs w:val="20"/>
                <w:lang w:val="en-GB"/>
              </w:rPr>
              <w:t>s</w:t>
            </w:r>
            <w:r w:rsidRPr="00DD5FE4">
              <w:rPr>
                <w:rFonts w:ascii="Times New Roman" w:hAnsi="Times New Roman" w:cs="Times New Roman"/>
                <w:sz w:val="20"/>
                <w:szCs w:val="20"/>
                <w:lang w:val="en-GB"/>
              </w:rPr>
              <w:t xml:space="preserve"> or aggravate</w:t>
            </w:r>
            <w:r w:rsidR="00FB472C" w:rsidRPr="00DD5FE4">
              <w:rPr>
                <w:rFonts w:ascii="Times New Roman" w:hAnsi="Times New Roman" w:cs="Times New Roman"/>
                <w:sz w:val="20"/>
                <w:szCs w:val="20"/>
                <w:lang w:val="en-GB"/>
              </w:rPr>
              <w:t>s</w:t>
            </w:r>
            <w:r w:rsidRPr="00DD5FE4">
              <w:rPr>
                <w:rFonts w:ascii="Times New Roman" w:hAnsi="Times New Roman" w:cs="Times New Roman"/>
                <w:sz w:val="20"/>
                <w:szCs w:val="20"/>
                <w:lang w:val="en-GB"/>
              </w:rPr>
              <w:t xml:space="preserve"> </w:t>
            </w:r>
            <w:r w:rsidR="00FB472C" w:rsidRPr="00DD5FE4">
              <w:rPr>
                <w:rFonts w:ascii="Times New Roman" w:hAnsi="Times New Roman" w:cs="Times New Roman"/>
                <w:sz w:val="20"/>
                <w:szCs w:val="20"/>
                <w:lang w:val="en-GB"/>
              </w:rPr>
              <w:t xml:space="preserve">a </w:t>
            </w:r>
            <w:r w:rsidRPr="00DD5FE4">
              <w:rPr>
                <w:rFonts w:ascii="Times New Roman" w:hAnsi="Times New Roman" w:cs="Times New Roman"/>
                <w:sz w:val="20"/>
                <w:szCs w:val="20"/>
                <w:lang w:val="en-GB"/>
              </w:rPr>
              <w:t>fall in blood pressure (N05A, N06A).</w:t>
            </w:r>
          </w:p>
          <w:p w14:paraId="3BD7688C" w14:textId="70333686" w:rsidR="007742C1" w:rsidRPr="00DD5FE4" w:rsidRDefault="007742C1" w:rsidP="002B64E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DD5FE4">
              <w:rPr>
                <w:rFonts w:ascii="Times New Roman" w:hAnsi="Times New Roman" w:cs="Times New Roman"/>
                <w:sz w:val="20"/>
                <w:szCs w:val="20"/>
                <w:lang w:val="en-GB"/>
              </w:rPr>
              <w:t xml:space="preserve">Medication </w:t>
            </w:r>
            <w:r w:rsidR="00FB472C" w:rsidRPr="00DD5FE4">
              <w:rPr>
                <w:rFonts w:ascii="Times New Roman" w:hAnsi="Times New Roman" w:cs="Times New Roman"/>
                <w:sz w:val="20"/>
                <w:szCs w:val="20"/>
                <w:lang w:val="en-GB"/>
              </w:rPr>
              <w:t xml:space="preserve">that </w:t>
            </w:r>
            <w:r w:rsidRPr="00DD5FE4">
              <w:rPr>
                <w:rFonts w:ascii="Times New Roman" w:hAnsi="Times New Roman" w:cs="Times New Roman"/>
                <w:sz w:val="20"/>
                <w:szCs w:val="20"/>
                <w:lang w:val="en-GB"/>
              </w:rPr>
              <w:t>increase</w:t>
            </w:r>
            <w:r w:rsidR="00FB472C" w:rsidRPr="00DD5FE4">
              <w:rPr>
                <w:rFonts w:ascii="Times New Roman" w:hAnsi="Times New Roman" w:cs="Times New Roman"/>
                <w:sz w:val="20"/>
                <w:szCs w:val="20"/>
                <w:lang w:val="en-GB"/>
              </w:rPr>
              <w:t>s</w:t>
            </w:r>
            <w:r w:rsidRPr="00DD5FE4">
              <w:rPr>
                <w:rFonts w:ascii="Times New Roman" w:hAnsi="Times New Roman" w:cs="Times New Roman"/>
                <w:sz w:val="20"/>
                <w:szCs w:val="20"/>
                <w:lang w:val="en-GB"/>
              </w:rPr>
              <w:t xml:space="preserve"> the risk for fall (N05A, N05B, N05C, N06A).</w:t>
            </w:r>
          </w:p>
          <w:p w14:paraId="51D2A264" w14:textId="77BF9342" w:rsidR="007742C1" w:rsidRPr="00DD5FE4" w:rsidRDefault="007742C1" w:rsidP="002B64E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DD5FE4">
              <w:rPr>
                <w:rFonts w:ascii="Times New Roman" w:hAnsi="Times New Roman" w:cs="Times New Roman"/>
                <w:sz w:val="20"/>
                <w:szCs w:val="20"/>
                <w:lang w:val="en-GB"/>
              </w:rPr>
              <w:t xml:space="preserve">Medication </w:t>
            </w:r>
            <w:r w:rsidR="00FB472C" w:rsidRPr="00DD5FE4">
              <w:rPr>
                <w:rFonts w:ascii="Times New Roman" w:hAnsi="Times New Roman" w:cs="Times New Roman"/>
                <w:sz w:val="20"/>
                <w:szCs w:val="20"/>
                <w:lang w:val="en-GB"/>
              </w:rPr>
              <w:t xml:space="preserve">that </w:t>
            </w:r>
            <w:r w:rsidRPr="00DD5FE4">
              <w:rPr>
                <w:rFonts w:ascii="Times New Roman" w:hAnsi="Times New Roman" w:cs="Times New Roman"/>
                <w:sz w:val="20"/>
                <w:szCs w:val="20"/>
                <w:lang w:val="en-GB"/>
              </w:rPr>
              <w:t>may cause cognitive disturbance (N05A, N05B, N05C).</w:t>
            </w:r>
          </w:p>
          <w:p w14:paraId="7FE6F281" w14:textId="523D3897" w:rsidR="007742C1" w:rsidRPr="00DD5FE4" w:rsidRDefault="007742C1" w:rsidP="002B64E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DD5FE4">
              <w:rPr>
                <w:rFonts w:ascii="Times New Roman" w:hAnsi="Times New Roman" w:cs="Times New Roman"/>
                <w:sz w:val="20"/>
                <w:szCs w:val="20"/>
                <w:lang w:val="en-GB"/>
              </w:rPr>
              <w:t xml:space="preserve">Inappropriate and risky utilization of medication in persons with dementia disease.    </w:t>
            </w:r>
          </w:p>
        </w:tc>
      </w:tr>
      <w:tr w:rsidR="00E821B5" w:rsidRPr="00F705B9" w14:paraId="71EA6287" w14:textId="77777777" w:rsidTr="00E87C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 w:type="dxa"/>
            <w:tcBorders>
              <w:left w:val="single" w:sz="4" w:space="0" w:color="auto"/>
            </w:tcBorders>
            <w:shd w:val="clear" w:color="auto" w:fill="F2F2F2" w:themeFill="background1" w:themeFillShade="F2"/>
          </w:tcPr>
          <w:p w14:paraId="1399EAE3" w14:textId="77777777" w:rsidR="00DC208E" w:rsidRDefault="00D239D5" w:rsidP="002B64EC">
            <w:pPr>
              <w:rPr>
                <w:rFonts w:ascii="Times New Roman" w:hAnsi="Times New Roman" w:cs="Times New Roman"/>
                <w:color w:val="auto"/>
                <w:sz w:val="20"/>
                <w:szCs w:val="20"/>
                <w:lang w:val="en-GB"/>
              </w:rPr>
            </w:pPr>
            <w:r w:rsidRPr="00473AC9">
              <w:rPr>
                <w:rFonts w:ascii="Times New Roman" w:hAnsi="Times New Roman" w:cs="Times New Roman"/>
                <w:color w:val="auto"/>
                <w:sz w:val="20"/>
                <w:szCs w:val="20"/>
                <w:lang w:val="en-GB"/>
              </w:rPr>
              <w:t>5</w:t>
            </w:r>
          </w:p>
          <w:p w14:paraId="3B7057AF" w14:textId="6C5944DA" w:rsidR="00AC239D" w:rsidRPr="00473AC9" w:rsidRDefault="00AC239D" w:rsidP="002B64EC">
            <w:pPr>
              <w:rPr>
                <w:rFonts w:ascii="Times New Roman" w:hAnsi="Times New Roman" w:cs="Times New Roman"/>
                <w:color w:val="auto"/>
                <w:sz w:val="20"/>
                <w:szCs w:val="20"/>
                <w:lang w:val="en-GB"/>
              </w:rPr>
            </w:pPr>
            <w:r w:rsidRPr="00B7743A">
              <w:rPr>
                <w:rFonts w:ascii="Times New Roman" w:hAnsi="Times New Roman"/>
                <w:b w:val="0"/>
                <w:color w:val="auto"/>
                <w:sz w:val="20"/>
                <w:szCs w:val="20"/>
                <w:lang w:val="en-GB"/>
              </w:rPr>
              <w:t>[4</w:t>
            </w:r>
            <w:r>
              <w:rPr>
                <w:rFonts w:ascii="Times New Roman" w:hAnsi="Times New Roman"/>
                <w:b w:val="0"/>
                <w:color w:val="auto"/>
                <w:sz w:val="20"/>
                <w:szCs w:val="20"/>
                <w:lang w:val="en-GB"/>
              </w:rPr>
              <w:t>4</w:t>
            </w:r>
            <w:r w:rsidRPr="00B7743A">
              <w:rPr>
                <w:rFonts w:ascii="Times New Roman" w:hAnsi="Times New Roman"/>
                <w:b w:val="0"/>
                <w:color w:val="auto"/>
                <w:sz w:val="20"/>
                <w:szCs w:val="20"/>
                <w:lang w:val="en-GB"/>
              </w:rPr>
              <w:t>]</w:t>
            </w:r>
          </w:p>
        </w:tc>
        <w:tc>
          <w:tcPr>
            <w:tcW w:w="993" w:type="dxa"/>
            <w:shd w:val="clear" w:color="auto" w:fill="F2F2F2" w:themeFill="background1" w:themeFillShade="F2"/>
          </w:tcPr>
          <w:p w14:paraId="5FE0B155" w14:textId="77777777" w:rsidR="00DC208E" w:rsidRPr="00DD5FE4" w:rsidRDefault="00DC208E" w:rsidP="002B64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DD5FE4">
              <w:rPr>
                <w:rFonts w:ascii="Times New Roman" w:hAnsi="Times New Roman" w:cs="Times New Roman"/>
                <w:sz w:val="20"/>
                <w:szCs w:val="20"/>
                <w:lang w:val="en-GB"/>
              </w:rPr>
              <w:t>The National Board of Health and Welfare, 2010</w:t>
            </w:r>
          </w:p>
          <w:p w14:paraId="4A000523" w14:textId="77777777" w:rsidR="00D239D5" w:rsidRPr="00DD5FE4" w:rsidRDefault="00D239D5" w:rsidP="002B64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p w14:paraId="7DD1E1D5" w14:textId="77777777" w:rsidR="00D239D5" w:rsidRPr="00DD5FE4" w:rsidRDefault="00D239D5" w:rsidP="002B64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p w14:paraId="77D1AB93" w14:textId="77777777" w:rsidR="00D239D5" w:rsidRPr="00DD5FE4" w:rsidRDefault="00D239D5" w:rsidP="002B64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p w14:paraId="41B028B4" w14:textId="77777777" w:rsidR="00D239D5" w:rsidRPr="00DD5FE4" w:rsidRDefault="00D239D5" w:rsidP="002B64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p w14:paraId="1E165670" w14:textId="77777777" w:rsidR="00D239D5" w:rsidRPr="00DD5FE4" w:rsidRDefault="00D239D5" w:rsidP="002B64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p w14:paraId="59FEC062" w14:textId="77777777" w:rsidR="00D239D5" w:rsidRPr="00DD5FE4" w:rsidRDefault="00D239D5" w:rsidP="002B64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p w14:paraId="1D274433" w14:textId="77777777" w:rsidR="00D239D5" w:rsidRPr="00DD5FE4" w:rsidRDefault="00D239D5" w:rsidP="002B64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p w14:paraId="06700EC7" w14:textId="77777777" w:rsidR="00D239D5" w:rsidRPr="00DD5FE4" w:rsidRDefault="00D239D5" w:rsidP="002B64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p w14:paraId="13F3AF41" w14:textId="77777777" w:rsidR="00D239D5" w:rsidRPr="00DD5FE4" w:rsidRDefault="00D239D5" w:rsidP="002B64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p w14:paraId="0697049E" w14:textId="77777777" w:rsidR="00D239D5" w:rsidRPr="00DD5FE4" w:rsidRDefault="00D239D5" w:rsidP="002B64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tc>
        <w:tc>
          <w:tcPr>
            <w:tcW w:w="1701" w:type="dxa"/>
            <w:gridSpan w:val="2"/>
            <w:shd w:val="clear" w:color="auto" w:fill="F2F2F2" w:themeFill="background1" w:themeFillShade="F2"/>
          </w:tcPr>
          <w:p w14:paraId="6A98D71F" w14:textId="77777777" w:rsidR="00DC208E" w:rsidRPr="001325CE" w:rsidRDefault="00DC208E" w:rsidP="002B64E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325CE">
              <w:rPr>
                <w:rFonts w:ascii="Times New Roman" w:hAnsi="Times New Roman" w:cs="Times New Roman"/>
                <w:color w:val="000000"/>
                <w:sz w:val="20"/>
                <w:szCs w:val="20"/>
              </w:rPr>
              <w:t xml:space="preserve">Indikatorer </w:t>
            </w:r>
          </w:p>
          <w:p w14:paraId="0481A32C" w14:textId="77777777" w:rsidR="00DC208E" w:rsidRPr="00DD5FE4" w:rsidRDefault="00DC208E" w:rsidP="002B64E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val="en-GB"/>
              </w:rPr>
            </w:pPr>
            <w:r w:rsidRPr="001325CE">
              <w:rPr>
                <w:rFonts w:ascii="Times New Roman" w:hAnsi="Times New Roman" w:cs="Times New Roman"/>
                <w:color w:val="000000"/>
                <w:sz w:val="20"/>
                <w:szCs w:val="20"/>
              </w:rPr>
              <w:t xml:space="preserve">Nationella riktlinjer för vård och omsorg vid demenssjukdom 2010. </w:t>
            </w:r>
            <w:r w:rsidR="00B03681" w:rsidRPr="00DD5FE4">
              <w:rPr>
                <w:rFonts w:ascii="Times New Roman" w:hAnsi="Times New Roman" w:cs="Times New Roman"/>
                <w:color w:val="000000"/>
                <w:sz w:val="20"/>
                <w:szCs w:val="20"/>
                <w:lang w:val="en-GB"/>
              </w:rPr>
              <w:t xml:space="preserve">Indikator 2. </w:t>
            </w:r>
            <w:r w:rsidRPr="00DD5FE4">
              <w:rPr>
                <w:rFonts w:ascii="Times New Roman" w:hAnsi="Times New Roman" w:cs="Times New Roman"/>
                <w:color w:val="000000"/>
                <w:sz w:val="20"/>
                <w:szCs w:val="20"/>
                <w:lang w:val="en-GB"/>
              </w:rPr>
              <w:t>Bilaga 3</w:t>
            </w:r>
            <w:r w:rsidR="00050421" w:rsidRPr="00DD5FE4">
              <w:rPr>
                <w:rFonts w:ascii="Times New Roman" w:hAnsi="Times New Roman" w:cs="Times New Roman"/>
                <w:color w:val="000000"/>
                <w:sz w:val="20"/>
                <w:szCs w:val="20"/>
                <w:lang w:val="en-GB"/>
              </w:rPr>
              <w:t>.</w:t>
            </w:r>
            <w:r w:rsidRPr="00DD5FE4">
              <w:rPr>
                <w:rFonts w:ascii="Times New Roman" w:hAnsi="Times New Roman" w:cs="Times New Roman"/>
                <w:color w:val="000000"/>
                <w:sz w:val="20"/>
                <w:szCs w:val="20"/>
                <w:lang w:val="en-GB"/>
              </w:rPr>
              <w:t xml:space="preserve"> (</w:t>
            </w:r>
            <w:r w:rsidRPr="00DD5FE4">
              <w:rPr>
                <w:rFonts w:ascii="Times New Roman" w:hAnsi="Times New Roman" w:cs="Times New Roman"/>
                <w:sz w:val="20"/>
                <w:szCs w:val="20"/>
                <w:lang w:val="en-GB"/>
              </w:rPr>
              <w:t xml:space="preserve">Indicators. National guidelines for care and service in dementia disease 2010. </w:t>
            </w:r>
            <w:r w:rsidR="00B03681" w:rsidRPr="00DD5FE4">
              <w:rPr>
                <w:rFonts w:ascii="Times New Roman" w:hAnsi="Times New Roman" w:cs="Times New Roman"/>
                <w:sz w:val="20"/>
                <w:szCs w:val="20"/>
                <w:lang w:val="en-GB"/>
              </w:rPr>
              <w:t xml:space="preserve">Indicator 2. </w:t>
            </w:r>
            <w:r w:rsidRPr="00DD5FE4">
              <w:rPr>
                <w:rFonts w:ascii="Times New Roman" w:hAnsi="Times New Roman" w:cs="Times New Roman"/>
                <w:sz w:val="20"/>
                <w:szCs w:val="20"/>
                <w:lang w:val="en-GB"/>
              </w:rPr>
              <w:t>Appendix 3</w:t>
            </w:r>
            <w:r w:rsidR="00050421" w:rsidRPr="00DD5FE4">
              <w:rPr>
                <w:rFonts w:ascii="Times New Roman" w:hAnsi="Times New Roman" w:cs="Times New Roman"/>
                <w:sz w:val="20"/>
                <w:szCs w:val="20"/>
                <w:lang w:val="en-GB"/>
              </w:rPr>
              <w:t>.</w:t>
            </w:r>
            <w:r w:rsidRPr="00DD5FE4">
              <w:rPr>
                <w:rFonts w:ascii="Times New Roman" w:hAnsi="Times New Roman" w:cs="Times New Roman"/>
                <w:sz w:val="20"/>
                <w:szCs w:val="20"/>
                <w:lang w:val="en-GB"/>
              </w:rPr>
              <w:t>)</w:t>
            </w:r>
          </w:p>
        </w:tc>
        <w:tc>
          <w:tcPr>
            <w:tcW w:w="1842" w:type="dxa"/>
            <w:shd w:val="clear" w:color="auto" w:fill="F2F2F2" w:themeFill="background1" w:themeFillShade="F2"/>
          </w:tcPr>
          <w:p w14:paraId="7C5D7977" w14:textId="77777777" w:rsidR="00DC208E" w:rsidRPr="00DD5FE4" w:rsidRDefault="00DC208E" w:rsidP="002B64E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MiloSerifOT" w:hAnsi="Times New Roman" w:cs="Times New Roman"/>
                <w:sz w:val="20"/>
                <w:szCs w:val="20"/>
                <w:lang w:val="en-GB"/>
              </w:rPr>
            </w:pPr>
            <w:r w:rsidRPr="00DD5FE4">
              <w:rPr>
                <w:rFonts w:ascii="Times New Roman" w:eastAsia="MiloSerifOT" w:hAnsi="Times New Roman" w:cs="Times New Roman"/>
                <w:sz w:val="20"/>
                <w:szCs w:val="20"/>
                <w:lang w:val="en-GB"/>
              </w:rPr>
              <w:t>Indicator 2. Treatment with antipsychotic medication in nursing home</w:t>
            </w:r>
            <w:r w:rsidR="00050421" w:rsidRPr="00DD5FE4">
              <w:rPr>
                <w:rFonts w:ascii="Times New Roman" w:eastAsia="MiloSerifOT" w:hAnsi="Times New Roman" w:cs="Times New Roman"/>
                <w:sz w:val="20"/>
                <w:szCs w:val="20"/>
                <w:lang w:val="en-GB"/>
              </w:rPr>
              <w:t>s.</w:t>
            </w:r>
          </w:p>
        </w:tc>
        <w:tc>
          <w:tcPr>
            <w:tcW w:w="1843" w:type="dxa"/>
            <w:shd w:val="clear" w:color="auto" w:fill="F2F2F2" w:themeFill="background1" w:themeFillShade="F2"/>
          </w:tcPr>
          <w:p w14:paraId="2909CA0F" w14:textId="77777777" w:rsidR="00DC208E" w:rsidRPr="00DD5FE4" w:rsidRDefault="00DC208E" w:rsidP="002B64E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MiloSerifOT" w:hAnsi="Times New Roman" w:cs="Times New Roman"/>
                <w:sz w:val="20"/>
                <w:szCs w:val="20"/>
                <w:lang w:val="en-GB"/>
              </w:rPr>
            </w:pPr>
            <w:r w:rsidRPr="00DD5FE4">
              <w:rPr>
                <w:rFonts w:ascii="Times New Roman" w:eastAsia="MiloSerifOT" w:hAnsi="Times New Roman" w:cs="Times New Roman"/>
                <w:sz w:val="20"/>
                <w:szCs w:val="20"/>
                <w:lang w:val="en-GB"/>
              </w:rPr>
              <w:t>Registers:</w:t>
            </w:r>
          </w:p>
          <w:p w14:paraId="779976CA" w14:textId="051191FD" w:rsidR="00DC208E" w:rsidRPr="00DD5FE4" w:rsidRDefault="00DC208E" w:rsidP="002B64E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MiloSerifOT" w:hAnsi="Times New Roman" w:cs="Times New Roman"/>
                <w:sz w:val="20"/>
                <w:szCs w:val="20"/>
                <w:lang w:val="en-GB"/>
              </w:rPr>
            </w:pPr>
            <w:r w:rsidRPr="00DD5FE4">
              <w:rPr>
                <w:rFonts w:ascii="Times New Roman" w:eastAsia="MiloSerifOT" w:hAnsi="Times New Roman" w:cs="Times New Roman"/>
                <w:sz w:val="20"/>
                <w:szCs w:val="20"/>
                <w:lang w:val="en-GB"/>
              </w:rPr>
              <w:t>S</w:t>
            </w:r>
            <w:r w:rsidR="00FE630B">
              <w:rPr>
                <w:rFonts w:ascii="Times New Roman" w:eastAsia="MiloSerifOT" w:hAnsi="Times New Roman" w:cs="Times New Roman"/>
                <w:sz w:val="20"/>
                <w:szCs w:val="20"/>
                <w:lang w:val="en-GB"/>
              </w:rPr>
              <w:t>v</w:t>
            </w:r>
            <w:r w:rsidRPr="00DD5FE4">
              <w:rPr>
                <w:rFonts w:ascii="Times New Roman" w:eastAsia="MiloSerifOT" w:hAnsi="Times New Roman" w:cs="Times New Roman"/>
                <w:sz w:val="20"/>
                <w:szCs w:val="20"/>
                <w:lang w:val="en-GB"/>
              </w:rPr>
              <w:t>eDem</w:t>
            </w:r>
            <w:r w:rsidR="00050421" w:rsidRPr="00DD5FE4">
              <w:rPr>
                <w:rFonts w:ascii="Times New Roman" w:eastAsia="MiloSerifOT" w:hAnsi="Times New Roman" w:cs="Times New Roman"/>
                <w:sz w:val="20"/>
                <w:szCs w:val="20"/>
                <w:lang w:val="en-GB"/>
              </w:rPr>
              <w:t>;</w:t>
            </w:r>
          </w:p>
          <w:p w14:paraId="556F1F50" w14:textId="7C327522" w:rsidR="00DC208E" w:rsidRPr="00DD5FE4" w:rsidRDefault="00DC208E" w:rsidP="002B64E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MiloSerifOT" w:hAnsi="Times New Roman" w:cs="Times New Roman"/>
                <w:sz w:val="20"/>
                <w:szCs w:val="20"/>
                <w:lang w:val="en-GB"/>
              </w:rPr>
            </w:pPr>
            <w:r w:rsidRPr="00DD5FE4">
              <w:rPr>
                <w:rFonts w:ascii="Times New Roman" w:eastAsia="MiloSerifOT" w:hAnsi="Times New Roman" w:cs="Times New Roman"/>
                <w:sz w:val="20"/>
                <w:szCs w:val="20"/>
                <w:lang w:val="en-GB"/>
              </w:rPr>
              <w:t xml:space="preserve">The </w:t>
            </w:r>
            <w:r w:rsidR="00C55B20" w:rsidRPr="00DD5FE4">
              <w:rPr>
                <w:rFonts w:ascii="Times New Roman" w:eastAsia="MiloSerifOT" w:hAnsi="Times New Roman" w:cs="Times New Roman"/>
                <w:sz w:val="20"/>
                <w:szCs w:val="20"/>
                <w:lang w:val="en-GB"/>
              </w:rPr>
              <w:t>P</w:t>
            </w:r>
            <w:r w:rsidRPr="00DD5FE4">
              <w:rPr>
                <w:rFonts w:ascii="Times New Roman" w:eastAsia="MiloSerifOT" w:hAnsi="Times New Roman" w:cs="Times New Roman"/>
                <w:sz w:val="20"/>
                <w:szCs w:val="20"/>
                <w:lang w:val="en-GB"/>
              </w:rPr>
              <w:t xml:space="preserve">harmaceutical </w:t>
            </w:r>
            <w:r w:rsidR="00C55B20" w:rsidRPr="00DD5FE4">
              <w:rPr>
                <w:rFonts w:ascii="Times New Roman" w:eastAsia="MiloSerifOT" w:hAnsi="Times New Roman" w:cs="Times New Roman"/>
                <w:sz w:val="20"/>
                <w:szCs w:val="20"/>
                <w:lang w:val="en-GB"/>
              </w:rPr>
              <w:t>R</w:t>
            </w:r>
            <w:r w:rsidRPr="00DD5FE4">
              <w:rPr>
                <w:rFonts w:ascii="Times New Roman" w:eastAsia="MiloSerifOT" w:hAnsi="Times New Roman" w:cs="Times New Roman"/>
                <w:sz w:val="20"/>
                <w:szCs w:val="20"/>
                <w:lang w:val="en-GB"/>
              </w:rPr>
              <w:t>egister</w:t>
            </w:r>
            <w:r w:rsidR="00050421" w:rsidRPr="00DD5FE4">
              <w:rPr>
                <w:rFonts w:ascii="Times New Roman" w:eastAsia="MiloSerifOT" w:hAnsi="Times New Roman" w:cs="Times New Roman"/>
                <w:sz w:val="20"/>
                <w:szCs w:val="20"/>
                <w:lang w:val="en-GB"/>
              </w:rPr>
              <w:t>;</w:t>
            </w:r>
          </w:p>
          <w:p w14:paraId="23112AB0" w14:textId="77777777" w:rsidR="00DC208E" w:rsidRPr="00DD5FE4" w:rsidRDefault="008D300F" w:rsidP="002B64E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MiloSerifOT" w:hAnsi="Times New Roman" w:cs="Times New Roman"/>
                <w:sz w:val="20"/>
                <w:szCs w:val="20"/>
                <w:lang w:val="en-GB"/>
              </w:rPr>
            </w:pPr>
            <w:r w:rsidRPr="00DD5FE4">
              <w:rPr>
                <w:rFonts w:ascii="Times New Roman" w:eastAsia="MiloSerifOT" w:hAnsi="Times New Roman" w:cs="Times New Roman"/>
                <w:sz w:val="20"/>
                <w:szCs w:val="20"/>
                <w:lang w:val="en-GB"/>
              </w:rPr>
              <w:t xml:space="preserve">The </w:t>
            </w:r>
            <w:r w:rsidR="00DC208E" w:rsidRPr="00DD5FE4">
              <w:rPr>
                <w:rFonts w:ascii="Times New Roman" w:eastAsia="MiloSerifOT" w:hAnsi="Times New Roman" w:cs="Times New Roman"/>
                <w:sz w:val="20"/>
                <w:szCs w:val="20"/>
                <w:lang w:val="en-GB"/>
              </w:rPr>
              <w:t>Elderly- and handicap service register</w:t>
            </w:r>
            <w:r w:rsidRPr="00DD5FE4">
              <w:rPr>
                <w:rFonts w:ascii="Times New Roman" w:eastAsia="MiloSerifOT" w:hAnsi="Times New Roman" w:cs="Times New Roman"/>
                <w:sz w:val="20"/>
                <w:szCs w:val="20"/>
                <w:lang w:val="en-GB"/>
              </w:rPr>
              <w:t>.</w:t>
            </w:r>
          </w:p>
          <w:p w14:paraId="649F679E" w14:textId="77777777" w:rsidR="00DC208E" w:rsidRPr="00DD5FE4" w:rsidRDefault="00DC208E" w:rsidP="002B64E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MiloSerifOT" w:hAnsi="Times New Roman" w:cs="Times New Roman"/>
                <w:sz w:val="20"/>
                <w:szCs w:val="20"/>
                <w:lang w:val="en-GB"/>
              </w:rPr>
            </w:pPr>
          </w:p>
        </w:tc>
        <w:tc>
          <w:tcPr>
            <w:tcW w:w="8505" w:type="dxa"/>
            <w:tcBorders>
              <w:right w:val="single" w:sz="4" w:space="0" w:color="auto"/>
            </w:tcBorders>
            <w:shd w:val="clear" w:color="auto" w:fill="F2F2F2" w:themeFill="background1" w:themeFillShade="F2"/>
          </w:tcPr>
          <w:p w14:paraId="525715C1" w14:textId="6428C045" w:rsidR="00DC208E" w:rsidRPr="00DD5FE4" w:rsidRDefault="008F4BD7" w:rsidP="008F4BD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MiloSerifOT" w:hAnsi="Times New Roman" w:cs="Times New Roman"/>
                <w:sz w:val="20"/>
                <w:szCs w:val="20"/>
                <w:lang w:val="en-GB"/>
              </w:rPr>
            </w:pPr>
            <w:r w:rsidRPr="00DD5FE4">
              <w:rPr>
                <w:rFonts w:ascii="Times New Roman" w:eastAsia="MiloSerifOT" w:hAnsi="Times New Roman" w:cs="Times New Roman"/>
                <w:sz w:val="20"/>
                <w:szCs w:val="20"/>
                <w:lang w:val="en-GB"/>
              </w:rPr>
              <w:t>Recommendations concern</w:t>
            </w:r>
            <w:r w:rsidR="00F37DB9" w:rsidRPr="00DD5FE4">
              <w:rPr>
                <w:rFonts w:ascii="Times New Roman" w:eastAsia="MiloSerifOT" w:hAnsi="Times New Roman" w:cs="Times New Roman"/>
                <w:sz w:val="20"/>
                <w:szCs w:val="20"/>
                <w:lang w:val="en-GB"/>
              </w:rPr>
              <w:t>ed t</w:t>
            </w:r>
            <w:r w:rsidR="00DC208E" w:rsidRPr="00DD5FE4">
              <w:rPr>
                <w:rFonts w:ascii="Times New Roman" w:eastAsia="MiloSerifOT" w:hAnsi="Times New Roman" w:cs="Times New Roman"/>
                <w:sz w:val="20"/>
                <w:szCs w:val="20"/>
                <w:lang w:val="en-GB"/>
              </w:rPr>
              <w:t>he proportion of persons with dementia in nursing homes treated with antipsychotic medication</w:t>
            </w:r>
            <w:r w:rsidR="00F37DB9" w:rsidRPr="00DD5FE4">
              <w:rPr>
                <w:rFonts w:ascii="Times New Roman" w:eastAsia="MiloSerifOT" w:hAnsi="Times New Roman" w:cs="Times New Roman"/>
                <w:sz w:val="20"/>
                <w:szCs w:val="20"/>
                <w:lang w:val="en-GB"/>
              </w:rPr>
              <w:t>;</w:t>
            </w:r>
            <w:r w:rsidR="00DC208E" w:rsidRPr="00DD5FE4">
              <w:rPr>
                <w:rFonts w:ascii="Times New Roman" w:eastAsia="MiloSerifOT" w:hAnsi="Times New Roman" w:cs="Times New Roman"/>
                <w:sz w:val="20"/>
                <w:szCs w:val="20"/>
                <w:lang w:val="en-GB"/>
              </w:rPr>
              <w:t xml:space="preserve"> </w:t>
            </w:r>
            <w:r w:rsidR="00F37DB9" w:rsidRPr="00DD5FE4">
              <w:rPr>
                <w:rFonts w:ascii="Times New Roman" w:eastAsia="MiloSerifOT" w:hAnsi="Times New Roman" w:cs="Times New Roman"/>
                <w:sz w:val="20"/>
                <w:szCs w:val="20"/>
                <w:lang w:val="en-GB"/>
              </w:rPr>
              <w:t>the y</w:t>
            </w:r>
            <w:r w:rsidR="00DC208E" w:rsidRPr="00DD5FE4">
              <w:rPr>
                <w:rFonts w:ascii="Times New Roman" w:eastAsia="MiloSerifOT" w:hAnsi="Times New Roman" w:cs="Times New Roman"/>
                <w:sz w:val="20"/>
                <w:szCs w:val="20"/>
                <w:lang w:val="en-GB"/>
              </w:rPr>
              <w:t>early re</w:t>
            </w:r>
            <w:r w:rsidR="007851CC">
              <w:rPr>
                <w:rFonts w:ascii="Times New Roman" w:eastAsia="MiloSerifOT" w:hAnsi="Times New Roman" w:cs="Times New Roman"/>
                <w:sz w:val="20"/>
                <w:szCs w:val="20"/>
                <w:lang w:val="en-GB"/>
              </w:rPr>
              <w:t>port</w:t>
            </w:r>
            <w:r w:rsidR="00DC208E" w:rsidRPr="00DD5FE4">
              <w:rPr>
                <w:rFonts w:ascii="Times New Roman" w:eastAsia="MiloSerifOT" w:hAnsi="Times New Roman" w:cs="Times New Roman"/>
                <w:sz w:val="20"/>
                <w:szCs w:val="20"/>
                <w:lang w:val="en-GB"/>
              </w:rPr>
              <w:t xml:space="preserve"> </w:t>
            </w:r>
            <w:r w:rsidRPr="00DD5FE4">
              <w:rPr>
                <w:rFonts w:ascii="Times New Roman" w:eastAsia="MiloSerifOT" w:hAnsi="Times New Roman" w:cs="Times New Roman"/>
                <w:sz w:val="20"/>
                <w:szCs w:val="20"/>
                <w:lang w:val="en-GB"/>
              </w:rPr>
              <w:t xml:space="preserve">at </w:t>
            </w:r>
            <w:r w:rsidR="00DC208E" w:rsidRPr="00DD5FE4">
              <w:rPr>
                <w:rFonts w:ascii="Times New Roman" w:eastAsia="MiloSerifOT" w:hAnsi="Times New Roman" w:cs="Times New Roman"/>
                <w:sz w:val="20"/>
                <w:szCs w:val="20"/>
                <w:lang w:val="en-GB"/>
              </w:rPr>
              <w:t xml:space="preserve">county council and municipal level, divided </w:t>
            </w:r>
            <w:r w:rsidR="008D300F" w:rsidRPr="00DD5FE4">
              <w:rPr>
                <w:rFonts w:ascii="Times New Roman" w:eastAsia="MiloSerifOT" w:hAnsi="Times New Roman" w:cs="Times New Roman"/>
                <w:sz w:val="20"/>
                <w:szCs w:val="20"/>
                <w:lang w:val="en-GB"/>
              </w:rPr>
              <w:t>by</w:t>
            </w:r>
            <w:r w:rsidR="00DC208E" w:rsidRPr="00DD5FE4">
              <w:rPr>
                <w:rFonts w:ascii="Times New Roman" w:eastAsia="MiloSerifOT" w:hAnsi="Times New Roman" w:cs="Times New Roman"/>
                <w:sz w:val="20"/>
                <w:szCs w:val="20"/>
                <w:lang w:val="en-GB"/>
              </w:rPr>
              <w:t xml:space="preserve"> gender and age</w:t>
            </w:r>
            <w:r w:rsidR="008D300F" w:rsidRPr="00DD5FE4">
              <w:rPr>
                <w:rFonts w:ascii="Times New Roman" w:eastAsia="MiloSerifOT" w:hAnsi="Times New Roman" w:cs="Times New Roman"/>
                <w:sz w:val="20"/>
                <w:szCs w:val="20"/>
                <w:lang w:val="en-GB"/>
              </w:rPr>
              <w:t>.</w:t>
            </w:r>
          </w:p>
        </w:tc>
      </w:tr>
      <w:tr w:rsidR="00E821B5" w:rsidRPr="00F705B9" w14:paraId="0A638C82" w14:textId="77777777" w:rsidTr="00E87C6E">
        <w:tc>
          <w:tcPr>
            <w:cnfStyle w:val="001000000000" w:firstRow="0" w:lastRow="0" w:firstColumn="1" w:lastColumn="0" w:oddVBand="0" w:evenVBand="0" w:oddHBand="0" w:evenHBand="0" w:firstRowFirstColumn="0" w:firstRowLastColumn="0" w:lastRowFirstColumn="0" w:lastRowLastColumn="0"/>
            <w:tcW w:w="680" w:type="dxa"/>
            <w:tcBorders>
              <w:left w:val="single" w:sz="4" w:space="0" w:color="auto"/>
            </w:tcBorders>
            <w:shd w:val="clear" w:color="auto" w:fill="auto"/>
          </w:tcPr>
          <w:p w14:paraId="37B348FF" w14:textId="77777777" w:rsidR="00DC208E" w:rsidRDefault="00D239D5" w:rsidP="002B64EC">
            <w:pPr>
              <w:rPr>
                <w:rFonts w:ascii="Times New Roman" w:hAnsi="Times New Roman" w:cs="Times New Roman"/>
                <w:color w:val="auto"/>
                <w:sz w:val="20"/>
                <w:szCs w:val="20"/>
                <w:lang w:val="en-GB"/>
              </w:rPr>
            </w:pPr>
            <w:r w:rsidRPr="00473AC9">
              <w:rPr>
                <w:rFonts w:ascii="Times New Roman" w:hAnsi="Times New Roman" w:cs="Times New Roman"/>
                <w:color w:val="auto"/>
                <w:sz w:val="20"/>
                <w:szCs w:val="20"/>
                <w:lang w:val="en-GB"/>
              </w:rPr>
              <w:lastRenderedPageBreak/>
              <w:t>6</w:t>
            </w:r>
          </w:p>
          <w:p w14:paraId="47D2D7F1" w14:textId="1E261C1E" w:rsidR="00AC239D" w:rsidRPr="00473AC9" w:rsidRDefault="00AC239D" w:rsidP="002B64EC">
            <w:pPr>
              <w:rPr>
                <w:rFonts w:ascii="Times New Roman" w:hAnsi="Times New Roman" w:cs="Times New Roman"/>
                <w:color w:val="auto"/>
                <w:sz w:val="20"/>
                <w:szCs w:val="20"/>
                <w:lang w:val="en-GB"/>
              </w:rPr>
            </w:pPr>
            <w:r w:rsidRPr="00B7743A">
              <w:rPr>
                <w:rFonts w:ascii="Times New Roman" w:hAnsi="Times New Roman"/>
                <w:b w:val="0"/>
                <w:color w:val="auto"/>
                <w:sz w:val="20"/>
                <w:szCs w:val="20"/>
                <w:lang w:val="en-GB"/>
              </w:rPr>
              <w:t>[4</w:t>
            </w:r>
            <w:r>
              <w:rPr>
                <w:rFonts w:ascii="Times New Roman" w:hAnsi="Times New Roman"/>
                <w:b w:val="0"/>
                <w:color w:val="auto"/>
                <w:sz w:val="20"/>
                <w:szCs w:val="20"/>
                <w:lang w:val="en-GB"/>
              </w:rPr>
              <w:t>3</w:t>
            </w:r>
            <w:r w:rsidRPr="00B7743A">
              <w:rPr>
                <w:rFonts w:ascii="Times New Roman" w:hAnsi="Times New Roman"/>
                <w:b w:val="0"/>
                <w:color w:val="auto"/>
                <w:sz w:val="20"/>
                <w:szCs w:val="20"/>
                <w:lang w:val="en-GB"/>
              </w:rPr>
              <w:t>]</w:t>
            </w:r>
          </w:p>
        </w:tc>
        <w:tc>
          <w:tcPr>
            <w:tcW w:w="993" w:type="dxa"/>
            <w:shd w:val="clear" w:color="auto" w:fill="auto"/>
          </w:tcPr>
          <w:p w14:paraId="7EB31EF9" w14:textId="77777777" w:rsidR="00DC208E" w:rsidRPr="00DD5FE4" w:rsidRDefault="00DC208E" w:rsidP="002B64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DD5FE4">
              <w:rPr>
                <w:rFonts w:ascii="Times New Roman" w:hAnsi="Times New Roman" w:cs="Times New Roman"/>
                <w:sz w:val="20"/>
                <w:szCs w:val="20"/>
                <w:lang w:val="en-GB"/>
              </w:rPr>
              <w:t>The National Board of Health and Welfare, 2010</w:t>
            </w:r>
          </w:p>
        </w:tc>
        <w:tc>
          <w:tcPr>
            <w:tcW w:w="1701" w:type="dxa"/>
            <w:gridSpan w:val="2"/>
            <w:shd w:val="clear" w:color="auto" w:fill="auto"/>
          </w:tcPr>
          <w:p w14:paraId="38B84246" w14:textId="77777777" w:rsidR="00DC208E" w:rsidRPr="001325CE" w:rsidRDefault="00DC208E" w:rsidP="002B64E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325CE">
              <w:rPr>
                <w:rFonts w:ascii="Times New Roman" w:hAnsi="Times New Roman" w:cs="Times New Roman"/>
                <w:color w:val="000000"/>
                <w:sz w:val="20"/>
                <w:szCs w:val="20"/>
              </w:rPr>
              <w:t xml:space="preserve">Indikatorer </w:t>
            </w:r>
          </w:p>
          <w:p w14:paraId="6346403F" w14:textId="77777777" w:rsidR="00DC208E" w:rsidRDefault="00DC208E" w:rsidP="002B64E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1325CE">
              <w:rPr>
                <w:rFonts w:ascii="Times New Roman" w:hAnsi="Times New Roman" w:cs="Times New Roman"/>
                <w:color w:val="000000"/>
                <w:sz w:val="20"/>
                <w:szCs w:val="20"/>
              </w:rPr>
              <w:t xml:space="preserve">Nationella riktlinjer för vård och omsorg vid demenssjukdom 2010. </w:t>
            </w:r>
            <w:r w:rsidR="00B03681" w:rsidRPr="00DD5FE4">
              <w:rPr>
                <w:rFonts w:ascii="Times New Roman" w:hAnsi="Times New Roman" w:cs="Times New Roman"/>
                <w:color w:val="000000"/>
                <w:sz w:val="20"/>
                <w:szCs w:val="20"/>
                <w:lang w:val="en-GB"/>
              </w:rPr>
              <w:t xml:space="preserve">Indikator 3. </w:t>
            </w:r>
            <w:r w:rsidRPr="00DD5FE4">
              <w:rPr>
                <w:rFonts w:ascii="Times New Roman" w:hAnsi="Times New Roman" w:cs="Times New Roman"/>
                <w:color w:val="000000"/>
                <w:sz w:val="20"/>
                <w:szCs w:val="20"/>
                <w:lang w:val="en-GB"/>
              </w:rPr>
              <w:t>Bilaga 3</w:t>
            </w:r>
            <w:r w:rsidR="00F37DB9" w:rsidRPr="00DD5FE4">
              <w:rPr>
                <w:rFonts w:ascii="Times New Roman" w:hAnsi="Times New Roman" w:cs="Times New Roman"/>
                <w:color w:val="000000"/>
                <w:sz w:val="20"/>
                <w:szCs w:val="20"/>
                <w:lang w:val="en-GB"/>
              </w:rPr>
              <w:t>.</w:t>
            </w:r>
            <w:r w:rsidRPr="00DD5FE4">
              <w:rPr>
                <w:rFonts w:ascii="Times New Roman" w:hAnsi="Times New Roman" w:cs="Times New Roman"/>
                <w:color w:val="000000"/>
                <w:sz w:val="20"/>
                <w:szCs w:val="20"/>
                <w:lang w:val="en-GB"/>
              </w:rPr>
              <w:t xml:space="preserve"> (</w:t>
            </w:r>
            <w:r w:rsidRPr="00DD5FE4">
              <w:rPr>
                <w:rFonts w:ascii="Times New Roman" w:hAnsi="Times New Roman" w:cs="Times New Roman"/>
                <w:sz w:val="20"/>
                <w:szCs w:val="20"/>
                <w:lang w:val="en-GB"/>
              </w:rPr>
              <w:t xml:space="preserve">Indicators. National guidelines for care and service in dementia disease 2010. </w:t>
            </w:r>
            <w:r w:rsidR="00B03681" w:rsidRPr="00DD5FE4">
              <w:rPr>
                <w:rFonts w:ascii="Times New Roman" w:hAnsi="Times New Roman" w:cs="Times New Roman"/>
                <w:sz w:val="20"/>
                <w:szCs w:val="20"/>
                <w:lang w:val="en-GB"/>
              </w:rPr>
              <w:t xml:space="preserve">Indicator 3. </w:t>
            </w:r>
            <w:r w:rsidRPr="00DD5FE4">
              <w:rPr>
                <w:rFonts w:ascii="Times New Roman" w:hAnsi="Times New Roman" w:cs="Times New Roman"/>
                <w:sz w:val="20"/>
                <w:szCs w:val="20"/>
                <w:lang w:val="en-GB"/>
              </w:rPr>
              <w:t>Appendix 3</w:t>
            </w:r>
            <w:r w:rsidR="00F37DB9" w:rsidRPr="00DD5FE4">
              <w:rPr>
                <w:rFonts w:ascii="Times New Roman" w:hAnsi="Times New Roman" w:cs="Times New Roman"/>
                <w:sz w:val="20"/>
                <w:szCs w:val="20"/>
                <w:lang w:val="en-GB"/>
              </w:rPr>
              <w:t>.</w:t>
            </w:r>
            <w:r w:rsidRPr="00DD5FE4">
              <w:rPr>
                <w:rFonts w:ascii="Times New Roman" w:hAnsi="Times New Roman" w:cs="Times New Roman"/>
                <w:sz w:val="20"/>
                <w:szCs w:val="20"/>
                <w:lang w:val="en-GB"/>
              </w:rPr>
              <w:t>)</w:t>
            </w:r>
          </w:p>
          <w:p w14:paraId="0FD34F2D" w14:textId="77777777" w:rsidR="00E87C6E" w:rsidRPr="00DD5FE4" w:rsidRDefault="00E87C6E" w:rsidP="002B64E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en-GB"/>
              </w:rPr>
            </w:pPr>
          </w:p>
        </w:tc>
        <w:tc>
          <w:tcPr>
            <w:tcW w:w="1842" w:type="dxa"/>
            <w:shd w:val="clear" w:color="auto" w:fill="auto"/>
          </w:tcPr>
          <w:p w14:paraId="3891195C" w14:textId="77777777" w:rsidR="00DC208E" w:rsidRPr="00DD5FE4" w:rsidRDefault="00DC208E" w:rsidP="002B64E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MiloSerifOT" w:hAnsi="Times New Roman" w:cs="Times New Roman"/>
                <w:sz w:val="20"/>
                <w:szCs w:val="20"/>
                <w:lang w:val="en-GB"/>
              </w:rPr>
            </w:pPr>
            <w:r w:rsidRPr="00DD5FE4">
              <w:rPr>
                <w:rFonts w:ascii="Times New Roman" w:eastAsia="MiloSerifOT" w:hAnsi="Times New Roman" w:cs="Times New Roman"/>
                <w:sz w:val="20"/>
                <w:szCs w:val="20"/>
                <w:lang w:val="en-GB"/>
              </w:rPr>
              <w:t>Indicator 3</w:t>
            </w:r>
            <w:r w:rsidR="00C55B20" w:rsidRPr="00DD5FE4">
              <w:rPr>
                <w:rFonts w:ascii="Times New Roman" w:eastAsia="MiloSerifOT" w:hAnsi="Times New Roman" w:cs="Times New Roman"/>
                <w:sz w:val="20"/>
                <w:szCs w:val="20"/>
                <w:lang w:val="en-GB"/>
              </w:rPr>
              <w:t>.</w:t>
            </w:r>
          </w:p>
          <w:p w14:paraId="3186B81D" w14:textId="69E3BCC2" w:rsidR="00DC208E" w:rsidRPr="00DD5FE4" w:rsidRDefault="00C55B20" w:rsidP="002B64E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MiloSerifOT" w:hAnsi="Times New Roman" w:cs="Times New Roman"/>
                <w:sz w:val="20"/>
                <w:szCs w:val="20"/>
                <w:lang w:val="en-GB"/>
              </w:rPr>
            </w:pPr>
            <w:r w:rsidRPr="00DD5FE4">
              <w:rPr>
                <w:rFonts w:ascii="Times New Roman" w:eastAsia="MiloSerifOT" w:hAnsi="Times New Roman" w:cs="Times New Roman"/>
                <w:sz w:val="20"/>
                <w:szCs w:val="20"/>
                <w:lang w:val="en-GB"/>
              </w:rPr>
              <w:t>G</w:t>
            </w:r>
            <w:r w:rsidR="00DC208E" w:rsidRPr="00DD5FE4">
              <w:rPr>
                <w:rFonts w:ascii="Times New Roman" w:eastAsia="MiloSerifOT" w:hAnsi="Times New Roman" w:cs="Times New Roman"/>
                <w:sz w:val="20"/>
                <w:szCs w:val="20"/>
                <w:lang w:val="en-GB"/>
              </w:rPr>
              <w:t>uidelines and routines for pharmaceutical survey with focus on follow</w:t>
            </w:r>
            <w:r w:rsidR="008F4BD7" w:rsidRPr="00DD5FE4">
              <w:rPr>
                <w:rFonts w:ascii="Times New Roman" w:eastAsia="MiloSerifOT" w:hAnsi="Times New Roman" w:cs="Times New Roman"/>
                <w:sz w:val="20"/>
                <w:szCs w:val="20"/>
                <w:lang w:val="en-GB"/>
              </w:rPr>
              <w:t>-</w:t>
            </w:r>
            <w:r w:rsidR="00DC208E" w:rsidRPr="00DD5FE4">
              <w:rPr>
                <w:rFonts w:ascii="Times New Roman" w:eastAsia="MiloSerifOT" w:hAnsi="Times New Roman" w:cs="Times New Roman"/>
                <w:sz w:val="20"/>
                <w:szCs w:val="20"/>
                <w:lang w:val="en-GB"/>
              </w:rPr>
              <w:t>up of treatment with antipsychotic medication in persons with dementia</w:t>
            </w:r>
            <w:r w:rsidR="008F4BD7" w:rsidRPr="00DD5FE4">
              <w:rPr>
                <w:rFonts w:ascii="Times New Roman" w:eastAsia="MiloSerifOT" w:hAnsi="Times New Roman" w:cs="Times New Roman"/>
                <w:sz w:val="20"/>
                <w:szCs w:val="20"/>
                <w:lang w:val="en-GB"/>
              </w:rPr>
              <w:t>.</w:t>
            </w:r>
          </w:p>
        </w:tc>
        <w:tc>
          <w:tcPr>
            <w:tcW w:w="1843" w:type="dxa"/>
            <w:shd w:val="clear" w:color="auto" w:fill="auto"/>
          </w:tcPr>
          <w:p w14:paraId="1851F446" w14:textId="77777777" w:rsidR="00DC208E" w:rsidRPr="00DD5FE4" w:rsidRDefault="00DC208E" w:rsidP="002B64E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MiloSerifOT" w:hAnsi="Times New Roman" w:cs="Times New Roman"/>
                <w:sz w:val="20"/>
                <w:szCs w:val="20"/>
                <w:lang w:val="en-GB"/>
              </w:rPr>
            </w:pPr>
            <w:r w:rsidRPr="00DD5FE4">
              <w:rPr>
                <w:rFonts w:ascii="Times New Roman" w:eastAsia="MiloSerifOT" w:hAnsi="Times New Roman" w:cs="Times New Roman"/>
                <w:sz w:val="20"/>
                <w:szCs w:val="20"/>
                <w:lang w:val="en-GB"/>
              </w:rPr>
              <w:t>Questionnaires to managers in primary health care and specialized health care</w:t>
            </w:r>
            <w:r w:rsidR="008F4BD7" w:rsidRPr="00DD5FE4">
              <w:rPr>
                <w:rFonts w:ascii="Times New Roman" w:eastAsia="MiloSerifOT" w:hAnsi="Times New Roman" w:cs="Times New Roman"/>
                <w:sz w:val="20"/>
                <w:szCs w:val="20"/>
                <w:lang w:val="en-GB"/>
              </w:rPr>
              <w:t>.</w:t>
            </w:r>
          </w:p>
        </w:tc>
        <w:tc>
          <w:tcPr>
            <w:tcW w:w="8505" w:type="dxa"/>
            <w:tcBorders>
              <w:right w:val="single" w:sz="4" w:space="0" w:color="auto"/>
            </w:tcBorders>
            <w:shd w:val="clear" w:color="auto" w:fill="auto"/>
          </w:tcPr>
          <w:p w14:paraId="1B14DCB3" w14:textId="13CBFADE" w:rsidR="00DC208E" w:rsidRPr="00DD5FE4" w:rsidRDefault="008F4BD7" w:rsidP="008F4BD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MiloSerifOT" w:hAnsi="Times New Roman" w:cs="Times New Roman"/>
                <w:sz w:val="20"/>
                <w:szCs w:val="20"/>
                <w:lang w:val="en-GB"/>
              </w:rPr>
            </w:pPr>
            <w:r w:rsidRPr="00DD5FE4">
              <w:rPr>
                <w:rFonts w:ascii="Times New Roman" w:eastAsia="MiloSerifOT" w:hAnsi="Times New Roman" w:cs="Times New Roman"/>
                <w:sz w:val="20"/>
                <w:szCs w:val="20"/>
                <w:lang w:val="en-GB"/>
              </w:rPr>
              <w:t>Recommendations concerned t</w:t>
            </w:r>
            <w:r w:rsidR="00DC208E" w:rsidRPr="00DD5FE4">
              <w:rPr>
                <w:rFonts w:ascii="Times New Roman" w:eastAsia="MiloSerifOT" w:hAnsi="Times New Roman" w:cs="Times New Roman"/>
                <w:sz w:val="20"/>
                <w:szCs w:val="20"/>
                <w:lang w:val="en-GB"/>
              </w:rPr>
              <w:t>he proportion of units with established routines for how treatment with antipsychotic medication is followed up, in relation to investigated units</w:t>
            </w:r>
            <w:r w:rsidRPr="00DD5FE4">
              <w:rPr>
                <w:rFonts w:ascii="Times New Roman" w:eastAsia="MiloSerifOT" w:hAnsi="Times New Roman" w:cs="Times New Roman"/>
                <w:sz w:val="20"/>
                <w:szCs w:val="20"/>
                <w:lang w:val="en-GB"/>
              </w:rPr>
              <w:t>; and y</w:t>
            </w:r>
            <w:r w:rsidR="00DC208E" w:rsidRPr="00DD5FE4">
              <w:rPr>
                <w:rFonts w:ascii="Times New Roman" w:eastAsia="MiloSerifOT" w:hAnsi="Times New Roman" w:cs="Times New Roman"/>
                <w:sz w:val="20"/>
                <w:szCs w:val="20"/>
                <w:lang w:val="en-GB"/>
              </w:rPr>
              <w:t>early re</w:t>
            </w:r>
            <w:r w:rsidR="007851CC">
              <w:rPr>
                <w:rFonts w:ascii="Times New Roman" w:eastAsia="MiloSerifOT" w:hAnsi="Times New Roman" w:cs="Times New Roman"/>
                <w:sz w:val="20"/>
                <w:szCs w:val="20"/>
                <w:lang w:val="en-GB"/>
              </w:rPr>
              <w:t>port</w:t>
            </w:r>
            <w:r w:rsidR="00DC208E" w:rsidRPr="00DD5FE4">
              <w:rPr>
                <w:rFonts w:ascii="Times New Roman" w:eastAsia="MiloSerifOT" w:hAnsi="Times New Roman" w:cs="Times New Roman"/>
                <w:sz w:val="20"/>
                <w:szCs w:val="20"/>
                <w:lang w:val="en-GB"/>
              </w:rPr>
              <w:t xml:space="preserve"> </w:t>
            </w:r>
            <w:r w:rsidRPr="00DD5FE4">
              <w:rPr>
                <w:rFonts w:ascii="Times New Roman" w:eastAsia="MiloSerifOT" w:hAnsi="Times New Roman" w:cs="Times New Roman"/>
                <w:sz w:val="20"/>
                <w:szCs w:val="20"/>
                <w:lang w:val="en-GB"/>
              </w:rPr>
              <w:t>at</w:t>
            </w:r>
            <w:r w:rsidR="00DC208E" w:rsidRPr="00DD5FE4">
              <w:rPr>
                <w:rFonts w:ascii="Times New Roman" w:eastAsia="MiloSerifOT" w:hAnsi="Times New Roman" w:cs="Times New Roman"/>
                <w:sz w:val="20"/>
                <w:szCs w:val="20"/>
                <w:lang w:val="en-GB"/>
              </w:rPr>
              <w:t xml:space="preserve"> county council and municipal level</w:t>
            </w:r>
            <w:r w:rsidRPr="00DD5FE4">
              <w:rPr>
                <w:rFonts w:ascii="Times New Roman" w:eastAsia="MiloSerifOT" w:hAnsi="Times New Roman" w:cs="Times New Roman"/>
                <w:sz w:val="20"/>
                <w:szCs w:val="20"/>
                <w:lang w:val="en-GB"/>
              </w:rPr>
              <w:t>.</w:t>
            </w:r>
            <w:r w:rsidR="00DC208E" w:rsidRPr="00DD5FE4">
              <w:rPr>
                <w:rFonts w:ascii="Times New Roman" w:eastAsia="MiloSerifOT" w:hAnsi="Times New Roman" w:cs="Times New Roman"/>
                <w:sz w:val="20"/>
                <w:szCs w:val="20"/>
                <w:lang w:val="en-GB"/>
              </w:rPr>
              <w:t xml:space="preserve"> </w:t>
            </w:r>
          </w:p>
        </w:tc>
      </w:tr>
      <w:tr w:rsidR="00E821B5" w:rsidRPr="00F705B9" w14:paraId="662E96F2" w14:textId="77777777" w:rsidTr="00E87C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 w:type="dxa"/>
            <w:tcBorders>
              <w:left w:val="single" w:sz="4" w:space="0" w:color="auto"/>
            </w:tcBorders>
            <w:shd w:val="clear" w:color="auto" w:fill="F2F2F2" w:themeFill="background1" w:themeFillShade="F2"/>
          </w:tcPr>
          <w:p w14:paraId="37116F62" w14:textId="77777777" w:rsidR="00DC208E" w:rsidRDefault="00D239D5" w:rsidP="002B64EC">
            <w:pPr>
              <w:rPr>
                <w:rFonts w:ascii="Times New Roman" w:hAnsi="Times New Roman" w:cs="Times New Roman"/>
                <w:color w:val="auto"/>
                <w:sz w:val="20"/>
                <w:szCs w:val="20"/>
                <w:lang w:val="en-GB"/>
              </w:rPr>
            </w:pPr>
            <w:r w:rsidRPr="00473AC9">
              <w:rPr>
                <w:rFonts w:ascii="Times New Roman" w:hAnsi="Times New Roman" w:cs="Times New Roman"/>
                <w:color w:val="auto"/>
                <w:sz w:val="20"/>
                <w:szCs w:val="20"/>
                <w:lang w:val="en-GB"/>
              </w:rPr>
              <w:t>7</w:t>
            </w:r>
          </w:p>
          <w:p w14:paraId="634559D6" w14:textId="77777777" w:rsidR="00AC239D" w:rsidRDefault="00AC239D" w:rsidP="002B64EC">
            <w:pPr>
              <w:rPr>
                <w:rFonts w:ascii="Times New Roman" w:hAnsi="Times New Roman"/>
                <w:b w:val="0"/>
                <w:color w:val="auto"/>
                <w:sz w:val="20"/>
                <w:szCs w:val="20"/>
                <w:lang w:val="en-GB"/>
              </w:rPr>
            </w:pPr>
            <w:r w:rsidRPr="00B7743A">
              <w:rPr>
                <w:rFonts w:ascii="Times New Roman" w:hAnsi="Times New Roman"/>
                <w:b w:val="0"/>
                <w:color w:val="auto"/>
                <w:sz w:val="20"/>
                <w:szCs w:val="20"/>
                <w:lang w:val="en-GB"/>
              </w:rPr>
              <w:t>[4</w:t>
            </w:r>
            <w:r>
              <w:rPr>
                <w:rFonts w:ascii="Times New Roman" w:hAnsi="Times New Roman"/>
                <w:b w:val="0"/>
                <w:color w:val="auto"/>
                <w:sz w:val="20"/>
                <w:szCs w:val="20"/>
                <w:lang w:val="en-GB"/>
              </w:rPr>
              <w:t>2</w:t>
            </w:r>
            <w:r w:rsidRPr="00B7743A">
              <w:rPr>
                <w:rFonts w:ascii="Times New Roman" w:hAnsi="Times New Roman"/>
                <w:b w:val="0"/>
                <w:color w:val="auto"/>
                <w:sz w:val="20"/>
                <w:szCs w:val="20"/>
                <w:lang w:val="en-GB"/>
              </w:rPr>
              <w:t>]</w:t>
            </w:r>
          </w:p>
          <w:p w14:paraId="76946272" w14:textId="77777777" w:rsidR="00E87C6E" w:rsidRDefault="00E87C6E" w:rsidP="002B64EC">
            <w:pPr>
              <w:rPr>
                <w:rFonts w:ascii="Times New Roman" w:hAnsi="Times New Roman"/>
                <w:b w:val="0"/>
                <w:color w:val="auto"/>
                <w:sz w:val="20"/>
                <w:szCs w:val="20"/>
                <w:lang w:val="en-GB"/>
              </w:rPr>
            </w:pPr>
          </w:p>
          <w:p w14:paraId="3591AB59" w14:textId="77777777" w:rsidR="00E87C6E" w:rsidRDefault="00E87C6E" w:rsidP="002B64EC">
            <w:pPr>
              <w:rPr>
                <w:rFonts w:ascii="Times New Roman" w:hAnsi="Times New Roman"/>
                <w:b w:val="0"/>
                <w:color w:val="auto"/>
                <w:sz w:val="20"/>
                <w:szCs w:val="20"/>
                <w:lang w:val="en-GB"/>
              </w:rPr>
            </w:pPr>
          </w:p>
          <w:p w14:paraId="30673998" w14:textId="77777777" w:rsidR="00E87C6E" w:rsidRDefault="00E87C6E" w:rsidP="002B64EC">
            <w:pPr>
              <w:rPr>
                <w:rFonts w:ascii="Times New Roman" w:hAnsi="Times New Roman"/>
                <w:b w:val="0"/>
                <w:color w:val="auto"/>
                <w:sz w:val="20"/>
                <w:szCs w:val="20"/>
                <w:lang w:val="en-GB"/>
              </w:rPr>
            </w:pPr>
          </w:p>
          <w:p w14:paraId="031941E8" w14:textId="77777777" w:rsidR="00E87C6E" w:rsidRDefault="00E87C6E" w:rsidP="002B64EC">
            <w:pPr>
              <w:rPr>
                <w:rFonts w:ascii="Times New Roman" w:hAnsi="Times New Roman"/>
                <w:b w:val="0"/>
                <w:color w:val="auto"/>
                <w:sz w:val="20"/>
                <w:szCs w:val="20"/>
                <w:lang w:val="en-GB"/>
              </w:rPr>
            </w:pPr>
          </w:p>
          <w:p w14:paraId="7B0211E8" w14:textId="77777777" w:rsidR="00E87C6E" w:rsidRDefault="00E87C6E" w:rsidP="002B64EC">
            <w:pPr>
              <w:rPr>
                <w:rFonts w:ascii="Times New Roman" w:hAnsi="Times New Roman"/>
                <w:b w:val="0"/>
                <w:color w:val="auto"/>
                <w:sz w:val="20"/>
                <w:szCs w:val="20"/>
                <w:lang w:val="en-GB"/>
              </w:rPr>
            </w:pPr>
          </w:p>
          <w:p w14:paraId="1975ED11" w14:textId="77777777" w:rsidR="00E87C6E" w:rsidRDefault="00E87C6E" w:rsidP="002B64EC">
            <w:pPr>
              <w:rPr>
                <w:rFonts w:ascii="Times New Roman" w:hAnsi="Times New Roman"/>
                <w:b w:val="0"/>
                <w:color w:val="auto"/>
                <w:sz w:val="20"/>
                <w:szCs w:val="20"/>
                <w:lang w:val="en-GB"/>
              </w:rPr>
            </w:pPr>
          </w:p>
          <w:p w14:paraId="5C14726D" w14:textId="77777777" w:rsidR="00E87C6E" w:rsidRDefault="00E87C6E" w:rsidP="002B64EC">
            <w:pPr>
              <w:rPr>
                <w:rFonts w:ascii="Times New Roman" w:hAnsi="Times New Roman"/>
                <w:b w:val="0"/>
                <w:color w:val="auto"/>
                <w:sz w:val="20"/>
                <w:szCs w:val="20"/>
                <w:lang w:val="en-GB"/>
              </w:rPr>
            </w:pPr>
          </w:p>
          <w:p w14:paraId="1776A3DB" w14:textId="77777777" w:rsidR="00E87C6E" w:rsidRDefault="00E87C6E" w:rsidP="002B64EC">
            <w:pPr>
              <w:rPr>
                <w:rFonts w:ascii="Times New Roman" w:hAnsi="Times New Roman"/>
                <w:b w:val="0"/>
                <w:color w:val="auto"/>
                <w:sz w:val="20"/>
                <w:szCs w:val="20"/>
                <w:lang w:val="en-GB"/>
              </w:rPr>
            </w:pPr>
          </w:p>
          <w:p w14:paraId="3D78BD62" w14:textId="77777777" w:rsidR="00E87C6E" w:rsidRDefault="00E87C6E" w:rsidP="002B64EC">
            <w:pPr>
              <w:rPr>
                <w:rFonts w:ascii="Times New Roman" w:hAnsi="Times New Roman"/>
                <w:b w:val="0"/>
                <w:color w:val="auto"/>
                <w:sz w:val="20"/>
                <w:szCs w:val="20"/>
                <w:lang w:val="en-GB"/>
              </w:rPr>
            </w:pPr>
          </w:p>
          <w:p w14:paraId="5C06349D" w14:textId="77777777" w:rsidR="00E87C6E" w:rsidRDefault="00E87C6E" w:rsidP="002B64EC">
            <w:pPr>
              <w:rPr>
                <w:rFonts w:ascii="Times New Roman" w:hAnsi="Times New Roman"/>
                <w:b w:val="0"/>
                <w:color w:val="auto"/>
                <w:sz w:val="20"/>
                <w:szCs w:val="20"/>
                <w:lang w:val="en-GB"/>
              </w:rPr>
            </w:pPr>
          </w:p>
          <w:p w14:paraId="751D46F8" w14:textId="77777777" w:rsidR="00E87C6E" w:rsidRDefault="00E87C6E" w:rsidP="002B64EC">
            <w:pPr>
              <w:rPr>
                <w:rFonts w:ascii="Times New Roman" w:hAnsi="Times New Roman"/>
                <w:b w:val="0"/>
                <w:color w:val="auto"/>
                <w:sz w:val="20"/>
                <w:szCs w:val="20"/>
                <w:lang w:val="en-GB"/>
              </w:rPr>
            </w:pPr>
          </w:p>
          <w:p w14:paraId="7F38936C" w14:textId="77777777" w:rsidR="00E87C6E" w:rsidRDefault="00E87C6E" w:rsidP="002B64EC">
            <w:pPr>
              <w:rPr>
                <w:rFonts w:ascii="Times New Roman" w:hAnsi="Times New Roman"/>
                <w:b w:val="0"/>
                <w:color w:val="auto"/>
                <w:sz w:val="20"/>
                <w:szCs w:val="20"/>
                <w:lang w:val="en-GB"/>
              </w:rPr>
            </w:pPr>
          </w:p>
          <w:p w14:paraId="387C95D7" w14:textId="77777777" w:rsidR="00E87C6E" w:rsidRDefault="00E87C6E" w:rsidP="002B64EC">
            <w:pPr>
              <w:rPr>
                <w:rFonts w:ascii="Times New Roman" w:hAnsi="Times New Roman"/>
                <w:b w:val="0"/>
                <w:color w:val="auto"/>
                <w:sz w:val="20"/>
                <w:szCs w:val="20"/>
                <w:lang w:val="en-GB"/>
              </w:rPr>
            </w:pPr>
          </w:p>
          <w:p w14:paraId="1E8D1979" w14:textId="77777777" w:rsidR="00E87C6E" w:rsidRDefault="00E87C6E" w:rsidP="002B64EC">
            <w:pPr>
              <w:rPr>
                <w:rFonts w:ascii="Times New Roman" w:hAnsi="Times New Roman"/>
                <w:b w:val="0"/>
                <w:color w:val="auto"/>
                <w:sz w:val="20"/>
                <w:szCs w:val="20"/>
                <w:lang w:val="en-GB"/>
              </w:rPr>
            </w:pPr>
          </w:p>
          <w:p w14:paraId="2616EB8F" w14:textId="77777777" w:rsidR="00E87C6E" w:rsidRDefault="00E87C6E" w:rsidP="002B64EC">
            <w:pPr>
              <w:rPr>
                <w:rFonts w:ascii="Times New Roman" w:hAnsi="Times New Roman"/>
                <w:b w:val="0"/>
                <w:color w:val="auto"/>
                <w:sz w:val="20"/>
                <w:szCs w:val="20"/>
                <w:lang w:val="en-GB"/>
              </w:rPr>
            </w:pPr>
          </w:p>
          <w:p w14:paraId="5857940E" w14:textId="77777777" w:rsidR="00E87C6E" w:rsidRDefault="00E87C6E" w:rsidP="002B64EC">
            <w:pPr>
              <w:rPr>
                <w:rFonts w:ascii="Times New Roman" w:hAnsi="Times New Roman"/>
                <w:b w:val="0"/>
                <w:color w:val="auto"/>
                <w:sz w:val="20"/>
                <w:szCs w:val="20"/>
                <w:lang w:val="en-GB"/>
              </w:rPr>
            </w:pPr>
          </w:p>
          <w:p w14:paraId="32D7C563" w14:textId="77777777" w:rsidR="00E87C6E" w:rsidRDefault="00E87C6E" w:rsidP="002B64EC">
            <w:pPr>
              <w:rPr>
                <w:rFonts w:ascii="Times New Roman" w:hAnsi="Times New Roman"/>
                <w:b w:val="0"/>
                <w:color w:val="auto"/>
                <w:sz w:val="20"/>
                <w:szCs w:val="20"/>
                <w:lang w:val="en-GB"/>
              </w:rPr>
            </w:pPr>
          </w:p>
          <w:p w14:paraId="1ABC3AD0" w14:textId="77777777" w:rsidR="00E87C6E" w:rsidRDefault="00E87C6E" w:rsidP="002B64EC">
            <w:pPr>
              <w:rPr>
                <w:rFonts w:ascii="Times New Roman" w:hAnsi="Times New Roman"/>
                <w:b w:val="0"/>
                <w:color w:val="auto"/>
                <w:sz w:val="20"/>
                <w:szCs w:val="20"/>
                <w:lang w:val="en-GB"/>
              </w:rPr>
            </w:pPr>
          </w:p>
          <w:p w14:paraId="4228FADB" w14:textId="77777777" w:rsidR="00E87C6E" w:rsidRDefault="00E87C6E" w:rsidP="002B64EC">
            <w:pPr>
              <w:rPr>
                <w:rFonts w:ascii="Times New Roman" w:hAnsi="Times New Roman"/>
                <w:b w:val="0"/>
                <w:color w:val="auto"/>
                <w:sz w:val="20"/>
                <w:szCs w:val="20"/>
                <w:lang w:val="en-GB"/>
              </w:rPr>
            </w:pPr>
          </w:p>
          <w:p w14:paraId="392C6D5D" w14:textId="77777777" w:rsidR="00E87C6E" w:rsidRDefault="00E87C6E" w:rsidP="002B64EC">
            <w:pPr>
              <w:rPr>
                <w:rFonts w:ascii="Times New Roman" w:hAnsi="Times New Roman"/>
                <w:b w:val="0"/>
                <w:color w:val="auto"/>
                <w:sz w:val="20"/>
                <w:szCs w:val="20"/>
                <w:lang w:val="en-GB"/>
              </w:rPr>
            </w:pPr>
          </w:p>
          <w:p w14:paraId="281203A9" w14:textId="310A3181" w:rsidR="00E87C6E" w:rsidRPr="00473AC9" w:rsidRDefault="00E87C6E" w:rsidP="002B64EC">
            <w:pPr>
              <w:rPr>
                <w:rFonts w:ascii="Times New Roman" w:hAnsi="Times New Roman" w:cs="Times New Roman"/>
                <w:color w:val="auto"/>
                <w:sz w:val="20"/>
                <w:szCs w:val="20"/>
                <w:lang w:val="en-GB"/>
              </w:rPr>
            </w:pPr>
          </w:p>
        </w:tc>
        <w:tc>
          <w:tcPr>
            <w:tcW w:w="993" w:type="dxa"/>
            <w:shd w:val="clear" w:color="auto" w:fill="F2F2F2" w:themeFill="background1" w:themeFillShade="F2"/>
          </w:tcPr>
          <w:p w14:paraId="56233938" w14:textId="77777777" w:rsidR="00DC208E" w:rsidRPr="00DD5FE4" w:rsidRDefault="00DC208E" w:rsidP="002B64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DD5FE4">
              <w:rPr>
                <w:rFonts w:ascii="Times New Roman" w:hAnsi="Times New Roman" w:cs="Times New Roman"/>
                <w:sz w:val="20"/>
                <w:szCs w:val="20"/>
                <w:lang w:val="en-GB"/>
              </w:rPr>
              <w:t>The National Board of Health and Welfare, 2010</w:t>
            </w:r>
          </w:p>
        </w:tc>
        <w:tc>
          <w:tcPr>
            <w:tcW w:w="1701" w:type="dxa"/>
            <w:gridSpan w:val="2"/>
            <w:shd w:val="clear" w:color="auto" w:fill="F2F2F2" w:themeFill="background1" w:themeFillShade="F2"/>
          </w:tcPr>
          <w:p w14:paraId="2056F67B" w14:textId="77777777" w:rsidR="00DC208E" w:rsidRPr="00DD5FE4" w:rsidRDefault="00DC208E" w:rsidP="002B64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1325CE">
              <w:rPr>
                <w:rFonts w:ascii="Times New Roman" w:hAnsi="Times New Roman" w:cs="Times New Roman"/>
                <w:color w:val="000000"/>
                <w:sz w:val="20"/>
                <w:szCs w:val="20"/>
              </w:rPr>
              <w:t xml:space="preserve">Nationella riktlinjer för vård och omsorg vid demenssjukdom 2010. </w:t>
            </w:r>
            <w:r w:rsidRPr="00DD5FE4">
              <w:rPr>
                <w:rFonts w:ascii="Times New Roman" w:hAnsi="Times New Roman" w:cs="Times New Roman"/>
                <w:color w:val="000000"/>
                <w:sz w:val="20"/>
                <w:szCs w:val="20"/>
                <w:lang w:val="en-GB"/>
              </w:rPr>
              <w:t>(</w:t>
            </w:r>
            <w:r w:rsidRPr="00DD5FE4">
              <w:rPr>
                <w:rFonts w:ascii="Times New Roman" w:hAnsi="Times New Roman" w:cs="Times New Roman"/>
                <w:sz w:val="20"/>
                <w:szCs w:val="20"/>
                <w:lang w:val="en-GB"/>
              </w:rPr>
              <w:t>National guidelines for care and service in dementia disease</w:t>
            </w:r>
            <w:r w:rsidR="008F4BD7" w:rsidRPr="00DD5FE4">
              <w:rPr>
                <w:rFonts w:ascii="Times New Roman" w:hAnsi="Times New Roman" w:cs="Times New Roman"/>
                <w:sz w:val="20"/>
                <w:szCs w:val="20"/>
                <w:lang w:val="en-GB"/>
              </w:rPr>
              <w:t>, 2010.</w:t>
            </w:r>
            <w:r w:rsidRPr="00DD5FE4">
              <w:rPr>
                <w:rFonts w:ascii="Times New Roman" w:hAnsi="Times New Roman" w:cs="Times New Roman"/>
                <w:sz w:val="20"/>
                <w:szCs w:val="20"/>
                <w:lang w:val="en-GB"/>
              </w:rPr>
              <w:t xml:space="preserve">) </w:t>
            </w:r>
          </w:p>
        </w:tc>
        <w:tc>
          <w:tcPr>
            <w:tcW w:w="1842" w:type="dxa"/>
            <w:shd w:val="clear" w:color="auto" w:fill="F2F2F2" w:themeFill="background1" w:themeFillShade="F2"/>
          </w:tcPr>
          <w:p w14:paraId="433A9E0E" w14:textId="4B1F13D5" w:rsidR="00E821B5" w:rsidRPr="00DD5FE4" w:rsidRDefault="00DC208E" w:rsidP="002B64E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DD5FE4">
              <w:rPr>
                <w:rFonts w:ascii="Times New Roman" w:hAnsi="Times New Roman" w:cs="Times New Roman"/>
                <w:sz w:val="20"/>
                <w:szCs w:val="20"/>
                <w:lang w:val="en-GB"/>
              </w:rPr>
              <w:t>To provide knowledge</w:t>
            </w:r>
            <w:r w:rsidR="008F4BD7" w:rsidRPr="00DD5FE4">
              <w:rPr>
                <w:rFonts w:ascii="Times New Roman" w:hAnsi="Times New Roman" w:cs="Times New Roman"/>
                <w:sz w:val="20"/>
                <w:szCs w:val="20"/>
                <w:lang w:val="en-GB"/>
              </w:rPr>
              <w:t>-</w:t>
            </w:r>
            <w:r w:rsidRPr="00DD5FE4">
              <w:rPr>
                <w:rFonts w:ascii="Times New Roman" w:hAnsi="Times New Roman" w:cs="Times New Roman"/>
                <w:sz w:val="20"/>
                <w:szCs w:val="20"/>
                <w:lang w:val="en-GB"/>
              </w:rPr>
              <w:t>based recommendations</w:t>
            </w:r>
            <w:r w:rsidR="008F4BD7" w:rsidRPr="00DD5FE4">
              <w:rPr>
                <w:rFonts w:ascii="Times New Roman" w:hAnsi="Times New Roman" w:cs="Times New Roman"/>
                <w:sz w:val="20"/>
                <w:szCs w:val="20"/>
                <w:lang w:val="en-GB"/>
              </w:rPr>
              <w:t xml:space="preserve"> concerning</w:t>
            </w:r>
            <w:r w:rsidRPr="00DD5FE4">
              <w:rPr>
                <w:rFonts w:ascii="Times New Roman" w:hAnsi="Times New Roman" w:cs="Times New Roman"/>
                <w:sz w:val="20"/>
                <w:szCs w:val="20"/>
                <w:lang w:val="en-GB"/>
              </w:rPr>
              <w:t xml:space="preserve"> how municipalities, county councils, and private and voluntary providers </w:t>
            </w:r>
            <w:r w:rsidR="008F4BD7" w:rsidRPr="00DD5FE4">
              <w:rPr>
                <w:rFonts w:ascii="Times New Roman" w:hAnsi="Times New Roman" w:cs="Times New Roman"/>
                <w:sz w:val="20"/>
                <w:szCs w:val="20"/>
                <w:lang w:val="en-GB"/>
              </w:rPr>
              <w:t>should meet</w:t>
            </w:r>
            <w:r w:rsidRPr="00DD5FE4">
              <w:rPr>
                <w:rFonts w:ascii="Times New Roman" w:hAnsi="Times New Roman" w:cs="Times New Roman"/>
                <w:sz w:val="20"/>
                <w:szCs w:val="20"/>
                <w:lang w:val="en-GB"/>
              </w:rPr>
              <w:t xml:space="preserve"> the need</w:t>
            </w:r>
            <w:r w:rsidR="008F4BD7" w:rsidRPr="00DD5FE4">
              <w:rPr>
                <w:rFonts w:ascii="Times New Roman" w:hAnsi="Times New Roman" w:cs="Times New Roman"/>
                <w:sz w:val="20"/>
                <w:szCs w:val="20"/>
                <w:lang w:val="en-GB"/>
              </w:rPr>
              <w:t>s</w:t>
            </w:r>
            <w:r w:rsidRPr="00DD5FE4">
              <w:rPr>
                <w:rFonts w:ascii="Times New Roman" w:hAnsi="Times New Roman" w:cs="Times New Roman"/>
                <w:sz w:val="20"/>
                <w:szCs w:val="20"/>
                <w:lang w:val="en-GB"/>
              </w:rPr>
              <w:t xml:space="preserve"> </w:t>
            </w:r>
            <w:r w:rsidR="008F4BD7" w:rsidRPr="00DD5FE4">
              <w:rPr>
                <w:rFonts w:ascii="Times New Roman" w:hAnsi="Times New Roman" w:cs="Times New Roman"/>
                <w:sz w:val="20"/>
                <w:szCs w:val="20"/>
                <w:lang w:val="en-GB"/>
              </w:rPr>
              <w:t xml:space="preserve">for </w:t>
            </w:r>
            <w:r w:rsidRPr="00DD5FE4">
              <w:rPr>
                <w:rFonts w:ascii="Times New Roman" w:hAnsi="Times New Roman" w:cs="Times New Roman"/>
                <w:sz w:val="20"/>
                <w:szCs w:val="20"/>
                <w:lang w:val="en-GB"/>
              </w:rPr>
              <w:t xml:space="preserve">care and service </w:t>
            </w:r>
            <w:r w:rsidR="008F4BD7" w:rsidRPr="00DD5FE4">
              <w:rPr>
                <w:rFonts w:ascii="Times New Roman" w:hAnsi="Times New Roman" w:cs="Times New Roman"/>
                <w:sz w:val="20"/>
                <w:szCs w:val="20"/>
                <w:lang w:val="en-GB"/>
              </w:rPr>
              <w:t>of</w:t>
            </w:r>
            <w:r w:rsidRPr="00DD5FE4">
              <w:rPr>
                <w:rFonts w:ascii="Times New Roman" w:hAnsi="Times New Roman" w:cs="Times New Roman"/>
                <w:sz w:val="20"/>
                <w:szCs w:val="20"/>
                <w:lang w:val="en-GB"/>
              </w:rPr>
              <w:t xml:space="preserve"> persons with dementia </w:t>
            </w:r>
            <w:r w:rsidR="008F4BD7" w:rsidRPr="00DD5FE4">
              <w:rPr>
                <w:rFonts w:ascii="Times New Roman" w:hAnsi="Times New Roman" w:cs="Times New Roman"/>
                <w:sz w:val="20"/>
                <w:szCs w:val="20"/>
                <w:lang w:val="en-GB"/>
              </w:rPr>
              <w:t xml:space="preserve">and </w:t>
            </w:r>
            <w:r w:rsidRPr="00DD5FE4">
              <w:rPr>
                <w:rFonts w:ascii="Times New Roman" w:hAnsi="Times New Roman" w:cs="Times New Roman"/>
                <w:sz w:val="20"/>
                <w:szCs w:val="20"/>
                <w:lang w:val="en-GB"/>
              </w:rPr>
              <w:t>their next of kin</w:t>
            </w:r>
            <w:r w:rsidR="008F4BD7" w:rsidRPr="00DD5FE4">
              <w:rPr>
                <w:rFonts w:ascii="Times New Roman" w:hAnsi="Times New Roman" w:cs="Times New Roman"/>
                <w:sz w:val="20"/>
                <w:szCs w:val="20"/>
                <w:lang w:val="en-GB"/>
              </w:rPr>
              <w:t>.</w:t>
            </w:r>
            <w:r w:rsidRPr="00DD5FE4">
              <w:rPr>
                <w:rFonts w:ascii="Times New Roman" w:hAnsi="Times New Roman" w:cs="Times New Roman"/>
                <w:sz w:val="20"/>
                <w:szCs w:val="20"/>
                <w:lang w:val="en-GB"/>
              </w:rPr>
              <w:t xml:space="preserve"> </w:t>
            </w:r>
          </w:p>
          <w:p w14:paraId="3ACE62F7" w14:textId="77777777" w:rsidR="00531750" w:rsidRPr="00DD5FE4" w:rsidRDefault="00531750" w:rsidP="002B64E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p w14:paraId="1AB77C71" w14:textId="77777777" w:rsidR="00531750" w:rsidRPr="00DD5FE4" w:rsidRDefault="00531750" w:rsidP="002B64E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p w14:paraId="0C2DC54F" w14:textId="77777777" w:rsidR="00531750" w:rsidRPr="00DD5FE4" w:rsidRDefault="00531750" w:rsidP="002B64E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p w14:paraId="52F71B66" w14:textId="77777777" w:rsidR="00531750" w:rsidRPr="00DD5FE4" w:rsidRDefault="00531750" w:rsidP="002B64E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p w14:paraId="6CE2FEA1" w14:textId="77777777" w:rsidR="00531750" w:rsidRPr="00DD5FE4" w:rsidRDefault="00531750" w:rsidP="002B64E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tc>
        <w:tc>
          <w:tcPr>
            <w:tcW w:w="1843" w:type="dxa"/>
            <w:shd w:val="clear" w:color="auto" w:fill="F2F2F2" w:themeFill="background1" w:themeFillShade="F2"/>
          </w:tcPr>
          <w:p w14:paraId="5B4F59E0" w14:textId="77777777" w:rsidR="00DC208E" w:rsidRPr="00DD5FE4" w:rsidRDefault="00DC208E" w:rsidP="002B64E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MiloSerifOT" w:hAnsi="Times New Roman" w:cs="Times New Roman"/>
                <w:sz w:val="20"/>
                <w:szCs w:val="20"/>
                <w:lang w:val="en-GB"/>
              </w:rPr>
            </w:pPr>
            <w:r w:rsidRPr="00DD5FE4">
              <w:rPr>
                <w:rFonts w:ascii="Times New Roman" w:eastAsia="MiloSerifOT" w:hAnsi="Times New Roman" w:cs="Times New Roman"/>
                <w:sz w:val="20"/>
                <w:szCs w:val="20"/>
                <w:lang w:val="en-GB"/>
              </w:rPr>
              <w:t>Literature review</w:t>
            </w:r>
            <w:r w:rsidR="008F4BD7" w:rsidRPr="00DD5FE4">
              <w:rPr>
                <w:rFonts w:ascii="Times New Roman" w:eastAsia="MiloSerifOT" w:hAnsi="Times New Roman" w:cs="Times New Roman"/>
                <w:sz w:val="20"/>
                <w:szCs w:val="20"/>
                <w:lang w:val="en-GB"/>
              </w:rPr>
              <w:t>.</w:t>
            </w:r>
            <w:r w:rsidRPr="00DD5FE4">
              <w:rPr>
                <w:rFonts w:ascii="Times New Roman" w:eastAsia="MiloSerifOT" w:hAnsi="Times New Roman" w:cs="Times New Roman"/>
                <w:sz w:val="20"/>
                <w:szCs w:val="20"/>
                <w:lang w:val="en-GB"/>
              </w:rPr>
              <w:t xml:space="preserve"> </w:t>
            </w:r>
          </w:p>
          <w:p w14:paraId="0E37DC17" w14:textId="77777777" w:rsidR="00DC208E" w:rsidRPr="00DD5FE4" w:rsidRDefault="00DC208E" w:rsidP="002B64E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MiloSerifOT" w:hAnsi="Times New Roman" w:cs="Times New Roman"/>
                <w:sz w:val="20"/>
                <w:szCs w:val="20"/>
                <w:lang w:val="en-GB"/>
              </w:rPr>
            </w:pPr>
            <w:r w:rsidRPr="00DD5FE4">
              <w:rPr>
                <w:rFonts w:ascii="Times New Roman" w:eastAsia="MiloSerifOT" w:hAnsi="Times New Roman" w:cs="Times New Roman"/>
                <w:sz w:val="20"/>
                <w:szCs w:val="20"/>
                <w:lang w:val="en-GB"/>
              </w:rPr>
              <w:t>Statements from experts within dementia care</w:t>
            </w:r>
            <w:r w:rsidR="008F4BD7" w:rsidRPr="00DD5FE4">
              <w:rPr>
                <w:rFonts w:ascii="Times New Roman" w:eastAsia="MiloSerifOT" w:hAnsi="Times New Roman" w:cs="Times New Roman"/>
                <w:sz w:val="20"/>
                <w:szCs w:val="20"/>
                <w:lang w:val="en-GB"/>
              </w:rPr>
              <w:t>.</w:t>
            </w:r>
          </w:p>
        </w:tc>
        <w:tc>
          <w:tcPr>
            <w:tcW w:w="8505" w:type="dxa"/>
            <w:tcBorders>
              <w:right w:val="single" w:sz="4" w:space="0" w:color="auto"/>
            </w:tcBorders>
            <w:shd w:val="clear" w:color="auto" w:fill="F2F2F2" w:themeFill="background1" w:themeFillShade="F2"/>
          </w:tcPr>
          <w:p w14:paraId="10031F8C" w14:textId="3AB00C9C" w:rsidR="00DC208E" w:rsidRPr="00DD5FE4" w:rsidRDefault="006C4BE7" w:rsidP="002B64E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val="en-GB"/>
              </w:rPr>
            </w:pPr>
            <w:r w:rsidRPr="00DD5FE4">
              <w:rPr>
                <w:rFonts w:ascii="Times New Roman" w:hAnsi="Times New Roman" w:cs="Times New Roman"/>
                <w:color w:val="000000"/>
                <w:sz w:val="20"/>
                <w:szCs w:val="20"/>
                <w:lang w:val="en-GB"/>
              </w:rPr>
              <w:t xml:space="preserve">Recommendations: </w:t>
            </w:r>
            <w:r w:rsidR="00DC208E" w:rsidRPr="00DD5FE4">
              <w:rPr>
                <w:rFonts w:ascii="Times New Roman" w:hAnsi="Times New Roman" w:cs="Times New Roman"/>
                <w:color w:val="000000"/>
                <w:sz w:val="20"/>
                <w:szCs w:val="20"/>
                <w:lang w:val="en-GB"/>
              </w:rPr>
              <w:t>In exceptional cases, when person</w:t>
            </w:r>
            <w:r w:rsidR="008F4BD7" w:rsidRPr="00DD5FE4">
              <w:rPr>
                <w:rFonts w:ascii="Times New Roman" w:hAnsi="Times New Roman" w:cs="Times New Roman"/>
                <w:color w:val="000000"/>
                <w:sz w:val="20"/>
                <w:szCs w:val="20"/>
                <w:lang w:val="en-GB"/>
              </w:rPr>
              <w:t>-</w:t>
            </w:r>
            <w:r w:rsidR="00DC208E" w:rsidRPr="00DD5FE4">
              <w:rPr>
                <w:rFonts w:ascii="Times New Roman" w:hAnsi="Times New Roman" w:cs="Times New Roman"/>
                <w:color w:val="000000"/>
                <w:sz w:val="20"/>
                <w:szCs w:val="20"/>
                <w:lang w:val="en-GB"/>
              </w:rPr>
              <w:t xml:space="preserve">centred care and adaptation of the caring environment have been found insufficient and the condition causes suffering for the person with dementia, medication </w:t>
            </w:r>
            <w:r w:rsidR="008F4BD7" w:rsidRPr="00DD5FE4">
              <w:rPr>
                <w:rFonts w:ascii="Times New Roman" w:hAnsi="Times New Roman" w:cs="Times New Roman"/>
                <w:color w:val="000000"/>
                <w:sz w:val="20"/>
                <w:szCs w:val="20"/>
                <w:lang w:val="en-GB"/>
              </w:rPr>
              <w:t xml:space="preserve">may </w:t>
            </w:r>
            <w:r w:rsidR="00DC208E" w:rsidRPr="00DD5FE4">
              <w:rPr>
                <w:rFonts w:ascii="Times New Roman" w:hAnsi="Times New Roman" w:cs="Times New Roman"/>
                <w:color w:val="000000"/>
                <w:sz w:val="20"/>
                <w:szCs w:val="20"/>
                <w:lang w:val="en-GB"/>
              </w:rPr>
              <w:t>be considered</w:t>
            </w:r>
            <w:r w:rsidR="008F4BD7" w:rsidRPr="00DD5FE4">
              <w:rPr>
                <w:rFonts w:ascii="Times New Roman" w:hAnsi="Times New Roman" w:cs="Times New Roman"/>
                <w:color w:val="000000"/>
                <w:sz w:val="20"/>
                <w:szCs w:val="20"/>
                <w:lang w:val="en-GB"/>
              </w:rPr>
              <w:t>, using</w:t>
            </w:r>
            <w:r w:rsidR="00DC208E" w:rsidRPr="00DD5FE4">
              <w:rPr>
                <w:rFonts w:ascii="Times New Roman" w:hAnsi="Times New Roman" w:cs="Times New Roman"/>
                <w:color w:val="000000"/>
                <w:sz w:val="20"/>
                <w:szCs w:val="20"/>
                <w:lang w:val="en-GB"/>
              </w:rPr>
              <w:t>:</w:t>
            </w:r>
            <w:r w:rsidR="00DC208E" w:rsidRPr="00DD5FE4">
              <w:rPr>
                <w:rFonts w:ascii="Times New Roman" w:hAnsi="Times New Roman" w:cs="Times New Roman"/>
                <w:color w:val="000000"/>
                <w:sz w:val="20"/>
                <w:szCs w:val="20"/>
                <w:lang w:val="en-GB"/>
              </w:rPr>
              <w:br/>
            </w:r>
            <w:r w:rsidR="00DC208E" w:rsidRPr="00DD5FE4">
              <w:rPr>
                <w:rFonts w:ascii="Times New Roman" w:hAnsi="Times New Roman" w:cs="Times New Roman"/>
                <w:sz w:val="20"/>
                <w:szCs w:val="20"/>
                <w:lang w:val="en-GB"/>
              </w:rPr>
              <w:t>Memantin</w:t>
            </w:r>
            <w:r w:rsidR="008F4BD7" w:rsidRPr="00DD5FE4">
              <w:rPr>
                <w:rFonts w:ascii="Times New Roman" w:hAnsi="Times New Roman" w:cs="Times New Roman"/>
                <w:sz w:val="20"/>
                <w:szCs w:val="20"/>
                <w:lang w:val="en-GB"/>
              </w:rPr>
              <w:t>e</w:t>
            </w:r>
            <w:r w:rsidR="00DC208E" w:rsidRPr="00DD5FE4">
              <w:rPr>
                <w:rFonts w:ascii="Times New Roman" w:hAnsi="Times New Roman" w:cs="Times New Roman"/>
                <w:sz w:val="20"/>
                <w:szCs w:val="20"/>
                <w:lang w:val="en-GB"/>
              </w:rPr>
              <w:t xml:space="preserve"> for persons with Alzheimer’s disease and BPSD symptoms.</w:t>
            </w:r>
          </w:p>
          <w:p w14:paraId="62DDF262" w14:textId="5848E7FD" w:rsidR="00DC208E" w:rsidRPr="00DD5FE4" w:rsidRDefault="008F4BD7" w:rsidP="002B64EC">
            <w:pPr>
              <w:autoSpaceDE w:val="0"/>
              <w:autoSpaceDN w:val="0"/>
              <w:adjustRightInd w:val="0"/>
              <w:spacing w:before="40" w:after="20" w:line="221" w:lineRule="atLeast"/>
              <w:ind w:left="220" w:hanging="2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DD5FE4">
              <w:rPr>
                <w:rFonts w:ascii="Times New Roman" w:hAnsi="Times New Roman" w:cs="Times New Roman"/>
                <w:sz w:val="20"/>
                <w:szCs w:val="20"/>
                <w:lang w:val="en-GB"/>
              </w:rPr>
              <w:t>Benzodiazepine as s</w:t>
            </w:r>
            <w:r w:rsidR="00DC208E" w:rsidRPr="00DD5FE4">
              <w:rPr>
                <w:rFonts w:ascii="Times New Roman" w:hAnsi="Times New Roman" w:cs="Times New Roman"/>
                <w:sz w:val="20"/>
                <w:szCs w:val="20"/>
                <w:lang w:val="en-GB"/>
              </w:rPr>
              <w:t>hort</w:t>
            </w:r>
            <w:r w:rsidRPr="00DD5FE4">
              <w:rPr>
                <w:rFonts w:ascii="Times New Roman" w:hAnsi="Times New Roman" w:cs="Times New Roman"/>
                <w:sz w:val="20"/>
                <w:szCs w:val="20"/>
                <w:lang w:val="en-GB"/>
              </w:rPr>
              <w:t>-</w:t>
            </w:r>
            <w:r w:rsidR="00DC208E" w:rsidRPr="00DD5FE4">
              <w:rPr>
                <w:rFonts w:ascii="Times New Roman" w:hAnsi="Times New Roman" w:cs="Times New Roman"/>
                <w:sz w:val="20"/>
                <w:szCs w:val="20"/>
                <w:lang w:val="en-GB"/>
              </w:rPr>
              <w:t xml:space="preserve">term </w:t>
            </w:r>
            <w:r w:rsidRPr="00DD5FE4">
              <w:rPr>
                <w:rFonts w:ascii="Times New Roman" w:hAnsi="Times New Roman" w:cs="Times New Roman"/>
                <w:sz w:val="20"/>
                <w:szCs w:val="20"/>
                <w:lang w:val="en-GB"/>
              </w:rPr>
              <w:t>medication</w:t>
            </w:r>
            <w:r w:rsidR="00DC208E" w:rsidRPr="00DD5FE4">
              <w:rPr>
                <w:rFonts w:ascii="Times New Roman" w:hAnsi="Times New Roman" w:cs="Times New Roman"/>
                <w:sz w:val="20"/>
                <w:szCs w:val="20"/>
                <w:lang w:val="en-GB"/>
              </w:rPr>
              <w:t xml:space="preserve"> for anxiety</w:t>
            </w:r>
            <w:r w:rsidRPr="00DD5FE4">
              <w:rPr>
                <w:rFonts w:ascii="Times New Roman" w:hAnsi="Times New Roman" w:cs="Times New Roman"/>
                <w:sz w:val="20"/>
                <w:szCs w:val="20"/>
                <w:lang w:val="en-GB"/>
              </w:rPr>
              <w:t>.</w:t>
            </w:r>
            <w:r w:rsidR="00DC208E" w:rsidRPr="00DD5FE4">
              <w:rPr>
                <w:rFonts w:ascii="Times New Roman" w:hAnsi="Times New Roman" w:cs="Times New Roman"/>
                <w:sz w:val="20"/>
                <w:szCs w:val="20"/>
                <w:lang w:val="en-GB"/>
              </w:rPr>
              <w:t xml:space="preserve"> </w:t>
            </w:r>
          </w:p>
          <w:p w14:paraId="77A8801A" w14:textId="77777777" w:rsidR="00DC208E" w:rsidRPr="00DD5FE4" w:rsidRDefault="00DC208E" w:rsidP="002B64EC">
            <w:pPr>
              <w:autoSpaceDE w:val="0"/>
              <w:autoSpaceDN w:val="0"/>
              <w:adjustRightInd w:val="0"/>
              <w:spacing w:before="40" w:after="20" w:line="221" w:lineRule="atLeast"/>
              <w:ind w:left="220" w:hanging="2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DD5FE4">
              <w:rPr>
                <w:rFonts w:ascii="Times New Roman" w:hAnsi="Times New Roman" w:cs="Times New Roman"/>
                <w:sz w:val="20"/>
                <w:szCs w:val="20"/>
                <w:lang w:val="en-GB"/>
              </w:rPr>
              <w:t>Antipsychotics for psychosis and agitation</w:t>
            </w:r>
            <w:r w:rsidR="008F4BD7" w:rsidRPr="00DD5FE4">
              <w:rPr>
                <w:rFonts w:ascii="Times New Roman" w:hAnsi="Times New Roman" w:cs="Times New Roman"/>
                <w:sz w:val="20"/>
                <w:szCs w:val="20"/>
                <w:lang w:val="en-GB"/>
              </w:rPr>
              <w:t>.</w:t>
            </w:r>
          </w:p>
          <w:p w14:paraId="164751DF" w14:textId="1363D00C" w:rsidR="00DC208E" w:rsidRPr="00DD5FE4" w:rsidRDefault="00DC208E" w:rsidP="002B64E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DD5FE4">
              <w:rPr>
                <w:rFonts w:ascii="Times New Roman" w:hAnsi="Times New Roman" w:cs="Times New Roman"/>
                <w:sz w:val="20"/>
                <w:szCs w:val="20"/>
                <w:lang w:val="en-GB"/>
              </w:rPr>
              <w:t>Clomet</w:t>
            </w:r>
            <w:r w:rsidR="008F4BD7" w:rsidRPr="00DD5FE4">
              <w:rPr>
                <w:rFonts w:ascii="Times New Roman" w:hAnsi="Times New Roman" w:cs="Times New Roman"/>
                <w:sz w:val="20"/>
                <w:szCs w:val="20"/>
                <w:lang w:val="en-GB"/>
              </w:rPr>
              <w:t>h</w:t>
            </w:r>
            <w:r w:rsidRPr="00DD5FE4">
              <w:rPr>
                <w:rFonts w:ascii="Times New Roman" w:hAnsi="Times New Roman" w:cs="Times New Roman"/>
                <w:sz w:val="20"/>
                <w:szCs w:val="20"/>
                <w:lang w:val="en-GB"/>
              </w:rPr>
              <w:t>iazol</w:t>
            </w:r>
            <w:r w:rsidR="008F4BD7" w:rsidRPr="00DD5FE4">
              <w:rPr>
                <w:rFonts w:ascii="Times New Roman" w:hAnsi="Times New Roman" w:cs="Times New Roman"/>
                <w:sz w:val="20"/>
                <w:szCs w:val="20"/>
                <w:lang w:val="en-GB"/>
              </w:rPr>
              <w:t>e, to be taken at</w:t>
            </w:r>
            <w:r w:rsidRPr="00DD5FE4">
              <w:rPr>
                <w:rFonts w:ascii="Times New Roman" w:hAnsi="Times New Roman" w:cs="Times New Roman"/>
                <w:sz w:val="20"/>
                <w:szCs w:val="20"/>
                <w:lang w:val="en-GB"/>
              </w:rPr>
              <w:t xml:space="preserve"> night</w:t>
            </w:r>
            <w:r w:rsidR="008F4BD7" w:rsidRPr="00DD5FE4">
              <w:rPr>
                <w:rFonts w:ascii="Times New Roman" w:hAnsi="Times New Roman" w:cs="Times New Roman"/>
                <w:sz w:val="20"/>
                <w:szCs w:val="20"/>
                <w:lang w:val="en-GB"/>
              </w:rPr>
              <w:t>,</w:t>
            </w:r>
            <w:r w:rsidRPr="00DD5FE4">
              <w:rPr>
                <w:rFonts w:ascii="Times New Roman" w:hAnsi="Times New Roman" w:cs="Times New Roman"/>
                <w:sz w:val="20"/>
                <w:szCs w:val="20"/>
                <w:lang w:val="en-GB"/>
              </w:rPr>
              <w:t xml:space="preserve"> for dementia disease and BPSD, mental symptoms and confusion</w:t>
            </w:r>
            <w:r w:rsidR="008F4BD7" w:rsidRPr="00DD5FE4">
              <w:rPr>
                <w:rFonts w:ascii="Times New Roman" w:hAnsi="Times New Roman" w:cs="Times New Roman"/>
                <w:sz w:val="20"/>
                <w:szCs w:val="20"/>
                <w:lang w:val="en-GB"/>
              </w:rPr>
              <w:t>.</w:t>
            </w:r>
            <w:r w:rsidRPr="00DD5FE4">
              <w:rPr>
                <w:rFonts w:ascii="Times New Roman" w:hAnsi="Times New Roman" w:cs="Times New Roman"/>
                <w:sz w:val="20"/>
                <w:szCs w:val="20"/>
                <w:lang w:val="en-GB"/>
              </w:rPr>
              <w:t xml:space="preserve"> </w:t>
            </w:r>
          </w:p>
          <w:p w14:paraId="491C8531" w14:textId="0229AF5E" w:rsidR="00DC208E" w:rsidRPr="00DD5FE4" w:rsidRDefault="00DC208E" w:rsidP="002B64E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MiloSerifOT" w:hAnsi="Times New Roman" w:cs="Times New Roman"/>
                <w:sz w:val="20"/>
                <w:szCs w:val="20"/>
                <w:lang w:val="en-GB"/>
              </w:rPr>
            </w:pPr>
            <w:r w:rsidRPr="00DD5FE4">
              <w:rPr>
                <w:rFonts w:ascii="Times New Roman" w:hAnsi="Times New Roman" w:cs="Times New Roman"/>
                <w:color w:val="000000"/>
                <w:sz w:val="20"/>
                <w:szCs w:val="20"/>
                <w:lang w:val="en-GB"/>
              </w:rPr>
              <w:t>A</w:t>
            </w:r>
            <w:r w:rsidRPr="00DD5FE4">
              <w:rPr>
                <w:rFonts w:ascii="Times New Roman" w:hAnsi="Times New Roman" w:cs="Times New Roman"/>
                <w:sz w:val="20"/>
                <w:szCs w:val="20"/>
                <w:lang w:val="en-GB"/>
              </w:rPr>
              <w:t xml:space="preserve">ntipsychotics may be used when the person is suffering from delusion and hallucination in moderate to severe Lewy </w:t>
            </w:r>
            <w:r w:rsidR="00F70FC3" w:rsidRPr="00DD5FE4">
              <w:rPr>
                <w:rFonts w:ascii="Times New Roman" w:hAnsi="Times New Roman" w:cs="Times New Roman"/>
                <w:sz w:val="20"/>
                <w:szCs w:val="20"/>
                <w:lang w:val="en-GB"/>
              </w:rPr>
              <w:t>b</w:t>
            </w:r>
            <w:r w:rsidRPr="00DD5FE4">
              <w:rPr>
                <w:rFonts w:ascii="Times New Roman" w:hAnsi="Times New Roman" w:cs="Times New Roman"/>
                <w:sz w:val="20"/>
                <w:szCs w:val="20"/>
                <w:lang w:val="en-GB"/>
              </w:rPr>
              <w:t>ody and Parkinson</w:t>
            </w:r>
            <w:r w:rsidR="00F70FC3" w:rsidRPr="00DD5FE4">
              <w:rPr>
                <w:rFonts w:ascii="Times New Roman" w:hAnsi="Times New Roman" w:cs="Times New Roman"/>
                <w:sz w:val="20"/>
                <w:szCs w:val="20"/>
                <w:lang w:val="en-GB"/>
              </w:rPr>
              <w:t>’s</w:t>
            </w:r>
            <w:r w:rsidRPr="00DD5FE4">
              <w:rPr>
                <w:rFonts w:ascii="Times New Roman" w:hAnsi="Times New Roman" w:cs="Times New Roman"/>
                <w:sz w:val="20"/>
                <w:szCs w:val="20"/>
                <w:lang w:val="en-GB"/>
              </w:rPr>
              <w:t xml:space="preserve"> dementia</w:t>
            </w:r>
            <w:r w:rsidR="00F70FC3" w:rsidRPr="00DD5FE4">
              <w:rPr>
                <w:rFonts w:ascii="Times New Roman" w:hAnsi="Times New Roman" w:cs="Times New Roman"/>
                <w:sz w:val="20"/>
                <w:szCs w:val="20"/>
                <w:lang w:val="en-GB"/>
              </w:rPr>
              <w:t>.</w:t>
            </w:r>
          </w:p>
        </w:tc>
      </w:tr>
      <w:tr w:rsidR="00E821B5" w:rsidRPr="00F705B9" w14:paraId="4C50817F" w14:textId="77777777" w:rsidTr="00E87C6E">
        <w:tc>
          <w:tcPr>
            <w:cnfStyle w:val="001000000000" w:firstRow="0" w:lastRow="0" w:firstColumn="1" w:lastColumn="0" w:oddVBand="0" w:evenVBand="0" w:oddHBand="0" w:evenHBand="0" w:firstRowFirstColumn="0" w:firstRowLastColumn="0" w:lastRowFirstColumn="0" w:lastRowLastColumn="0"/>
            <w:tcW w:w="680" w:type="dxa"/>
            <w:tcBorders>
              <w:left w:val="single" w:sz="4" w:space="0" w:color="auto"/>
              <w:bottom w:val="single" w:sz="4" w:space="0" w:color="FFFFFF" w:themeColor="background1"/>
            </w:tcBorders>
            <w:shd w:val="clear" w:color="auto" w:fill="auto"/>
          </w:tcPr>
          <w:p w14:paraId="3C2CA4FB" w14:textId="77777777" w:rsidR="00402EA8" w:rsidRDefault="00D239D5" w:rsidP="002B64EC">
            <w:pPr>
              <w:rPr>
                <w:rFonts w:ascii="Times New Roman" w:hAnsi="Times New Roman" w:cs="Times New Roman"/>
                <w:color w:val="auto"/>
                <w:sz w:val="20"/>
                <w:szCs w:val="20"/>
                <w:lang w:val="en-GB"/>
              </w:rPr>
            </w:pPr>
            <w:r w:rsidRPr="00473AC9">
              <w:rPr>
                <w:rFonts w:ascii="Times New Roman" w:hAnsi="Times New Roman" w:cs="Times New Roman"/>
                <w:color w:val="auto"/>
                <w:sz w:val="20"/>
                <w:szCs w:val="20"/>
                <w:lang w:val="en-GB"/>
              </w:rPr>
              <w:lastRenderedPageBreak/>
              <w:t>8</w:t>
            </w:r>
          </w:p>
          <w:p w14:paraId="24619C34" w14:textId="250BE053" w:rsidR="00AC239D" w:rsidRPr="00473AC9" w:rsidRDefault="00AC239D" w:rsidP="002B64EC">
            <w:pPr>
              <w:rPr>
                <w:rFonts w:ascii="Times New Roman" w:hAnsi="Times New Roman" w:cs="Times New Roman"/>
                <w:color w:val="auto"/>
                <w:sz w:val="20"/>
                <w:szCs w:val="20"/>
                <w:lang w:val="en-GB"/>
              </w:rPr>
            </w:pPr>
            <w:r>
              <w:rPr>
                <w:rFonts w:ascii="Times New Roman" w:hAnsi="Times New Roman"/>
                <w:b w:val="0"/>
                <w:color w:val="auto"/>
                <w:sz w:val="20"/>
                <w:szCs w:val="20"/>
                <w:lang w:val="en-GB"/>
              </w:rPr>
              <w:t>[39</w:t>
            </w:r>
            <w:r w:rsidRPr="00B7743A">
              <w:rPr>
                <w:rFonts w:ascii="Times New Roman" w:hAnsi="Times New Roman"/>
                <w:b w:val="0"/>
                <w:color w:val="auto"/>
                <w:sz w:val="20"/>
                <w:szCs w:val="20"/>
                <w:lang w:val="en-GB"/>
              </w:rPr>
              <w:t>]</w:t>
            </w:r>
          </w:p>
        </w:tc>
        <w:tc>
          <w:tcPr>
            <w:tcW w:w="993" w:type="dxa"/>
            <w:tcBorders>
              <w:bottom w:val="single" w:sz="4" w:space="0" w:color="FFFFFF" w:themeColor="background1"/>
            </w:tcBorders>
            <w:shd w:val="clear" w:color="auto" w:fill="auto"/>
          </w:tcPr>
          <w:p w14:paraId="4AAE741E" w14:textId="54066C2B" w:rsidR="00D239D5" w:rsidRPr="00DD5FE4" w:rsidRDefault="00402EA8" w:rsidP="002B64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DD5FE4">
              <w:rPr>
                <w:rFonts w:ascii="Times New Roman" w:hAnsi="Times New Roman" w:cs="Times New Roman"/>
                <w:sz w:val="20"/>
                <w:szCs w:val="20"/>
                <w:lang w:val="en-GB"/>
              </w:rPr>
              <w:t>The National Board of Health and Welfare, 2013</w:t>
            </w:r>
          </w:p>
        </w:tc>
        <w:tc>
          <w:tcPr>
            <w:tcW w:w="1701" w:type="dxa"/>
            <w:gridSpan w:val="2"/>
            <w:tcBorders>
              <w:bottom w:val="single" w:sz="4" w:space="0" w:color="FFFFFF" w:themeColor="background1"/>
            </w:tcBorders>
            <w:shd w:val="clear" w:color="auto" w:fill="auto"/>
          </w:tcPr>
          <w:p w14:paraId="191B8ACE" w14:textId="77777777" w:rsidR="00402EA8" w:rsidRDefault="00402EA8" w:rsidP="002B64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1325CE">
              <w:rPr>
                <w:rFonts w:ascii="Times New Roman" w:hAnsi="Times New Roman" w:cs="Times New Roman"/>
                <w:sz w:val="20"/>
                <w:szCs w:val="20"/>
              </w:rPr>
              <w:t>Psykisk sjukdom bland äldre och behandling inom vården</w:t>
            </w:r>
            <w:r w:rsidR="00F70FC3" w:rsidRPr="001325CE">
              <w:rPr>
                <w:rFonts w:ascii="Times New Roman" w:hAnsi="Times New Roman" w:cs="Times New Roman"/>
                <w:sz w:val="20"/>
                <w:szCs w:val="20"/>
              </w:rPr>
              <w:t>.</w:t>
            </w:r>
            <w:r w:rsidRPr="001325CE">
              <w:rPr>
                <w:rFonts w:ascii="Times New Roman" w:hAnsi="Times New Roman" w:cs="Times New Roman"/>
                <w:sz w:val="20"/>
                <w:szCs w:val="20"/>
              </w:rPr>
              <w:t xml:space="preserve"> </w:t>
            </w:r>
            <w:r w:rsidRPr="00DD5FE4">
              <w:rPr>
                <w:rFonts w:ascii="Times New Roman" w:hAnsi="Times New Roman" w:cs="Times New Roman"/>
                <w:sz w:val="20"/>
                <w:szCs w:val="20"/>
                <w:lang w:val="en-GB"/>
              </w:rPr>
              <w:t xml:space="preserve">(Mental illness among elderly </w:t>
            </w:r>
            <w:r w:rsidR="00F70FC3" w:rsidRPr="00DD5FE4">
              <w:rPr>
                <w:rFonts w:ascii="Times New Roman" w:hAnsi="Times New Roman" w:cs="Times New Roman"/>
                <w:sz w:val="20"/>
                <w:szCs w:val="20"/>
                <w:lang w:val="en-GB"/>
              </w:rPr>
              <w:t xml:space="preserve">persons </w:t>
            </w:r>
            <w:r w:rsidRPr="00DD5FE4">
              <w:rPr>
                <w:rFonts w:ascii="Times New Roman" w:hAnsi="Times New Roman" w:cs="Times New Roman"/>
                <w:sz w:val="20"/>
                <w:szCs w:val="20"/>
                <w:lang w:val="en-GB"/>
              </w:rPr>
              <w:t xml:space="preserve">and treatment </w:t>
            </w:r>
            <w:r w:rsidR="00AC239D" w:rsidRPr="00DD5FE4">
              <w:rPr>
                <w:rFonts w:ascii="Times New Roman" w:hAnsi="Times New Roman" w:cs="Times New Roman"/>
                <w:sz w:val="20"/>
                <w:szCs w:val="20"/>
                <w:lang w:val="en-GB"/>
              </w:rPr>
              <w:t>within health</w:t>
            </w:r>
            <w:r w:rsidRPr="00DD5FE4">
              <w:rPr>
                <w:rFonts w:ascii="Times New Roman" w:hAnsi="Times New Roman" w:cs="Times New Roman"/>
                <w:sz w:val="20"/>
                <w:szCs w:val="20"/>
                <w:lang w:val="en-GB"/>
              </w:rPr>
              <w:t xml:space="preserve"> care</w:t>
            </w:r>
            <w:r w:rsidR="00F70FC3" w:rsidRPr="00DD5FE4">
              <w:rPr>
                <w:rFonts w:ascii="Times New Roman" w:hAnsi="Times New Roman" w:cs="Times New Roman"/>
                <w:sz w:val="20"/>
                <w:szCs w:val="20"/>
                <w:lang w:val="en-GB"/>
              </w:rPr>
              <w:t>.</w:t>
            </w:r>
            <w:r w:rsidRPr="00DD5FE4">
              <w:rPr>
                <w:rFonts w:ascii="Times New Roman" w:hAnsi="Times New Roman" w:cs="Times New Roman"/>
                <w:sz w:val="20"/>
                <w:szCs w:val="20"/>
                <w:lang w:val="en-GB"/>
              </w:rPr>
              <w:t>)</w:t>
            </w:r>
          </w:p>
          <w:p w14:paraId="21A98F06" w14:textId="39F769BA" w:rsidR="00E87C6E" w:rsidRPr="00DD5FE4" w:rsidRDefault="00E87C6E" w:rsidP="002B64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
        </w:tc>
        <w:tc>
          <w:tcPr>
            <w:tcW w:w="1842" w:type="dxa"/>
            <w:tcBorders>
              <w:bottom w:val="single" w:sz="4" w:space="0" w:color="FFFFFF" w:themeColor="background1"/>
            </w:tcBorders>
            <w:shd w:val="clear" w:color="auto" w:fill="auto"/>
          </w:tcPr>
          <w:p w14:paraId="00E090C8" w14:textId="77777777" w:rsidR="00402EA8" w:rsidRPr="00DD5FE4" w:rsidRDefault="00402EA8" w:rsidP="002B64E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MiloSerifOT" w:hAnsi="Times New Roman" w:cs="Times New Roman"/>
                <w:sz w:val="20"/>
                <w:szCs w:val="20"/>
                <w:lang w:val="en-GB"/>
              </w:rPr>
            </w:pPr>
            <w:r w:rsidRPr="00DD5FE4">
              <w:rPr>
                <w:rFonts w:ascii="Times New Roman" w:eastAsia="MiloSerifOT" w:hAnsi="Times New Roman" w:cs="Times New Roman"/>
                <w:sz w:val="20"/>
                <w:szCs w:val="20"/>
                <w:lang w:val="en-GB"/>
              </w:rPr>
              <w:t xml:space="preserve">To increase the knowledge concerning the characteristics of elderly </w:t>
            </w:r>
            <w:r w:rsidR="00F70FC3" w:rsidRPr="00DD5FE4">
              <w:rPr>
                <w:rFonts w:ascii="Times New Roman" w:eastAsia="MiloSerifOT" w:hAnsi="Times New Roman" w:cs="Times New Roman"/>
                <w:sz w:val="20"/>
                <w:szCs w:val="20"/>
                <w:lang w:val="en-GB"/>
              </w:rPr>
              <w:t xml:space="preserve">people </w:t>
            </w:r>
            <w:r w:rsidRPr="00DD5FE4">
              <w:rPr>
                <w:rFonts w:ascii="Times New Roman" w:eastAsia="MiloSerifOT" w:hAnsi="Times New Roman" w:cs="Times New Roman"/>
                <w:sz w:val="20"/>
                <w:szCs w:val="20"/>
                <w:lang w:val="en-GB"/>
              </w:rPr>
              <w:t xml:space="preserve">with mental illness and the health care they receive. </w:t>
            </w:r>
          </w:p>
        </w:tc>
        <w:tc>
          <w:tcPr>
            <w:tcW w:w="1843" w:type="dxa"/>
            <w:tcBorders>
              <w:bottom w:val="single" w:sz="4" w:space="0" w:color="FFFFFF" w:themeColor="background1"/>
            </w:tcBorders>
            <w:shd w:val="clear" w:color="auto" w:fill="auto"/>
          </w:tcPr>
          <w:p w14:paraId="19698FF4" w14:textId="01C45039" w:rsidR="00402EA8" w:rsidRPr="00E87C6E" w:rsidRDefault="00402EA8" w:rsidP="00E87C6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MiloSerifOT" w:hAnsi="Times New Roman" w:cs="Times New Roman"/>
                <w:sz w:val="20"/>
                <w:szCs w:val="20"/>
                <w:lang w:val="en-GB"/>
              </w:rPr>
            </w:pPr>
            <w:r w:rsidRPr="00DD5FE4">
              <w:rPr>
                <w:rFonts w:ascii="Times New Roman" w:eastAsia="MiloSerifOT" w:hAnsi="Times New Roman" w:cs="Times New Roman"/>
                <w:sz w:val="20"/>
                <w:szCs w:val="20"/>
                <w:lang w:val="en-GB"/>
              </w:rPr>
              <w:t xml:space="preserve">Data from </w:t>
            </w:r>
            <w:r w:rsidR="00F70FC3" w:rsidRPr="00DD5FE4">
              <w:rPr>
                <w:rFonts w:ascii="Times New Roman" w:hAnsi="Times New Roman" w:cs="Times New Roman"/>
                <w:sz w:val="20"/>
                <w:szCs w:val="20"/>
                <w:lang w:val="en-GB"/>
              </w:rPr>
              <w:t>t</w:t>
            </w:r>
            <w:r w:rsidRPr="00DD5FE4">
              <w:rPr>
                <w:rFonts w:ascii="Times New Roman" w:hAnsi="Times New Roman" w:cs="Times New Roman"/>
                <w:sz w:val="20"/>
                <w:szCs w:val="20"/>
                <w:lang w:val="en-GB"/>
              </w:rPr>
              <w:t>he National Board of Health and Welfare</w:t>
            </w:r>
            <w:r w:rsidRPr="00DD5FE4">
              <w:rPr>
                <w:rFonts w:ascii="Times New Roman" w:eastAsia="MiloSerifOT" w:hAnsi="Times New Roman" w:cs="Times New Roman"/>
                <w:sz w:val="20"/>
                <w:szCs w:val="20"/>
                <w:lang w:val="en-GB"/>
              </w:rPr>
              <w:t xml:space="preserve"> national register; Patient register, Pharmaceutical register</w:t>
            </w:r>
            <w:r w:rsidR="00F70FC3" w:rsidRPr="00DD5FE4">
              <w:rPr>
                <w:rFonts w:ascii="Times New Roman" w:eastAsia="MiloSerifOT" w:hAnsi="Times New Roman" w:cs="Times New Roman"/>
                <w:sz w:val="20"/>
                <w:szCs w:val="20"/>
                <w:lang w:val="en-GB"/>
              </w:rPr>
              <w:t>;</w:t>
            </w:r>
            <w:r w:rsidRPr="00DD5FE4">
              <w:rPr>
                <w:rFonts w:ascii="Times New Roman" w:eastAsia="MiloSerifOT" w:hAnsi="Times New Roman" w:cs="Times New Roman"/>
                <w:sz w:val="20"/>
                <w:szCs w:val="20"/>
                <w:lang w:val="en-GB"/>
              </w:rPr>
              <w:t xml:space="preserve"> and </w:t>
            </w:r>
            <w:r w:rsidR="00F70FC3" w:rsidRPr="00DD5FE4">
              <w:rPr>
                <w:rFonts w:ascii="Times New Roman" w:eastAsia="MiloSerifOT" w:hAnsi="Times New Roman" w:cs="Times New Roman"/>
                <w:sz w:val="20"/>
                <w:szCs w:val="20"/>
                <w:lang w:val="en-GB"/>
              </w:rPr>
              <w:t>C</w:t>
            </w:r>
            <w:r w:rsidRPr="00DD5FE4">
              <w:rPr>
                <w:rFonts w:ascii="Times New Roman" w:eastAsia="MiloSerifOT" w:hAnsi="Times New Roman" w:cs="Times New Roman"/>
                <w:sz w:val="20"/>
                <w:szCs w:val="20"/>
                <w:lang w:val="en-GB"/>
              </w:rPr>
              <w:t xml:space="preserve">ause of </w:t>
            </w:r>
            <w:r w:rsidR="00F70FC3" w:rsidRPr="00DD5FE4">
              <w:rPr>
                <w:rFonts w:ascii="Times New Roman" w:eastAsia="MiloSerifOT" w:hAnsi="Times New Roman" w:cs="Times New Roman"/>
                <w:sz w:val="20"/>
                <w:szCs w:val="20"/>
                <w:lang w:val="en-GB"/>
              </w:rPr>
              <w:t>D</w:t>
            </w:r>
            <w:r w:rsidRPr="00DD5FE4">
              <w:rPr>
                <w:rFonts w:ascii="Times New Roman" w:eastAsia="MiloSerifOT" w:hAnsi="Times New Roman" w:cs="Times New Roman"/>
                <w:sz w:val="20"/>
                <w:szCs w:val="20"/>
                <w:lang w:val="en-GB"/>
              </w:rPr>
              <w:t xml:space="preserve">eath register. </w:t>
            </w:r>
          </w:p>
        </w:tc>
        <w:tc>
          <w:tcPr>
            <w:tcW w:w="8505" w:type="dxa"/>
            <w:tcBorders>
              <w:bottom w:val="single" w:sz="4" w:space="0" w:color="FFFFFF" w:themeColor="background1"/>
              <w:right w:val="single" w:sz="4" w:space="0" w:color="auto"/>
            </w:tcBorders>
            <w:shd w:val="clear" w:color="auto" w:fill="auto"/>
          </w:tcPr>
          <w:p w14:paraId="3873C4C5" w14:textId="2E6A2024" w:rsidR="00402EA8" w:rsidRPr="00DD5FE4" w:rsidRDefault="006C4BE7" w:rsidP="00F70FC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MiloSerifOT" w:hAnsi="Times New Roman" w:cs="Times New Roman"/>
                <w:sz w:val="20"/>
                <w:szCs w:val="20"/>
                <w:lang w:val="en-GB"/>
              </w:rPr>
            </w:pPr>
            <w:r w:rsidRPr="00DD5FE4">
              <w:rPr>
                <w:rFonts w:ascii="Times New Roman" w:eastAsia="MiloSerifOT" w:hAnsi="Times New Roman" w:cs="Times New Roman"/>
                <w:sz w:val="20"/>
                <w:szCs w:val="20"/>
                <w:lang w:val="en-GB"/>
              </w:rPr>
              <w:t xml:space="preserve">Findings: </w:t>
            </w:r>
            <w:r w:rsidR="00402EA8" w:rsidRPr="00DD5FE4">
              <w:rPr>
                <w:rFonts w:ascii="Times New Roman" w:eastAsia="MiloSerifOT" w:hAnsi="Times New Roman" w:cs="Times New Roman"/>
                <w:sz w:val="20"/>
                <w:szCs w:val="20"/>
                <w:lang w:val="en-GB"/>
              </w:rPr>
              <w:t xml:space="preserve">The majority of </w:t>
            </w:r>
            <w:r w:rsidR="00F70FC3" w:rsidRPr="00DD5FE4">
              <w:rPr>
                <w:rFonts w:ascii="Times New Roman" w:eastAsia="MiloSerifOT" w:hAnsi="Times New Roman" w:cs="Times New Roman"/>
                <w:sz w:val="20"/>
                <w:szCs w:val="20"/>
                <w:lang w:val="en-GB"/>
              </w:rPr>
              <w:t>pr</w:t>
            </w:r>
            <w:r w:rsidR="00402EA8" w:rsidRPr="00DD5FE4">
              <w:rPr>
                <w:rFonts w:ascii="Times New Roman" w:eastAsia="MiloSerifOT" w:hAnsi="Times New Roman" w:cs="Times New Roman"/>
                <w:sz w:val="20"/>
                <w:szCs w:val="20"/>
                <w:lang w:val="en-GB"/>
              </w:rPr>
              <w:t xml:space="preserve">escriptions of psychotropics </w:t>
            </w:r>
            <w:r w:rsidR="00F70FC3" w:rsidRPr="00DD5FE4">
              <w:rPr>
                <w:rFonts w:ascii="Times New Roman" w:eastAsia="MiloSerifOT" w:hAnsi="Times New Roman" w:cs="Times New Roman"/>
                <w:sz w:val="20"/>
                <w:szCs w:val="20"/>
                <w:lang w:val="en-GB"/>
              </w:rPr>
              <w:t>for</w:t>
            </w:r>
            <w:r w:rsidR="00402EA8" w:rsidRPr="00DD5FE4">
              <w:rPr>
                <w:rFonts w:ascii="Times New Roman" w:eastAsia="MiloSerifOT" w:hAnsi="Times New Roman" w:cs="Times New Roman"/>
                <w:sz w:val="20"/>
                <w:szCs w:val="20"/>
                <w:lang w:val="en-GB"/>
              </w:rPr>
              <w:t xml:space="preserve"> older people, particularly the very old, were provided in primary health care. Treatment with antipsychotic medication in people </w:t>
            </w:r>
            <w:r w:rsidR="00F70FC3" w:rsidRPr="00DD5FE4">
              <w:rPr>
                <w:rFonts w:ascii="Times New Roman" w:eastAsia="MiloSerifOT" w:hAnsi="Times New Roman" w:cs="Times New Roman"/>
                <w:sz w:val="20"/>
                <w:szCs w:val="20"/>
                <w:lang w:val="en-GB"/>
              </w:rPr>
              <w:t xml:space="preserve">aged </w:t>
            </w:r>
            <w:r w:rsidR="00402EA8" w:rsidRPr="00DD5FE4">
              <w:rPr>
                <w:rFonts w:ascii="Times New Roman" w:eastAsia="MiloSerifOT" w:hAnsi="Times New Roman" w:cs="Times New Roman"/>
                <w:sz w:val="20"/>
                <w:szCs w:val="20"/>
                <w:lang w:val="en-GB"/>
              </w:rPr>
              <w:t xml:space="preserve">65+ increased the risks for side effects </w:t>
            </w:r>
            <w:r w:rsidR="00F70FC3" w:rsidRPr="00DD5FE4">
              <w:rPr>
                <w:rFonts w:ascii="Times New Roman" w:eastAsia="MiloSerifOT" w:hAnsi="Times New Roman" w:cs="Times New Roman"/>
                <w:sz w:val="20"/>
                <w:szCs w:val="20"/>
                <w:lang w:val="en-GB"/>
              </w:rPr>
              <w:t xml:space="preserve">such </w:t>
            </w:r>
            <w:r w:rsidR="00402EA8" w:rsidRPr="00DD5FE4">
              <w:rPr>
                <w:rFonts w:ascii="Times New Roman" w:eastAsia="MiloSerifOT" w:hAnsi="Times New Roman" w:cs="Times New Roman"/>
                <w:sz w:val="20"/>
                <w:szCs w:val="20"/>
                <w:lang w:val="en-GB"/>
              </w:rPr>
              <w:t xml:space="preserve">as falls (OR 1.28) and mortality (OR 2.32). Simultaneous treatment with various psychotropics increased this risk even </w:t>
            </w:r>
            <w:r w:rsidR="00F70FC3" w:rsidRPr="00DD5FE4">
              <w:rPr>
                <w:rFonts w:ascii="Times New Roman" w:eastAsia="MiloSerifOT" w:hAnsi="Times New Roman" w:cs="Times New Roman"/>
                <w:sz w:val="20"/>
                <w:szCs w:val="20"/>
                <w:lang w:val="en-GB"/>
              </w:rPr>
              <w:t>further</w:t>
            </w:r>
            <w:r w:rsidR="00402EA8" w:rsidRPr="00DD5FE4">
              <w:rPr>
                <w:rFonts w:ascii="Times New Roman" w:eastAsia="MiloSerifOT" w:hAnsi="Times New Roman" w:cs="Times New Roman"/>
                <w:sz w:val="20"/>
                <w:szCs w:val="20"/>
                <w:lang w:val="en-GB"/>
              </w:rPr>
              <w:t xml:space="preserve">. Older people with mental illness are treated unfairly and </w:t>
            </w:r>
            <w:r w:rsidR="00F70FC3" w:rsidRPr="00DD5FE4">
              <w:rPr>
                <w:rFonts w:ascii="Times New Roman" w:eastAsia="MiloSerifOT" w:hAnsi="Times New Roman" w:cs="Times New Roman"/>
                <w:sz w:val="20"/>
                <w:szCs w:val="20"/>
                <w:lang w:val="en-GB"/>
              </w:rPr>
              <w:t xml:space="preserve">this </w:t>
            </w:r>
            <w:r w:rsidR="00402EA8" w:rsidRPr="00DD5FE4">
              <w:rPr>
                <w:rFonts w:ascii="Times New Roman" w:eastAsia="MiloSerifOT" w:hAnsi="Times New Roman" w:cs="Times New Roman"/>
                <w:sz w:val="20"/>
                <w:szCs w:val="20"/>
                <w:lang w:val="en-GB"/>
              </w:rPr>
              <w:t xml:space="preserve">may have serious consequences for the </w:t>
            </w:r>
            <w:r w:rsidR="00F70FC3" w:rsidRPr="00DD5FE4">
              <w:rPr>
                <w:rFonts w:ascii="Times New Roman" w:eastAsia="MiloSerifOT" w:hAnsi="Times New Roman" w:cs="Times New Roman"/>
                <w:sz w:val="20"/>
                <w:szCs w:val="20"/>
                <w:lang w:val="en-GB"/>
              </w:rPr>
              <w:t xml:space="preserve">wellbeing of </w:t>
            </w:r>
            <w:r w:rsidR="00402EA8" w:rsidRPr="00DD5FE4">
              <w:rPr>
                <w:rFonts w:ascii="Times New Roman" w:eastAsia="MiloSerifOT" w:hAnsi="Times New Roman" w:cs="Times New Roman"/>
                <w:sz w:val="20"/>
                <w:szCs w:val="20"/>
                <w:lang w:val="en-GB"/>
              </w:rPr>
              <w:t xml:space="preserve">older people. There is a need </w:t>
            </w:r>
            <w:r w:rsidR="00F70FC3" w:rsidRPr="00DD5FE4">
              <w:rPr>
                <w:rFonts w:ascii="Times New Roman" w:eastAsia="MiloSerifOT" w:hAnsi="Times New Roman" w:cs="Times New Roman"/>
                <w:sz w:val="20"/>
                <w:szCs w:val="20"/>
                <w:lang w:val="en-GB"/>
              </w:rPr>
              <w:t>t</w:t>
            </w:r>
            <w:r w:rsidR="00402EA8" w:rsidRPr="00DD5FE4">
              <w:rPr>
                <w:rFonts w:ascii="Times New Roman" w:eastAsia="MiloSerifOT" w:hAnsi="Times New Roman" w:cs="Times New Roman"/>
                <w:sz w:val="20"/>
                <w:szCs w:val="20"/>
                <w:lang w:val="en-GB"/>
              </w:rPr>
              <w:t>o</w:t>
            </w:r>
            <w:r w:rsidR="00F70FC3" w:rsidRPr="00DD5FE4">
              <w:rPr>
                <w:rFonts w:ascii="Times New Roman" w:eastAsia="MiloSerifOT" w:hAnsi="Times New Roman" w:cs="Times New Roman"/>
                <w:sz w:val="20"/>
                <w:szCs w:val="20"/>
                <w:lang w:val="en-GB"/>
              </w:rPr>
              <w:t xml:space="preserve"> use</w:t>
            </w:r>
            <w:r w:rsidR="00402EA8" w:rsidRPr="00DD5FE4">
              <w:rPr>
                <w:rFonts w:ascii="Times New Roman" w:eastAsia="MiloSerifOT" w:hAnsi="Times New Roman" w:cs="Times New Roman"/>
                <w:sz w:val="20"/>
                <w:szCs w:val="20"/>
                <w:lang w:val="en-GB"/>
              </w:rPr>
              <w:t xml:space="preserve"> a multidisciplinary </w:t>
            </w:r>
            <w:r w:rsidR="00F70FC3" w:rsidRPr="00DD5FE4">
              <w:rPr>
                <w:rFonts w:ascii="Times New Roman" w:eastAsia="MiloSerifOT" w:hAnsi="Times New Roman" w:cs="Times New Roman"/>
                <w:sz w:val="20"/>
                <w:szCs w:val="20"/>
                <w:lang w:val="en-GB"/>
              </w:rPr>
              <w:t xml:space="preserve">approach </w:t>
            </w:r>
            <w:r w:rsidR="00402EA8" w:rsidRPr="00DD5FE4">
              <w:rPr>
                <w:rFonts w:ascii="Times New Roman" w:eastAsia="MiloSerifOT" w:hAnsi="Times New Roman" w:cs="Times New Roman"/>
                <w:sz w:val="20"/>
                <w:szCs w:val="20"/>
                <w:lang w:val="en-GB"/>
              </w:rPr>
              <w:t xml:space="preserve">to tackle mental illness in older people, </w:t>
            </w:r>
            <w:r w:rsidR="00F70FC3" w:rsidRPr="00DD5FE4">
              <w:rPr>
                <w:rFonts w:ascii="Times New Roman" w:eastAsia="MiloSerifOT" w:hAnsi="Times New Roman" w:cs="Times New Roman"/>
                <w:sz w:val="20"/>
                <w:szCs w:val="20"/>
                <w:lang w:val="en-GB"/>
              </w:rPr>
              <w:t>as</w:t>
            </w:r>
            <w:r w:rsidR="00402EA8" w:rsidRPr="00DD5FE4">
              <w:rPr>
                <w:rFonts w:ascii="Times New Roman" w:eastAsia="MiloSerifOT" w:hAnsi="Times New Roman" w:cs="Times New Roman"/>
                <w:sz w:val="20"/>
                <w:szCs w:val="20"/>
                <w:lang w:val="en-GB"/>
              </w:rPr>
              <w:t xml:space="preserve"> </w:t>
            </w:r>
            <w:r w:rsidR="00F70FC3" w:rsidRPr="00DD5FE4">
              <w:rPr>
                <w:rFonts w:ascii="Times New Roman" w:eastAsia="MiloSerifOT" w:hAnsi="Times New Roman" w:cs="Times New Roman"/>
                <w:sz w:val="20"/>
                <w:szCs w:val="20"/>
                <w:lang w:val="en-GB"/>
              </w:rPr>
              <w:t xml:space="preserve">both </w:t>
            </w:r>
            <w:r w:rsidR="00402EA8" w:rsidRPr="00DD5FE4">
              <w:rPr>
                <w:rFonts w:ascii="Times New Roman" w:eastAsia="MiloSerifOT" w:hAnsi="Times New Roman" w:cs="Times New Roman"/>
                <w:sz w:val="20"/>
                <w:szCs w:val="20"/>
                <w:lang w:val="en-GB"/>
              </w:rPr>
              <w:t xml:space="preserve">physical and mental illness are </w:t>
            </w:r>
            <w:r w:rsidR="00F70FC3" w:rsidRPr="00DD5FE4">
              <w:rPr>
                <w:rFonts w:ascii="Times New Roman" w:eastAsia="MiloSerifOT" w:hAnsi="Times New Roman" w:cs="Times New Roman"/>
                <w:sz w:val="20"/>
                <w:szCs w:val="20"/>
                <w:lang w:val="en-GB"/>
              </w:rPr>
              <w:t>present</w:t>
            </w:r>
            <w:r w:rsidRPr="00DD5FE4">
              <w:rPr>
                <w:rFonts w:ascii="Times New Roman" w:eastAsia="MiloSerifOT" w:hAnsi="Times New Roman" w:cs="Times New Roman"/>
                <w:sz w:val="20"/>
                <w:szCs w:val="20"/>
                <w:lang w:val="en-GB"/>
              </w:rPr>
              <w:t xml:space="preserve"> and coexist</w:t>
            </w:r>
            <w:r w:rsidR="00F70FC3" w:rsidRPr="00DD5FE4">
              <w:rPr>
                <w:rFonts w:ascii="Times New Roman" w:eastAsia="MiloSerifOT" w:hAnsi="Times New Roman" w:cs="Times New Roman"/>
                <w:sz w:val="20"/>
                <w:szCs w:val="20"/>
                <w:lang w:val="en-GB"/>
              </w:rPr>
              <w:t xml:space="preserve"> </w:t>
            </w:r>
            <w:r w:rsidR="00402EA8" w:rsidRPr="00DD5FE4">
              <w:rPr>
                <w:rFonts w:ascii="Times New Roman" w:eastAsia="MiloSerifOT" w:hAnsi="Times New Roman" w:cs="Times New Roman"/>
                <w:sz w:val="20"/>
                <w:szCs w:val="20"/>
                <w:lang w:val="en-GB"/>
              </w:rPr>
              <w:t xml:space="preserve">in older people. </w:t>
            </w:r>
          </w:p>
        </w:tc>
      </w:tr>
      <w:tr w:rsidR="00E821B5" w:rsidRPr="00F705B9" w14:paraId="344FBA05" w14:textId="77777777" w:rsidTr="00E87C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 w:type="dxa"/>
            <w:tcBorders>
              <w:left w:val="single" w:sz="4" w:space="0" w:color="auto"/>
              <w:bottom w:val="single" w:sz="4" w:space="0" w:color="auto"/>
            </w:tcBorders>
            <w:shd w:val="clear" w:color="auto" w:fill="F2F2F2" w:themeFill="background1" w:themeFillShade="F2"/>
          </w:tcPr>
          <w:p w14:paraId="53A98C9E" w14:textId="77777777" w:rsidR="00716D23" w:rsidRDefault="00D239D5" w:rsidP="002B64EC">
            <w:pPr>
              <w:rPr>
                <w:rFonts w:ascii="Times New Roman" w:hAnsi="Times New Roman" w:cs="Times New Roman"/>
                <w:color w:val="auto"/>
                <w:sz w:val="20"/>
                <w:szCs w:val="20"/>
                <w:lang w:val="en-GB"/>
              </w:rPr>
            </w:pPr>
            <w:r w:rsidRPr="00473AC9">
              <w:rPr>
                <w:rFonts w:ascii="Times New Roman" w:hAnsi="Times New Roman" w:cs="Times New Roman"/>
                <w:color w:val="auto"/>
                <w:sz w:val="20"/>
                <w:szCs w:val="20"/>
                <w:lang w:val="en-GB"/>
              </w:rPr>
              <w:t>9</w:t>
            </w:r>
          </w:p>
          <w:p w14:paraId="4784CD5D" w14:textId="7CCB2E13" w:rsidR="00AC239D" w:rsidRPr="00473AC9" w:rsidRDefault="00AC239D" w:rsidP="002B64EC">
            <w:pPr>
              <w:rPr>
                <w:rFonts w:ascii="Times New Roman" w:hAnsi="Times New Roman" w:cs="Times New Roman"/>
                <w:color w:val="auto"/>
                <w:sz w:val="20"/>
                <w:szCs w:val="20"/>
                <w:lang w:val="en-GB"/>
              </w:rPr>
            </w:pPr>
            <w:r w:rsidRPr="00B7743A">
              <w:rPr>
                <w:rFonts w:ascii="Times New Roman" w:hAnsi="Times New Roman"/>
                <w:b w:val="0"/>
                <w:color w:val="auto"/>
                <w:sz w:val="20"/>
                <w:szCs w:val="20"/>
                <w:lang w:val="en-GB"/>
              </w:rPr>
              <w:t>[4</w:t>
            </w:r>
            <w:r>
              <w:rPr>
                <w:rFonts w:ascii="Times New Roman" w:hAnsi="Times New Roman"/>
                <w:b w:val="0"/>
                <w:color w:val="auto"/>
                <w:sz w:val="20"/>
                <w:szCs w:val="20"/>
                <w:lang w:val="en-GB"/>
              </w:rPr>
              <w:t>5</w:t>
            </w:r>
            <w:r w:rsidRPr="00B7743A">
              <w:rPr>
                <w:rFonts w:ascii="Times New Roman" w:hAnsi="Times New Roman"/>
                <w:b w:val="0"/>
                <w:color w:val="auto"/>
                <w:sz w:val="20"/>
                <w:szCs w:val="20"/>
                <w:lang w:val="en-GB"/>
              </w:rPr>
              <w:t>]</w:t>
            </w:r>
          </w:p>
        </w:tc>
        <w:tc>
          <w:tcPr>
            <w:tcW w:w="993" w:type="dxa"/>
            <w:tcBorders>
              <w:bottom w:val="single" w:sz="4" w:space="0" w:color="auto"/>
            </w:tcBorders>
            <w:shd w:val="clear" w:color="auto" w:fill="F2F2F2" w:themeFill="background1" w:themeFillShade="F2"/>
          </w:tcPr>
          <w:p w14:paraId="4CC735A9" w14:textId="77777777" w:rsidR="00716D23" w:rsidRPr="00DD5FE4" w:rsidRDefault="00716D23" w:rsidP="002B64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DD5FE4">
              <w:rPr>
                <w:rFonts w:ascii="Times New Roman" w:hAnsi="Times New Roman" w:cs="Times New Roman"/>
                <w:sz w:val="20"/>
                <w:szCs w:val="20"/>
                <w:lang w:val="en-GB"/>
              </w:rPr>
              <w:t>The National Board of Health and Welfare, 2014</w:t>
            </w:r>
          </w:p>
        </w:tc>
        <w:tc>
          <w:tcPr>
            <w:tcW w:w="1701" w:type="dxa"/>
            <w:gridSpan w:val="2"/>
            <w:tcBorders>
              <w:bottom w:val="single" w:sz="4" w:space="0" w:color="auto"/>
            </w:tcBorders>
            <w:shd w:val="clear" w:color="auto" w:fill="F2F2F2" w:themeFill="background1" w:themeFillShade="F2"/>
          </w:tcPr>
          <w:p w14:paraId="11627C2C" w14:textId="77777777" w:rsidR="00716D23" w:rsidRPr="00DD5FE4" w:rsidRDefault="00716D23" w:rsidP="002B64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1325CE">
              <w:rPr>
                <w:rFonts w:ascii="Times New Roman" w:hAnsi="Times New Roman" w:cs="Times New Roman"/>
                <w:sz w:val="20"/>
                <w:szCs w:val="20"/>
              </w:rPr>
              <w:t xml:space="preserve">Öppna jämförelser 2014 – Läkemedels-behandlingar – Jämförelser mellan landsting. </w:t>
            </w:r>
            <w:r w:rsidRPr="00DD5FE4">
              <w:rPr>
                <w:rFonts w:ascii="Times New Roman" w:hAnsi="Times New Roman" w:cs="Times New Roman"/>
                <w:sz w:val="20"/>
                <w:szCs w:val="20"/>
                <w:lang w:val="en-GB"/>
              </w:rPr>
              <w:t>(Open comparisons</w:t>
            </w:r>
            <w:r w:rsidR="00F70FC3" w:rsidRPr="00DD5FE4">
              <w:rPr>
                <w:rFonts w:ascii="Times New Roman" w:hAnsi="Times New Roman" w:cs="Times New Roman"/>
                <w:sz w:val="20"/>
                <w:szCs w:val="20"/>
                <w:lang w:val="en-GB"/>
              </w:rPr>
              <w:t>,</w:t>
            </w:r>
            <w:r w:rsidRPr="00DD5FE4">
              <w:rPr>
                <w:rFonts w:ascii="Times New Roman" w:hAnsi="Times New Roman" w:cs="Times New Roman"/>
                <w:sz w:val="20"/>
                <w:szCs w:val="20"/>
                <w:lang w:val="en-GB"/>
              </w:rPr>
              <w:t xml:space="preserve"> 2014. Medication treatment. Comparisons between county councils</w:t>
            </w:r>
            <w:r w:rsidR="00F70FC3" w:rsidRPr="00DD5FE4">
              <w:rPr>
                <w:rFonts w:ascii="Times New Roman" w:hAnsi="Times New Roman" w:cs="Times New Roman"/>
                <w:sz w:val="20"/>
                <w:szCs w:val="20"/>
                <w:lang w:val="en-GB"/>
              </w:rPr>
              <w:t>.</w:t>
            </w:r>
            <w:r w:rsidRPr="00DD5FE4">
              <w:rPr>
                <w:rFonts w:ascii="Times New Roman" w:hAnsi="Times New Roman" w:cs="Times New Roman"/>
                <w:sz w:val="20"/>
                <w:szCs w:val="20"/>
                <w:lang w:val="en-GB"/>
              </w:rPr>
              <w:t>)</w:t>
            </w:r>
          </w:p>
        </w:tc>
        <w:tc>
          <w:tcPr>
            <w:tcW w:w="1842" w:type="dxa"/>
            <w:tcBorders>
              <w:bottom w:val="single" w:sz="4" w:space="0" w:color="auto"/>
            </w:tcBorders>
            <w:shd w:val="clear" w:color="auto" w:fill="F2F2F2" w:themeFill="background1" w:themeFillShade="F2"/>
          </w:tcPr>
          <w:p w14:paraId="0A426D6B" w14:textId="06D345A9" w:rsidR="00716D23" w:rsidRPr="00DD5FE4" w:rsidRDefault="00716D23" w:rsidP="002B64E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DD5FE4">
              <w:rPr>
                <w:rFonts w:ascii="Times New Roman" w:eastAsia="MiloSerifOT" w:hAnsi="Times New Roman" w:cs="Times New Roman"/>
                <w:sz w:val="20"/>
                <w:szCs w:val="20"/>
                <w:lang w:val="en-GB"/>
              </w:rPr>
              <w:t xml:space="preserve">Open comparisons aim to stimulate the development of equal and effective medical health care with good quality. </w:t>
            </w:r>
          </w:p>
          <w:p w14:paraId="316C55A6" w14:textId="77777777" w:rsidR="00716D23" w:rsidRPr="00DD5FE4" w:rsidRDefault="00716D23" w:rsidP="002B64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tc>
        <w:tc>
          <w:tcPr>
            <w:tcW w:w="1843" w:type="dxa"/>
            <w:tcBorders>
              <w:bottom w:val="single" w:sz="4" w:space="0" w:color="auto"/>
            </w:tcBorders>
            <w:shd w:val="clear" w:color="auto" w:fill="F2F2F2" w:themeFill="background1" w:themeFillShade="F2"/>
          </w:tcPr>
          <w:p w14:paraId="241E887D" w14:textId="29BB059E" w:rsidR="00716D23" w:rsidRPr="00DD5FE4" w:rsidRDefault="00F70FC3" w:rsidP="002B64E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DD5FE4">
              <w:rPr>
                <w:rFonts w:ascii="Times New Roman" w:eastAsia="MiloSerifOT" w:hAnsi="Times New Roman" w:cs="Times New Roman"/>
                <w:sz w:val="20"/>
                <w:szCs w:val="20"/>
                <w:lang w:val="en-GB"/>
              </w:rPr>
              <w:t>S</w:t>
            </w:r>
            <w:r w:rsidR="00716D23" w:rsidRPr="00DD5FE4">
              <w:rPr>
                <w:rFonts w:ascii="Times New Roman" w:eastAsia="MiloSerifOT" w:hAnsi="Times New Roman" w:cs="Times New Roman"/>
                <w:sz w:val="20"/>
                <w:szCs w:val="20"/>
                <w:lang w:val="en-GB"/>
              </w:rPr>
              <w:t>tatistics o</w:t>
            </w:r>
            <w:r w:rsidRPr="00DD5FE4">
              <w:rPr>
                <w:rFonts w:ascii="Times New Roman" w:eastAsia="MiloSerifOT" w:hAnsi="Times New Roman" w:cs="Times New Roman"/>
                <w:sz w:val="20"/>
                <w:szCs w:val="20"/>
                <w:lang w:val="en-GB"/>
              </w:rPr>
              <w:t>n</w:t>
            </w:r>
            <w:r w:rsidR="00716D23" w:rsidRPr="00DD5FE4">
              <w:rPr>
                <w:rFonts w:ascii="Times New Roman" w:eastAsia="MiloSerifOT" w:hAnsi="Times New Roman" w:cs="Times New Roman"/>
                <w:sz w:val="20"/>
                <w:szCs w:val="20"/>
                <w:lang w:val="en-GB"/>
              </w:rPr>
              <w:t xml:space="preserve"> public</w:t>
            </w:r>
            <w:r w:rsidRPr="00DD5FE4">
              <w:rPr>
                <w:rFonts w:ascii="Times New Roman" w:eastAsia="MiloSerifOT" w:hAnsi="Times New Roman" w:cs="Times New Roman"/>
                <w:sz w:val="20"/>
                <w:szCs w:val="20"/>
                <w:lang w:val="en-GB"/>
              </w:rPr>
              <w:t>ly</w:t>
            </w:r>
            <w:r w:rsidR="00716D23" w:rsidRPr="00DD5FE4">
              <w:rPr>
                <w:rFonts w:ascii="Times New Roman" w:eastAsia="MiloSerifOT" w:hAnsi="Times New Roman" w:cs="Times New Roman"/>
                <w:sz w:val="20"/>
                <w:szCs w:val="20"/>
                <w:lang w:val="en-GB"/>
              </w:rPr>
              <w:t xml:space="preserve"> financed medical health care in county councils and municipalities</w:t>
            </w:r>
            <w:r w:rsidRPr="00DD5FE4">
              <w:rPr>
                <w:rFonts w:ascii="Times New Roman" w:eastAsia="MiloSerifOT" w:hAnsi="Times New Roman" w:cs="Times New Roman"/>
                <w:sz w:val="20"/>
                <w:szCs w:val="20"/>
                <w:lang w:val="en-GB"/>
              </w:rPr>
              <w:t>; data avai</w:t>
            </w:r>
            <w:r w:rsidR="00475DEC">
              <w:rPr>
                <w:rFonts w:ascii="Times New Roman" w:eastAsia="MiloSerifOT" w:hAnsi="Times New Roman" w:cs="Times New Roman"/>
                <w:sz w:val="20"/>
                <w:szCs w:val="20"/>
                <w:lang w:val="en-GB"/>
              </w:rPr>
              <w:t>la</w:t>
            </w:r>
            <w:r w:rsidRPr="00DD5FE4">
              <w:rPr>
                <w:rFonts w:ascii="Times New Roman" w:eastAsia="MiloSerifOT" w:hAnsi="Times New Roman" w:cs="Times New Roman"/>
                <w:sz w:val="20"/>
                <w:szCs w:val="20"/>
                <w:lang w:val="en-GB"/>
              </w:rPr>
              <w:t>ble nationally.</w:t>
            </w:r>
            <w:r w:rsidR="00716D23" w:rsidRPr="00DD5FE4">
              <w:rPr>
                <w:rFonts w:ascii="Times New Roman" w:eastAsia="MiloSerifOT" w:hAnsi="Times New Roman" w:cs="Times New Roman"/>
                <w:sz w:val="20"/>
                <w:szCs w:val="20"/>
                <w:lang w:val="en-GB"/>
              </w:rPr>
              <w:t xml:space="preserve"> </w:t>
            </w:r>
          </w:p>
          <w:p w14:paraId="4266EC51" w14:textId="77777777" w:rsidR="00716D23" w:rsidRPr="00DD5FE4" w:rsidRDefault="00716D23" w:rsidP="002B64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tc>
        <w:tc>
          <w:tcPr>
            <w:tcW w:w="8505" w:type="dxa"/>
            <w:tcBorders>
              <w:bottom w:val="single" w:sz="4" w:space="0" w:color="auto"/>
              <w:right w:val="single" w:sz="4" w:space="0" w:color="auto"/>
            </w:tcBorders>
            <w:shd w:val="clear" w:color="auto" w:fill="F2F2F2" w:themeFill="background1" w:themeFillShade="F2"/>
          </w:tcPr>
          <w:p w14:paraId="0184AF27" w14:textId="7996EA94" w:rsidR="00716D23" w:rsidRPr="00DD5FE4" w:rsidRDefault="006C4BE7" w:rsidP="002B64E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MiloSerifOT" w:hAnsi="Times New Roman" w:cs="Times New Roman"/>
                <w:sz w:val="20"/>
                <w:szCs w:val="20"/>
                <w:lang w:val="en-GB"/>
              </w:rPr>
            </w:pPr>
            <w:r w:rsidRPr="00DD5FE4">
              <w:rPr>
                <w:rFonts w:ascii="Times New Roman" w:eastAsia="MiloSerifOT" w:hAnsi="Times New Roman" w:cs="Times New Roman"/>
                <w:sz w:val="20"/>
                <w:szCs w:val="20"/>
                <w:lang w:val="en-GB"/>
              </w:rPr>
              <w:t xml:space="preserve">Findings and recommendations: </w:t>
            </w:r>
            <w:r w:rsidR="00716D23" w:rsidRPr="00DD5FE4">
              <w:rPr>
                <w:rFonts w:ascii="Times New Roman" w:eastAsia="MiloSerifOT" w:hAnsi="Times New Roman" w:cs="Times New Roman"/>
                <w:sz w:val="20"/>
                <w:szCs w:val="20"/>
                <w:lang w:val="en-GB"/>
              </w:rPr>
              <w:t>In line with NBHW indicators for treatment with medication</w:t>
            </w:r>
            <w:r w:rsidR="00F70FC3" w:rsidRPr="00DD5FE4">
              <w:rPr>
                <w:rFonts w:ascii="Times New Roman" w:eastAsia="MiloSerifOT" w:hAnsi="Times New Roman" w:cs="Times New Roman"/>
                <w:sz w:val="20"/>
                <w:szCs w:val="20"/>
                <w:lang w:val="en-GB"/>
              </w:rPr>
              <w:t>,</w:t>
            </w:r>
            <w:r w:rsidR="00716D23" w:rsidRPr="00DD5FE4">
              <w:rPr>
                <w:rFonts w:ascii="Times New Roman" w:eastAsia="MiloSerifOT" w:hAnsi="Times New Roman" w:cs="Times New Roman"/>
                <w:sz w:val="20"/>
                <w:szCs w:val="20"/>
                <w:lang w:val="en-GB"/>
              </w:rPr>
              <w:t xml:space="preserve"> </w:t>
            </w:r>
            <w:r w:rsidR="00F70FC3" w:rsidRPr="00DD5FE4">
              <w:rPr>
                <w:rFonts w:ascii="Times New Roman" w:eastAsia="MiloSerifOT" w:hAnsi="Times New Roman" w:cs="Times New Roman"/>
                <w:sz w:val="20"/>
                <w:szCs w:val="20"/>
                <w:lang w:val="en-GB"/>
              </w:rPr>
              <w:t>z</w:t>
            </w:r>
            <w:r w:rsidR="00716D23" w:rsidRPr="00DD5FE4">
              <w:rPr>
                <w:rFonts w:ascii="Times New Roman" w:eastAsia="MiloSerifOT" w:hAnsi="Times New Roman" w:cs="Times New Roman"/>
                <w:sz w:val="20"/>
                <w:szCs w:val="20"/>
                <w:lang w:val="en-GB"/>
              </w:rPr>
              <w:t>opi</w:t>
            </w:r>
            <w:r w:rsidR="00F70FC3" w:rsidRPr="00DD5FE4">
              <w:rPr>
                <w:rFonts w:ascii="Times New Roman" w:eastAsia="MiloSerifOT" w:hAnsi="Times New Roman" w:cs="Times New Roman"/>
                <w:sz w:val="20"/>
                <w:szCs w:val="20"/>
                <w:lang w:val="en-GB"/>
              </w:rPr>
              <w:t>c</w:t>
            </w:r>
            <w:r w:rsidR="00716D23" w:rsidRPr="00DD5FE4">
              <w:rPr>
                <w:rFonts w:ascii="Times New Roman" w:eastAsia="MiloSerifOT" w:hAnsi="Times New Roman" w:cs="Times New Roman"/>
                <w:sz w:val="20"/>
                <w:szCs w:val="20"/>
                <w:lang w:val="en-GB"/>
              </w:rPr>
              <w:t>lon</w:t>
            </w:r>
            <w:r w:rsidR="00F70FC3" w:rsidRPr="00DD5FE4">
              <w:rPr>
                <w:rFonts w:ascii="Times New Roman" w:eastAsia="MiloSerifOT" w:hAnsi="Times New Roman" w:cs="Times New Roman"/>
                <w:sz w:val="20"/>
                <w:szCs w:val="20"/>
                <w:lang w:val="en-GB"/>
              </w:rPr>
              <w:t>e</w:t>
            </w:r>
            <w:r w:rsidR="00716D23" w:rsidRPr="00DD5FE4">
              <w:rPr>
                <w:rFonts w:ascii="Times New Roman" w:eastAsia="MiloSerifOT" w:hAnsi="Times New Roman" w:cs="Times New Roman"/>
                <w:sz w:val="20"/>
                <w:szCs w:val="20"/>
                <w:lang w:val="en-GB"/>
              </w:rPr>
              <w:t xml:space="preserve"> </w:t>
            </w:r>
            <w:r w:rsidR="00F70FC3" w:rsidRPr="00DD5FE4">
              <w:rPr>
                <w:rFonts w:ascii="Times New Roman" w:eastAsia="MiloSerifOT" w:hAnsi="Times New Roman" w:cs="Times New Roman"/>
                <w:sz w:val="20"/>
                <w:szCs w:val="20"/>
                <w:lang w:val="en-GB"/>
              </w:rPr>
              <w:t xml:space="preserve">is </w:t>
            </w:r>
            <w:r w:rsidR="00716D23" w:rsidRPr="00DD5FE4">
              <w:rPr>
                <w:rFonts w:ascii="Times New Roman" w:eastAsia="MiloSerifOT" w:hAnsi="Times New Roman" w:cs="Times New Roman"/>
                <w:sz w:val="20"/>
                <w:szCs w:val="20"/>
                <w:lang w:val="en-GB"/>
              </w:rPr>
              <w:t xml:space="preserve">the most appropriate hypnotic for older people, because of the relatively short-term effect. </w:t>
            </w:r>
          </w:p>
          <w:p w14:paraId="5A4028D5" w14:textId="2AE2F8D5" w:rsidR="00716D23" w:rsidRPr="00DD5FE4" w:rsidRDefault="00716D23" w:rsidP="002B64E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MiloSerifOT" w:hAnsi="Times New Roman" w:cs="Times New Roman"/>
                <w:sz w:val="20"/>
                <w:szCs w:val="20"/>
                <w:lang w:val="en-GB"/>
              </w:rPr>
            </w:pPr>
            <w:r w:rsidRPr="00DD5FE4">
              <w:rPr>
                <w:rFonts w:ascii="Times New Roman" w:eastAsia="MiloSerifOT" w:hAnsi="Times New Roman" w:cs="Times New Roman"/>
                <w:sz w:val="20"/>
                <w:szCs w:val="20"/>
                <w:lang w:val="en-GB"/>
              </w:rPr>
              <w:t xml:space="preserve">Medications </w:t>
            </w:r>
            <w:r w:rsidR="00F70FC3" w:rsidRPr="00DD5FE4">
              <w:rPr>
                <w:rFonts w:ascii="Times New Roman" w:eastAsia="MiloSerifOT" w:hAnsi="Times New Roman" w:cs="Times New Roman"/>
                <w:sz w:val="20"/>
                <w:szCs w:val="20"/>
                <w:lang w:val="en-GB"/>
              </w:rPr>
              <w:t xml:space="preserve">that </w:t>
            </w:r>
            <w:r w:rsidRPr="00DD5FE4">
              <w:rPr>
                <w:rFonts w:ascii="Times New Roman" w:eastAsia="MiloSerifOT" w:hAnsi="Times New Roman" w:cs="Times New Roman"/>
                <w:sz w:val="20"/>
                <w:szCs w:val="20"/>
                <w:lang w:val="en-GB"/>
              </w:rPr>
              <w:t xml:space="preserve">should be avoided are </w:t>
            </w:r>
            <w:r w:rsidR="00F70FC3" w:rsidRPr="00DD5FE4">
              <w:rPr>
                <w:rFonts w:ascii="Times New Roman" w:eastAsia="MiloSerifOT" w:hAnsi="Times New Roman" w:cs="Times New Roman"/>
                <w:sz w:val="20"/>
                <w:szCs w:val="20"/>
                <w:lang w:val="en-GB"/>
              </w:rPr>
              <w:t>b</w:t>
            </w:r>
            <w:r w:rsidRPr="00DD5FE4">
              <w:rPr>
                <w:rFonts w:ascii="Times New Roman" w:eastAsia="MiloSerifOT" w:hAnsi="Times New Roman" w:cs="Times New Roman"/>
                <w:sz w:val="20"/>
                <w:szCs w:val="20"/>
                <w:lang w:val="en-GB"/>
              </w:rPr>
              <w:t>enzodiazepine</w:t>
            </w:r>
            <w:r w:rsidR="00F70FC3" w:rsidRPr="00DD5FE4">
              <w:rPr>
                <w:rFonts w:ascii="Times New Roman" w:eastAsia="MiloSerifOT" w:hAnsi="Times New Roman" w:cs="Times New Roman"/>
                <w:sz w:val="20"/>
                <w:szCs w:val="20"/>
                <w:lang w:val="en-GB"/>
              </w:rPr>
              <w:t>, because of its</w:t>
            </w:r>
            <w:r w:rsidRPr="00DD5FE4">
              <w:rPr>
                <w:rFonts w:ascii="Times New Roman" w:eastAsia="MiloSerifOT" w:hAnsi="Times New Roman" w:cs="Times New Roman"/>
                <w:sz w:val="20"/>
                <w:szCs w:val="20"/>
                <w:lang w:val="en-GB"/>
              </w:rPr>
              <w:t xml:space="preserve"> long half-life</w:t>
            </w:r>
            <w:r w:rsidR="00AE65D0" w:rsidRPr="00DD5FE4">
              <w:rPr>
                <w:rFonts w:ascii="Times New Roman" w:eastAsia="MiloSerifOT" w:hAnsi="Times New Roman" w:cs="Times New Roman"/>
                <w:sz w:val="20"/>
                <w:szCs w:val="20"/>
                <w:lang w:val="en-GB"/>
              </w:rPr>
              <w:t xml:space="preserve"> and</w:t>
            </w:r>
            <w:r w:rsidR="00E821B5" w:rsidRPr="00DD5FE4">
              <w:rPr>
                <w:rFonts w:ascii="Times New Roman" w:eastAsia="MiloSerifOT" w:hAnsi="Times New Roman" w:cs="Times New Roman"/>
                <w:sz w:val="20"/>
                <w:szCs w:val="20"/>
                <w:lang w:val="en-GB"/>
              </w:rPr>
              <w:t xml:space="preserve"> </w:t>
            </w:r>
            <w:r w:rsidRPr="00DD5FE4">
              <w:rPr>
                <w:rFonts w:ascii="Times New Roman" w:eastAsia="MiloSerifOT" w:hAnsi="Times New Roman" w:cs="Times New Roman"/>
                <w:sz w:val="20"/>
                <w:szCs w:val="20"/>
                <w:lang w:val="en-GB"/>
              </w:rPr>
              <w:t>considerable anti-cholinergic effects</w:t>
            </w:r>
            <w:r w:rsidR="00AE65D0" w:rsidRPr="00DD5FE4">
              <w:rPr>
                <w:rFonts w:ascii="Times New Roman" w:eastAsia="MiloSerifOT" w:hAnsi="Times New Roman" w:cs="Times New Roman"/>
                <w:sz w:val="20"/>
                <w:szCs w:val="20"/>
                <w:lang w:val="en-GB"/>
              </w:rPr>
              <w:t>,</w:t>
            </w:r>
            <w:r w:rsidRPr="00DD5FE4">
              <w:rPr>
                <w:rFonts w:ascii="Times New Roman" w:eastAsia="MiloSerifOT" w:hAnsi="Times New Roman" w:cs="Times New Roman"/>
                <w:sz w:val="20"/>
                <w:szCs w:val="20"/>
                <w:lang w:val="en-GB"/>
              </w:rPr>
              <w:t xml:space="preserve"> and the hypnotic </w:t>
            </w:r>
            <w:r w:rsidR="00AE65D0" w:rsidRPr="00DD5FE4">
              <w:rPr>
                <w:rFonts w:ascii="Times New Roman" w:eastAsia="MiloSerifOT" w:hAnsi="Times New Roman" w:cs="Times New Roman"/>
                <w:sz w:val="20"/>
                <w:szCs w:val="20"/>
                <w:lang w:val="en-GB"/>
              </w:rPr>
              <w:t>p</w:t>
            </w:r>
            <w:r w:rsidRPr="00DD5FE4">
              <w:rPr>
                <w:rFonts w:ascii="Times New Roman" w:eastAsia="MiloSerifOT" w:hAnsi="Times New Roman" w:cs="Times New Roman"/>
                <w:sz w:val="20"/>
                <w:szCs w:val="20"/>
                <w:lang w:val="en-GB"/>
              </w:rPr>
              <w:t>ropiomazin</w:t>
            </w:r>
            <w:r w:rsidR="00AE65D0" w:rsidRPr="00DD5FE4">
              <w:rPr>
                <w:rFonts w:ascii="Times New Roman" w:eastAsia="MiloSerifOT" w:hAnsi="Times New Roman" w:cs="Times New Roman"/>
                <w:sz w:val="20"/>
                <w:szCs w:val="20"/>
                <w:lang w:val="en-GB"/>
              </w:rPr>
              <w:t>e</w:t>
            </w:r>
            <w:r w:rsidRPr="00DD5FE4">
              <w:rPr>
                <w:rFonts w:ascii="Times New Roman" w:eastAsia="MiloSerifOT" w:hAnsi="Times New Roman" w:cs="Times New Roman"/>
                <w:sz w:val="20"/>
                <w:szCs w:val="20"/>
                <w:lang w:val="en-GB"/>
              </w:rPr>
              <w:t>.</w:t>
            </w:r>
            <w:r w:rsidR="0061112B" w:rsidRPr="00DD5FE4">
              <w:rPr>
                <w:rFonts w:ascii="Times New Roman" w:eastAsia="MiloSerifOT" w:hAnsi="Times New Roman" w:cs="Times New Roman"/>
                <w:sz w:val="20"/>
                <w:szCs w:val="20"/>
                <w:lang w:val="en-GB"/>
              </w:rPr>
              <w:t xml:space="preserve"> These s</w:t>
            </w:r>
            <w:r w:rsidRPr="00DD5FE4">
              <w:rPr>
                <w:rFonts w:ascii="Times New Roman" w:eastAsia="MiloSerifOT" w:hAnsi="Times New Roman" w:cs="Times New Roman"/>
                <w:sz w:val="20"/>
                <w:szCs w:val="20"/>
                <w:lang w:val="en-GB"/>
              </w:rPr>
              <w:t>hould only be utilized in cases with well-founded and present indication, and when the predicted benefit is reasonabl</w:t>
            </w:r>
            <w:r w:rsidR="0061112B" w:rsidRPr="00DD5FE4">
              <w:rPr>
                <w:rFonts w:ascii="Times New Roman" w:eastAsia="MiloSerifOT" w:hAnsi="Times New Roman" w:cs="Times New Roman"/>
                <w:sz w:val="20"/>
                <w:szCs w:val="20"/>
                <w:lang w:val="en-GB"/>
              </w:rPr>
              <w:t>y</w:t>
            </w:r>
            <w:r w:rsidRPr="00DD5FE4">
              <w:rPr>
                <w:rFonts w:ascii="Times New Roman" w:eastAsia="MiloSerifOT" w:hAnsi="Times New Roman" w:cs="Times New Roman"/>
                <w:sz w:val="20"/>
                <w:szCs w:val="20"/>
                <w:lang w:val="en-GB"/>
              </w:rPr>
              <w:t xml:space="preserve"> related to the risk. The treatment should be followed up and reconsidered </w:t>
            </w:r>
            <w:r w:rsidR="0061112B" w:rsidRPr="00DD5FE4">
              <w:rPr>
                <w:rFonts w:ascii="Times New Roman" w:eastAsia="MiloSerifOT" w:hAnsi="Times New Roman" w:cs="Times New Roman"/>
                <w:sz w:val="20"/>
                <w:szCs w:val="20"/>
                <w:lang w:val="en-GB"/>
              </w:rPr>
              <w:t xml:space="preserve">at </w:t>
            </w:r>
            <w:r w:rsidRPr="00DD5FE4">
              <w:rPr>
                <w:rFonts w:ascii="Times New Roman" w:eastAsia="MiloSerifOT" w:hAnsi="Times New Roman" w:cs="Times New Roman"/>
                <w:sz w:val="20"/>
                <w:szCs w:val="20"/>
                <w:lang w:val="en-GB"/>
              </w:rPr>
              <w:t xml:space="preserve">frequent intervals. </w:t>
            </w:r>
          </w:p>
          <w:p w14:paraId="6A6B6006" w14:textId="03545E74" w:rsidR="00716D23" w:rsidRPr="00DD5FE4" w:rsidRDefault="00716D23" w:rsidP="006C4B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MiloSerifOT" w:hAnsi="Times New Roman" w:cs="Times New Roman"/>
                <w:sz w:val="20"/>
                <w:szCs w:val="20"/>
                <w:lang w:val="en-GB"/>
              </w:rPr>
            </w:pPr>
            <w:r w:rsidRPr="00DD5FE4">
              <w:rPr>
                <w:rFonts w:ascii="Times New Roman" w:eastAsia="MiloSerifOT" w:hAnsi="Times New Roman" w:cs="Times New Roman"/>
                <w:sz w:val="20"/>
                <w:szCs w:val="20"/>
                <w:lang w:val="en-GB"/>
              </w:rPr>
              <w:t>A</w:t>
            </w:r>
            <w:r w:rsidR="00BC2789" w:rsidRPr="00DD5FE4">
              <w:rPr>
                <w:rFonts w:ascii="Times New Roman" w:eastAsia="MiloSerifOT" w:hAnsi="Times New Roman" w:cs="Times New Roman"/>
                <w:sz w:val="20"/>
                <w:szCs w:val="20"/>
                <w:lang w:val="en-GB"/>
              </w:rPr>
              <w:t>s a</w:t>
            </w:r>
            <w:r w:rsidRPr="00DD5FE4">
              <w:rPr>
                <w:rFonts w:ascii="Times New Roman" w:eastAsia="MiloSerifOT" w:hAnsi="Times New Roman" w:cs="Times New Roman"/>
                <w:sz w:val="20"/>
                <w:szCs w:val="20"/>
                <w:lang w:val="en-GB"/>
              </w:rPr>
              <w:t>ntipsychotics are highly associated with a number of negative s</w:t>
            </w:r>
            <w:r w:rsidR="00BC2789" w:rsidRPr="00DD5FE4">
              <w:rPr>
                <w:rFonts w:ascii="Times New Roman" w:eastAsia="MiloSerifOT" w:hAnsi="Times New Roman" w:cs="Times New Roman"/>
                <w:sz w:val="20"/>
                <w:szCs w:val="20"/>
                <w:lang w:val="en-GB"/>
              </w:rPr>
              <w:t xml:space="preserve">ide effects, </w:t>
            </w:r>
            <w:r w:rsidRPr="00DD5FE4">
              <w:rPr>
                <w:rFonts w:ascii="Times New Roman" w:eastAsia="MiloSerifOT" w:hAnsi="Times New Roman" w:cs="Times New Roman"/>
                <w:sz w:val="20"/>
                <w:szCs w:val="20"/>
                <w:lang w:val="en-GB"/>
              </w:rPr>
              <w:t xml:space="preserve">low dosage </w:t>
            </w:r>
            <w:r w:rsidR="0061112B" w:rsidRPr="00DD5FE4">
              <w:rPr>
                <w:rFonts w:ascii="Times New Roman" w:eastAsia="MiloSerifOT" w:hAnsi="Times New Roman" w:cs="Times New Roman"/>
                <w:sz w:val="20"/>
                <w:szCs w:val="20"/>
                <w:lang w:val="en-GB"/>
              </w:rPr>
              <w:t xml:space="preserve">should </w:t>
            </w:r>
            <w:r w:rsidRPr="00DD5FE4">
              <w:rPr>
                <w:rFonts w:ascii="Times New Roman" w:eastAsia="MiloSerifOT" w:hAnsi="Times New Roman" w:cs="Times New Roman"/>
                <w:sz w:val="20"/>
                <w:szCs w:val="20"/>
                <w:lang w:val="en-GB"/>
              </w:rPr>
              <w:t xml:space="preserve">be applied and a short </w:t>
            </w:r>
            <w:r w:rsidR="0061112B" w:rsidRPr="00DD5FE4">
              <w:rPr>
                <w:rFonts w:ascii="Times New Roman" w:eastAsia="MiloSerifOT" w:hAnsi="Times New Roman" w:cs="Times New Roman"/>
                <w:sz w:val="20"/>
                <w:szCs w:val="20"/>
                <w:lang w:val="en-GB"/>
              </w:rPr>
              <w:t xml:space="preserve">treatment </w:t>
            </w:r>
            <w:r w:rsidRPr="00DD5FE4">
              <w:rPr>
                <w:rFonts w:ascii="Times New Roman" w:eastAsia="MiloSerifOT" w:hAnsi="Times New Roman" w:cs="Times New Roman"/>
                <w:sz w:val="20"/>
                <w:szCs w:val="20"/>
                <w:lang w:val="en-GB"/>
              </w:rPr>
              <w:t>time planned, with early evaluation of effect</w:t>
            </w:r>
            <w:r w:rsidR="0061112B" w:rsidRPr="00DD5FE4">
              <w:rPr>
                <w:rFonts w:ascii="Times New Roman" w:eastAsia="MiloSerifOT" w:hAnsi="Times New Roman" w:cs="Times New Roman"/>
                <w:sz w:val="20"/>
                <w:szCs w:val="20"/>
                <w:lang w:val="en-GB"/>
              </w:rPr>
              <w:t>s</w:t>
            </w:r>
            <w:r w:rsidRPr="00DD5FE4">
              <w:rPr>
                <w:rFonts w:ascii="Times New Roman" w:eastAsia="MiloSerifOT" w:hAnsi="Times New Roman" w:cs="Times New Roman"/>
                <w:sz w:val="20"/>
                <w:szCs w:val="20"/>
                <w:lang w:val="en-GB"/>
              </w:rPr>
              <w:t xml:space="preserve"> and side effect</w:t>
            </w:r>
            <w:r w:rsidR="0061112B" w:rsidRPr="00DD5FE4">
              <w:rPr>
                <w:rFonts w:ascii="Times New Roman" w:eastAsia="MiloSerifOT" w:hAnsi="Times New Roman" w:cs="Times New Roman"/>
                <w:sz w:val="20"/>
                <w:szCs w:val="20"/>
                <w:lang w:val="en-GB"/>
              </w:rPr>
              <w:t>s</w:t>
            </w:r>
            <w:r w:rsidRPr="00DD5FE4">
              <w:rPr>
                <w:rFonts w:ascii="Times New Roman" w:eastAsia="MiloSerifOT" w:hAnsi="Times New Roman" w:cs="Times New Roman"/>
                <w:sz w:val="20"/>
                <w:szCs w:val="20"/>
                <w:lang w:val="en-GB"/>
              </w:rPr>
              <w:t>. In addition</w:t>
            </w:r>
            <w:r w:rsidR="0061112B" w:rsidRPr="00DD5FE4">
              <w:rPr>
                <w:rFonts w:ascii="Times New Roman" w:eastAsia="MiloSerifOT" w:hAnsi="Times New Roman" w:cs="Times New Roman"/>
                <w:sz w:val="20"/>
                <w:szCs w:val="20"/>
                <w:lang w:val="en-GB"/>
              </w:rPr>
              <w:t>,</w:t>
            </w:r>
            <w:r w:rsidRPr="00DD5FE4">
              <w:rPr>
                <w:rFonts w:ascii="Times New Roman" w:eastAsia="MiloSerifOT" w:hAnsi="Times New Roman" w:cs="Times New Roman"/>
                <w:sz w:val="20"/>
                <w:szCs w:val="20"/>
                <w:lang w:val="en-GB"/>
              </w:rPr>
              <w:t xml:space="preserve"> the treatment </w:t>
            </w:r>
            <w:r w:rsidR="006C4BE7" w:rsidRPr="00DD5FE4">
              <w:rPr>
                <w:rFonts w:ascii="Times New Roman" w:eastAsia="MiloSerifOT" w:hAnsi="Times New Roman" w:cs="Times New Roman"/>
                <w:sz w:val="20"/>
                <w:szCs w:val="20"/>
                <w:lang w:val="en-GB"/>
              </w:rPr>
              <w:t xml:space="preserve">should </w:t>
            </w:r>
            <w:r w:rsidRPr="00DD5FE4">
              <w:rPr>
                <w:rFonts w:ascii="Times New Roman" w:eastAsia="MiloSerifOT" w:hAnsi="Times New Roman" w:cs="Times New Roman"/>
                <w:sz w:val="20"/>
                <w:szCs w:val="20"/>
                <w:lang w:val="en-GB"/>
              </w:rPr>
              <w:t xml:space="preserve">be </w:t>
            </w:r>
            <w:r w:rsidR="0061112B" w:rsidRPr="00DD5FE4">
              <w:rPr>
                <w:rFonts w:ascii="Times New Roman" w:eastAsia="MiloSerifOT" w:hAnsi="Times New Roman" w:cs="Times New Roman"/>
                <w:sz w:val="20"/>
                <w:szCs w:val="20"/>
                <w:lang w:val="en-GB"/>
              </w:rPr>
              <w:t>re</w:t>
            </w:r>
            <w:r w:rsidRPr="00DD5FE4">
              <w:rPr>
                <w:rFonts w:ascii="Times New Roman" w:eastAsia="MiloSerifOT" w:hAnsi="Times New Roman" w:cs="Times New Roman"/>
                <w:sz w:val="20"/>
                <w:szCs w:val="20"/>
                <w:lang w:val="en-GB"/>
              </w:rPr>
              <w:t xml:space="preserve">considered </w:t>
            </w:r>
            <w:r w:rsidR="0061112B" w:rsidRPr="00DD5FE4">
              <w:rPr>
                <w:rFonts w:ascii="Times New Roman" w:eastAsia="MiloSerifOT" w:hAnsi="Times New Roman" w:cs="Times New Roman"/>
                <w:sz w:val="20"/>
                <w:szCs w:val="20"/>
                <w:lang w:val="en-GB"/>
              </w:rPr>
              <w:t>at</w:t>
            </w:r>
            <w:r w:rsidRPr="00DD5FE4">
              <w:rPr>
                <w:rFonts w:ascii="Times New Roman" w:eastAsia="MiloSerifOT" w:hAnsi="Times New Roman" w:cs="Times New Roman"/>
                <w:sz w:val="20"/>
                <w:szCs w:val="20"/>
                <w:lang w:val="en-GB"/>
              </w:rPr>
              <w:t xml:space="preserve"> frequent intervals </w:t>
            </w:r>
            <w:r w:rsidR="006C4BE7" w:rsidRPr="00DD5FE4">
              <w:rPr>
                <w:rFonts w:ascii="Times New Roman" w:eastAsia="MiloSerifOT" w:hAnsi="Times New Roman" w:cs="Times New Roman"/>
                <w:sz w:val="20"/>
                <w:szCs w:val="20"/>
                <w:lang w:val="en-GB"/>
              </w:rPr>
              <w:t>with a view to</w:t>
            </w:r>
            <w:r w:rsidR="0061112B" w:rsidRPr="00DD5FE4">
              <w:rPr>
                <w:rFonts w:ascii="Times New Roman" w:eastAsia="MiloSerifOT" w:hAnsi="Times New Roman" w:cs="Times New Roman"/>
                <w:sz w:val="20"/>
                <w:szCs w:val="20"/>
                <w:lang w:val="en-GB"/>
              </w:rPr>
              <w:t xml:space="preserve"> cessation</w:t>
            </w:r>
            <w:r w:rsidRPr="00DD5FE4">
              <w:rPr>
                <w:rFonts w:ascii="Times New Roman" w:eastAsia="MiloSerifOT" w:hAnsi="Times New Roman" w:cs="Times New Roman"/>
                <w:sz w:val="20"/>
                <w:szCs w:val="20"/>
                <w:lang w:val="en-GB"/>
              </w:rPr>
              <w:t xml:space="preserve"> or reduc</w:t>
            </w:r>
            <w:r w:rsidR="0061112B" w:rsidRPr="00DD5FE4">
              <w:rPr>
                <w:rFonts w:ascii="Times New Roman" w:eastAsia="MiloSerifOT" w:hAnsi="Times New Roman" w:cs="Times New Roman"/>
                <w:sz w:val="20"/>
                <w:szCs w:val="20"/>
                <w:lang w:val="en-GB"/>
              </w:rPr>
              <w:t>tion</w:t>
            </w:r>
            <w:r w:rsidRPr="00DD5FE4">
              <w:rPr>
                <w:rFonts w:ascii="Times New Roman" w:eastAsia="MiloSerifOT" w:hAnsi="Times New Roman" w:cs="Times New Roman"/>
                <w:sz w:val="20"/>
                <w:szCs w:val="20"/>
                <w:lang w:val="en-GB"/>
              </w:rPr>
              <w:t xml:space="preserve"> of dosage. </w:t>
            </w:r>
            <w:r w:rsidR="006C4BE7" w:rsidRPr="00DD5FE4">
              <w:rPr>
                <w:rFonts w:ascii="Times New Roman" w:eastAsia="MiloSerifOT" w:hAnsi="Times New Roman" w:cs="Times New Roman"/>
                <w:sz w:val="20"/>
                <w:szCs w:val="20"/>
                <w:lang w:val="en-GB"/>
              </w:rPr>
              <w:t>Furthermore</w:t>
            </w:r>
            <w:r w:rsidRPr="00DD5FE4">
              <w:rPr>
                <w:rFonts w:ascii="Times New Roman" w:eastAsia="MiloSerifOT" w:hAnsi="Times New Roman" w:cs="Times New Roman"/>
                <w:sz w:val="20"/>
                <w:szCs w:val="20"/>
                <w:lang w:val="en-GB"/>
              </w:rPr>
              <w:t xml:space="preserve">, </w:t>
            </w:r>
            <w:r w:rsidR="0061112B" w:rsidRPr="00DD5FE4">
              <w:rPr>
                <w:rFonts w:ascii="Times New Roman" w:eastAsia="MiloSerifOT" w:hAnsi="Times New Roman" w:cs="Times New Roman"/>
                <w:sz w:val="20"/>
                <w:szCs w:val="20"/>
                <w:lang w:val="en-GB"/>
              </w:rPr>
              <w:t>b</w:t>
            </w:r>
            <w:r w:rsidRPr="00DD5FE4">
              <w:rPr>
                <w:rFonts w:ascii="Times New Roman" w:eastAsia="MiloSerifOT" w:hAnsi="Times New Roman" w:cs="Times New Roman"/>
                <w:sz w:val="20"/>
                <w:szCs w:val="20"/>
                <w:lang w:val="en-GB"/>
              </w:rPr>
              <w:t xml:space="preserve">enzodiazepines with long-term effects </w:t>
            </w:r>
            <w:r w:rsidR="0061112B" w:rsidRPr="00DD5FE4">
              <w:rPr>
                <w:rFonts w:ascii="Times New Roman" w:eastAsia="MiloSerifOT" w:hAnsi="Times New Roman" w:cs="Times New Roman"/>
                <w:sz w:val="20"/>
                <w:szCs w:val="20"/>
                <w:lang w:val="en-GB"/>
              </w:rPr>
              <w:t xml:space="preserve">are </w:t>
            </w:r>
            <w:r w:rsidRPr="00DD5FE4">
              <w:rPr>
                <w:rFonts w:ascii="Times New Roman" w:eastAsia="MiloSerifOT" w:hAnsi="Times New Roman" w:cs="Times New Roman"/>
                <w:sz w:val="20"/>
                <w:szCs w:val="20"/>
                <w:lang w:val="en-GB"/>
              </w:rPr>
              <w:t xml:space="preserve">included in the indicator “Older people with medication that should be avoided”.  </w:t>
            </w:r>
          </w:p>
        </w:tc>
      </w:tr>
    </w:tbl>
    <w:p w14:paraId="6F989CD0" w14:textId="77777777" w:rsidR="00F705B9" w:rsidRPr="00C437A9" w:rsidRDefault="00F705B9" w:rsidP="00F705B9">
      <w:pPr>
        <w:spacing w:after="0" w:line="240" w:lineRule="auto"/>
        <w:ind w:left="-567"/>
        <w:rPr>
          <w:rFonts w:ascii="Times New Roman" w:hAnsi="Times New Roman"/>
          <w:color w:val="333333"/>
          <w:sz w:val="24"/>
          <w:szCs w:val="24"/>
          <w:lang w:val="en-GB"/>
        </w:rPr>
      </w:pPr>
      <w:r w:rsidRPr="00C437A9">
        <w:rPr>
          <w:rFonts w:ascii="Times New Roman" w:hAnsi="Times New Roman"/>
          <w:sz w:val="24"/>
          <w:szCs w:val="24"/>
          <w:lang w:val="en-GB"/>
        </w:rPr>
        <w:t>BPSD = behavioural and psychological symptoms of dementia; MPA = Medical Products Agency</w:t>
      </w:r>
      <w:r w:rsidRPr="00C437A9">
        <w:rPr>
          <w:rFonts w:ascii="Times New Roman" w:hAnsi="Times New Roman"/>
          <w:color w:val="434343"/>
          <w:sz w:val="24"/>
          <w:szCs w:val="24"/>
          <w:lang w:val="en-GB"/>
        </w:rPr>
        <w:t xml:space="preserve">; NBHW = </w:t>
      </w:r>
      <w:r w:rsidRPr="00C437A9">
        <w:rPr>
          <w:rFonts w:ascii="Times New Roman" w:eastAsia="Times New Roman" w:hAnsi="Times New Roman"/>
          <w:kern w:val="36"/>
          <w:sz w:val="24"/>
          <w:szCs w:val="24"/>
          <w:lang w:val="en-GB" w:eastAsia="sv-SE"/>
        </w:rPr>
        <w:t xml:space="preserve">National Board of Health and Welfare; OR = odds ratio; SALAR = </w:t>
      </w:r>
      <w:r w:rsidRPr="00C437A9">
        <w:rPr>
          <w:rFonts w:ascii="Times New Roman" w:hAnsi="Times New Roman"/>
          <w:sz w:val="24"/>
          <w:szCs w:val="24"/>
          <w:lang w:val="en-GB"/>
        </w:rPr>
        <w:t>Swedish Association of Local Authorities and Regions;</w:t>
      </w:r>
      <w:r w:rsidRPr="00C437A9">
        <w:rPr>
          <w:rFonts w:ascii="Times New Roman" w:hAnsi="Times New Roman"/>
          <w:color w:val="333333"/>
          <w:sz w:val="24"/>
          <w:szCs w:val="24"/>
          <w:lang w:val="en-GB"/>
        </w:rPr>
        <w:t xml:space="preserve"> SBU = the Swedish Council on Health Technology Assessment; SveDem = the Swedish Dementia Registry; SSRI = selective serotonin reuptake inhibitor.</w:t>
      </w:r>
    </w:p>
    <w:p w14:paraId="71A0249C" w14:textId="77777777" w:rsidR="00F42241" w:rsidRPr="00DD5FE4" w:rsidRDefault="00F42241" w:rsidP="00F42241">
      <w:pPr>
        <w:autoSpaceDE w:val="0"/>
        <w:autoSpaceDN w:val="0"/>
        <w:adjustRightInd w:val="0"/>
        <w:spacing w:after="0" w:line="240" w:lineRule="auto"/>
        <w:rPr>
          <w:rFonts w:ascii="Century Gothic" w:hAnsi="Century Gothic" w:cs="Century Gothic"/>
          <w:color w:val="000000"/>
          <w:sz w:val="24"/>
          <w:szCs w:val="24"/>
          <w:lang w:val="en-GB"/>
        </w:rPr>
      </w:pPr>
    </w:p>
    <w:p w14:paraId="294EFA0F" w14:textId="77777777" w:rsidR="007742C1" w:rsidRPr="00DD5FE4" w:rsidRDefault="007742C1" w:rsidP="007742C1">
      <w:pPr>
        <w:rPr>
          <w:lang w:val="en-GB"/>
        </w:rPr>
      </w:pPr>
    </w:p>
    <w:p w14:paraId="55DBE2D2" w14:textId="77777777" w:rsidR="007742C1" w:rsidRPr="00DD5FE4" w:rsidRDefault="007742C1" w:rsidP="007742C1">
      <w:pPr>
        <w:rPr>
          <w:lang w:val="en-GB"/>
        </w:rPr>
      </w:pPr>
    </w:p>
    <w:sectPr w:rsidR="007742C1" w:rsidRPr="00DD5FE4" w:rsidSect="008D1FA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DBBEE1" w14:textId="77777777" w:rsidR="003735FF" w:rsidRDefault="003735FF" w:rsidP="00D239D5">
      <w:pPr>
        <w:spacing w:after="0" w:line="240" w:lineRule="auto"/>
      </w:pPr>
      <w:r>
        <w:separator/>
      </w:r>
    </w:p>
  </w:endnote>
  <w:endnote w:type="continuationSeparator" w:id="0">
    <w:p w14:paraId="6FBB21F0" w14:textId="77777777" w:rsidR="003735FF" w:rsidRDefault="003735FF" w:rsidP="00D23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ill Alternate One MT">
    <w:altName w:val="Gill Alternate One MT"/>
    <w:panose1 w:val="00000000000000000000"/>
    <w:charset w:val="00"/>
    <w:family w:val="swiss"/>
    <w:notTrueType/>
    <w:pitch w:val="default"/>
    <w:sig w:usb0="00000003" w:usb1="00000000" w:usb2="00000000" w:usb3="00000000" w:csb0="00000001" w:csb1="00000000"/>
  </w:font>
  <w:font w:name="TLNLOR+Galliard-Bold">
    <w:altName w:val="Galliard"/>
    <w:panose1 w:val="00000000000000000000"/>
    <w:charset w:val="00"/>
    <w:family w:val="roman"/>
    <w:notTrueType/>
    <w:pitch w:val="default"/>
    <w:sig w:usb0="00000003" w:usb1="00000000" w:usb2="00000000" w:usb3="00000000" w:csb0="00000001" w:csb1="00000000"/>
  </w:font>
  <w:font w:name="YNCPGH+Galliard-Roman">
    <w:altName w:val="Galliard"/>
    <w:panose1 w:val="00000000000000000000"/>
    <w:charset w:val="00"/>
    <w:family w:val="roman"/>
    <w:notTrueType/>
    <w:pitch w:val="default"/>
    <w:sig w:usb0="00000003" w:usb1="00000000" w:usb2="00000000" w:usb3="00000000" w:csb0="00000001" w:csb1="00000000"/>
  </w:font>
  <w:font w:name="JOPDEL+HelveticaNeue-Bold">
    <w:altName w:val="Helvetica Neue"/>
    <w:panose1 w:val="00000000000000000000"/>
    <w:charset w:val="00"/>
    <w:family w:val="swiss"/>
    <w:notTrueType/>
    <w:pitch w:val="default"/>
    <w:sig w:usb0="00000003" w:usb1="00000000" w:usb2="00000000" w:usb3="00000000" w:csb0="00000001" w:csb1="00000000"/>
  </w:font>
  <w:font w:name="LWQEMX+Galliard-Roman">
    <w:altName w:val="Galliard"/>
    <w:panose1 w:val="00000000000000000000"/>
    <w:charset w:val="00"/>
    <w:family w:val="roman"/>
    <w:notTrueType/>
    <w:pitch w:val="default"/>
    <w:sig w:usb0="00000003" w:usb1="00000000" w:usb2="00000000" w:usb3="00000000" w:csb0="00000001" w:csb1="00000000"/>
  </w:font>
  <w:font w:name="QSMCEN+HelveticaNeue-Roman">
    <w:altName w:val="Helvetica Neue"/>
    <w:panose1 w:val="00000000000000000000"/>
    <w:charset w:val="00"/>
    <w:family w:val="roman"/>
    <w:notTrueType/>
    <w:pitch w:val="default"/>
    <w:sig w:usb0="00000003" w:usb1="00000000" w:usb2="00000000" w:usb3="00000000" w:csb0="00000001" w:csb1="00000000"/>
  </w:font>
  <w:font w:name="MiloSerifOT">
    <w:altName w:val="ＭＳ 明朝"/>
    <w:panose1 w:val="00000000000000000000"/>
    <w:charset w:val="80"/>
    <w:family w:val="roman"/>
    <w:notTrueType/>
    <w:pitch w:val="default"/>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B55971" w14:textId="77777777" w:rsidR="003735FF" w:rsidRDefault="003735FF" w:rsidP="00D239D5">
      <w:pPr>
        <w:spacing w:after="0" w:line="240" w:lineRule="auto"/>
      </w:pPr>
      <w:r>
        <w:separator/>
      </w:r>
    </w:p>
  </w:footnote>
  <w:footnote w:type="continuationSeparator" w:id="0">
    <w:p w14:paraId="53522845" w14:textId="77777777" w:rsidR="003735FF" w:rsidRDefault="003735FF" w:rsidP="00D239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57572"/>
    <w:multiLevelType w:val="hybridMultilevel"/>
    <w:tmpl w:val="1DE0629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FA0"/>
    <w:rsid w:val="0000762A"/>
    <w:rsid w:val="00016980"/>
    <w:rsid w:val="00017274"/>
    <w:rsid w:val="00023179"/>
    <w:rsid w:val="00031D9E"/>
    <w:rsid w:val="00032D7B"/>
    <w:rsid w:val="00034678"/>
    <w:rsid w:val="00034A34"/>
    <w:rsid w:val="0004575B"/>
    <w:rsid w:val="00047570"/>
    <w:rsid w:val="00050421"/>
    <w:rsid w:val="000610D9"/>
    <w:rsid w:val="000633A4"/>
    <w:rsid w:val="000643E2"/>
    <w:rsid w:val="00074123"/>
    <w:rsid w:val="00084D3B"/>
    <w:rsid w:val="00085C1A"/>
    <w:rsid w:val="00090B05"/>
    <w:rsid w:val="00091100"/>
    <w:rsid w:val="000A5FC3"/>
    <w:rsid w:val="000B0A61"/>
    <w:rsid w:val="000C7C6A"/>
    <w:rsid w:val="000D582A"/>
    <w:rsid w:val="000D642F"/>
    <w:rsid w:val="000E5E68"/>
    <w:rsid w:val="000E6410"/>
    <w:rsid w:val="000F21F8"/>
    <w:rsid w:val="00104D7E"/>
    <w:rsid w:val="001051E8"/>
    <w:rsid w:val="001136B5"/>
    <w:rsid w:val="0011457F"/>
    <w:rsid w:val="001231DA"/>
    <w:rsid w:val="001278D9"/>
    <w:rsid w:val="001325CE"/>
    <w:rsid w:val="00134514"/>
    <w:rsid w:val="00137C24"/>
    <w:rsid w:val="00141A27"/>
    <w:rsid w:val="00150A0C"/>
    <w:rsid w:val="00161CA3"/>
    <w:rsid w:val="001647F1"/>
    <w:rsid w:val="001657CE"/>
    <w:rsid w:val="00175BF5"/>
    <w:rsid w:val="00185E6B"/>
    <w:rsid w:val="001A0276"/>
    <w:rsid w:val="001A70EE"/>
    <w:rsid w:val="001B0F27"/>
    <w:rsid w:val="001B3FA1"/>
    <w:rsid w:val="001B4553"/>
    <w:rsid w:val="001B4C68"/>
    <w:rsid w:val="001B5035"/>
    <w:rsid w:val="001B783A"/>
    <w:rsid w:val="001C5C5C"/>
    <w:rsid w:val="001D6BA3"/>
    <w:rsid w:val="001E41AD"/>
    <w:rsid w:val="001E657C"/>
    <w:rsid w:val="001F3099"/>
    <w:rsid w:val="00211C50"/>
    <w:rsid w:val="002157F0"/>
    <w:rsid w:val="00216ED1"/>
    <w:rsid w:val="00223547"/>
    <w:rsid w:val="00225B2F"/>
    <w:rsid w:val="0022603F"/>
    <w:rsid w:val="002379A9"/>
    <w:rsid w:val="002402DB"/>
    <w:rsid w:val="00256371"/>
    <w:rsid w:val="002731D0"/>
    <w:rsid w:val="00282EE8"/>
    <w:rsid w:val="0028342A"/>
    <w:rsid w:val="00284546"/>
    <w:rsid w:val="00287F65"/>
    <w:rsid w:val="002A77CC"/>
    <w:rsid w:val="002B1A59"/>
    <w:rsid w:val="002B2A4C"/>
    <w:rsid w:val="002B439F"/>
    <w:rsid w:val="002B64EC"/>
    <w:rsid w:val="002C015F"/>
    <w:rsid w:val="002C1060"/>
    <w:rsid w:val="002C2B9F"/>
    <w:rsid w:val="002C511F"/>
    <w:rsid w:val="002D0350"/>
    <w:rsid w:val="002D1D59"/>
    <w:rsid w:val="002D203F"/>
    <w:rsid w:val="002F1961"/>
    <w:rsid w:val="002F464A"/>
    <w:rsid w:val="0030080E"/>
    <w:rsid w:val="003139B0"/>
    <w:rsid w:val="00313D3D"/>
    <w:rsid w:val="00321BCF"/>
    <w:rsid w:val="0032550B"/>
    <w:rsid w:val="0032660E"/>
    <w:rsid w:val="003342E1"/>
    <w:rsid w:val="003371B1"/>
    <w:rsid w:val="0034295F"/>
    <w:rsid w:val="003430B8"/>
    <w:rsid w:val="00352467"/>
    <w:rsid w:val="00354C44"/>
    <w:rsid w:val="00357273"/>
    <w:rsid w:val="00372F31"/>
    <w:rsid w:val="003735FF"/>
    <w:rsid w:val="003773AF"/>
    <w:rsid w:val="00385BA8"/>
    <w:rsid w:val="0039293C"/>
    <w:rsid w:val="003950A4"/>
    <w:rsid w:val="003E451A"/>
    <w:rsid w:val="003F292C"/>
    <w:rsid w:val="003F2E54"/>
    <w:rsid w:val="00401902"/>
    <w:rsid w:val="00402EA8"/>
    <w:rsid w:val="004032A9"/>
    <w:rsid w:val="00422BCF"/>
    <w:rsid w:val="00435AE1"/>
    <w:rsid w:val="00445E55"/>
    <w:rsid w:val="00451C53"/>
    <w:rsid w:val="004634F6"/>
    <w:rsid w:val="004666DD"/>
    <w:rsid w:val="00473AC9"/>
    <w:rsid w:val="00473E31"/>
    <w:rsid w:val="00475DEC"/>
    <w:rsid w:val="00481050"/>
    <w:rsid w:val="004859A6"/>
    <w:rsid w:val="004A2477"/>
    <w:rsid w:val="004A4A9D"/>
    <w:rsid w:val="004B1972"/>
    <w:rsid w:val="004B3456"/>
    <w:rsid w:val="004B7C11"/>
    <w:rsid w:val="004C5016"/>
    <w:rsid w:val="004D2F30"/>
    <w:rsid w:val="004E1F22"/>
    <w:rsid w:val="004E62AF"/>
    <w:rsid w:val="004F4BC6"/>
    <w:rsid w:val="004F5F32"/>
    <w:rsid w:val="005020A9"/>
    <w:rsid w:val="005116A5"/>
    <w:rsid w:val="005169D8"/>
    <w:rsid w:val="00522F38"/>
    <w:rsid w:val="00531750"/>
    <w:rsid w:val="00533060"/>
    <w:rsid w:val="00540E53"/>
    <w:rsid w:val="00544A66"/>
    <w:rsid w:val="00551628"/>
    <w:rsid w:val="00551AD1"/>
    <w:rsid w:val="00552176"/>
    <w:rsid w:val="00556BF5"/>
    <w:rsid w:val="005620B8"/>
    <w:rsid w:val="00576803"/>
    <w:rsid w:val="00576814"/>
    <w:rsid w:val="00580BE1"/>
    <w:rsid w:val="00580E1B"/>
    <w:rsid w:val="00582B54"/>
    <w:rsid w:val="005831E5"/>
    <w:rsid w:val="0058686A"/>
    <w:rsid w:val="005942AC"/>
    <w:rsid w:val="005950C8"/>
    <w:rsid w:val="00596D77"/>
    <w:rsid w:val="005A0168"/>
    <w:rsid w:val="005A09E9"/>
    <w:rsid w:val="005A5CEF"/>
    <w:rsid w:val="005A6462"/>
    <w:rsid w:val="005B0B2C"/>
    <w:rsid w:val="005B1289"/>
    <w:rsid w:val="005D727E"/>
    <w:rsid w:val="005F1B1E"/>
    <w:rsid w:val="005F70E7"/>
    <w:rsid w:val="00604246"/>
    <w:rsid w:val="00604C62"/>
    <w:rsid w:val="00604E30"/>
    <w:rsid w:val="00607A0A"/>
    <w:rsid w:val="0061112B"/>
    <w:rsid w:val="006152E3"/>
    <w:rsid w:val="006526C4"/>
    <w:rsid w:val="00653F3A"/>
    <w:rsid w:val="00663785"/>
    <w:rsid w:val="00663D95"/>
    <w:rsid w:val="006727CD"/>
    <w:rsid w:val="006771D6"/>
    <w:rsid w:val="0068012E"/>
    <w:rsid w:val="00680345"/>
    <w:rsid w:val="006C466E"/>
    <w:rsid w:val="006C4BE7"/>
    <w:rsid w:val="006D136C"/>
    <w:rsid w:val="006D2F7A"/>
    <w:rsid w:val="006E2FF9"/>
    <w:rsid w:val="0070077A"/>
    <w:rsid w:val="00707042"/>
    <w:rsid w:val="00711865"/>
    <w:rsid w:val="00716D23"/>
    <w:rsid w:val="00721668"/>
    <w:rsid w:val="00724CC8"/>
    <w:rsid w:val="0074129D"/>
    <w:rsid w:val="00744C88"/>
    <w:rsid w:val="00750B88"/>
    <w:rsid w:val="00753459"/>
    <w:rsid w:val="00761829"/>
    <w:rsid w:val="00762308"/>
    <w:rsid w:val="00771823"/>
    <w:rsid w:val="007742C1"/>
    <w:rsid w:val="00774871"/>
    <w:rsid w:val="007766B0"/>
    <w:rsid w:val="007851CC"/>
    <w:rsid w:val="00797D66"/>
    <w:rsid w:val="007A65A0"/>
    <w:rsid w:val="007A7364"/>
    <w:rsid w:val="007C3F69"/>
    <w:rsid w:val="007D4526"/>
    <w:rsid w:val="007F5A39"/>
    <w:rsid w:val="0080491A"/>
    <w:rsid w:val="00813E6B"/>
    <w:rsid w:val="00817CC0"/>
    <w:rsid w:val="0082100C"/>
    <w:rsid w:val="008248D6"/>
    <w:rsid w:val="00831ED9"/>
    <w:rsid w:val="00835A8F"/>
    <w:rsid w:val="00841B6F"/>
    <w:rsid w:val="00842410"/>
    <w:rsid w:val="00845C6B"/>
    <w:rsid w:val="00846380"/>
    <w:rsid w:val="008466DF"/>
    <w:rsid w:val="0085469A"/>
    <w:rsid w:val="00856ED9"/>
    <w:rsid w:val="00861236"/>
    <w:rsid w:val="008670BF"/>
    <w:rsid w:val="00875432"/>
    <w:rsid w:val="008779B8"/>
    <w:rsid w:val="008829BD"/>
    <w:rsid w:val="0088430C"/>
    <w:rsid w:val="008857F3"/>
    <w:rsid w:val="0089083E"/>
    <w:rsid w:val="008A07EC"/>
    <w:rsid w:val="008A66B0"/>
    <w:rsid w:val="008B5E9F"/>
    <w:rsid w:val="008D1ADD"/>
    <w:rsid w:val="008D1FA0"/>
    <w:rsid w:val="008D300F"/>
    <w:rsid w:val="008D3C8A"/>
    <w:rsid w:val="008D57C3"/>
    <w:rsid w:val="008E615F"/>
    <w:rsid w:val="008F4790"/>
    <w:rsid w:val="008F4BD7"/>
    <w:rsid w:val="00904470"/>
    <w:rsid w:val="00915078"/>
    <w:rsid w:val="00917C94"/>
    <w:rsid w:val="009321EA"/>
    <w:rsid w:val="00937C51"/>
    <w:rsid w:val="00937E86"/>
    <w:rsid w:val="00947F24"/>
    <w:rsid w:val="00953F7C"/>
    <w:rsid w:val="0095584C"/>
    <w:rsid w:val="00967DAC"/>
    <w:rsid w:val="009703C0"/>
    <w:rsid w:val="0097336A"/>
    <w:rsid w:val="00981ABA"/>
    <w:rsid w:val="009820C5"/>
    <w:rsid w:val="00985B80"/>
    <w:rsid w:val="009A0099"/>
    <w:rsid w:val="009B06DF"/>
    <w:rsid w:val="009B61D4"/>
    <w:rsid w:val="009B6CFB"/>
    <w:rsid w:val="009C3512"/>
    <w:rsid w:val="009E1514"/>
    <w:rsid w:val="009E5D52"/>
    <w:rsid w:val="00A05F5D"/>
    <w:rsid w:val="00A0780A"/>
    <w:rsid w:val="00A10C5E"/>
    <w:rsid w:val="00A152DD"/>
    <w:rsid w:val="00A23A53"/>
    <w:rsid w:val="00A33390"/>
    <w:rsid w:val="00A46BB3"/>
    <w:rsid w:val="00A537D9"/>
    <w:rsid w:val="00A639A1"/>
    <w:rsid w:val="00A6715B"/>
    <w:rsid w:val="00A77702"/>
    <w:rsid w:val="00A84CDB"/>
    <w:rsid w:val="00A865CF"/>
    <w:rsid w:val="00A91F3D"/>
    <w:rsid w:val="00AA1F7E"/>
    <w:rsid w:val="00AB375F"/>
    <w:rsid w:val="00AB62B0"/>
    <w:rsid w:val="00AC1A6B"/>
    <w:rsid w:val="00AC239D"/>
    <w:rsid w:val="00AC73D5"/>
    <w:rsid w:val="00AE65D0"/>
    <w:rsid w:val="00AE7B56"/>
    <w:rsid w:val="00AF1E55"/>
    <w:rsid w:val="00B03681"/>
    <w:rsid w:val="00B1130E"/>
    <w:rsid w:val="00B17C89"/>
    <w:rsid w:val="00B23CB6"/>
    <w:rsid w:val="00B241D2"/>
    <w:rsid w:val="00B3150B"/>
    <w:rsid w:val="00B32E86"/>
    <w:rsid w:val="00B44D9F"/>
    <w:rsid w:val="00B603D5"/>
    <w:rsid w:val="00B60AFE"/>
    <w:rsid w:val="00B65B18"/>
    <w:rsid w:val="00B7038F"/>
    <w:rsid w:val="00B70F92"/>
    <w:rsid w:val="00B73C44"/>
    <w:rsid w:val="00B850B1"/>
    <w:rsid w:val="00B909E3"/>
    <w:rsid w:val="00BA0D02"/>
    <w:rsid w:val="00BA5773"/>
    <w:rsid w:val="00BA63FD"/>
    <w:rsid w:val="00BA748C"/>
    <w:rsid w:val="00BB131A"/>
    <w:rsid w:val="00BB1653"/>
    <w:rsid w:val="00BB2716"/>
    <w:rsid w:val="00BC21C9"/>
    <w:rsid w:val="00BC2789"/>
    <w:rsid w:val="00BD0C38"/>
    <w:rsid w:val="00BD379B"/>
    <w:rsid w:val="00BD3BC8"/>
    <w:rsid w:val="00BE6706"/>
    <w:rsid w:val="00BF5219"/>
    <w:rsid w:val="00C0060D"/>
    <w:rsid w:val="00C00E13"/>
    <w:rsid w:val="00C1538E"/>
    <w:rsid w:val="00C26BCB"/>
    <w:rsid w:val="00C44B0C"/>
    <w:rsid w:val="00C520E1"/>
    <w:rsid w:val="00C55B20"/>
    <w:rsid w:val="00C623A8"/>
    <w:rsid w:val="00C6469B"/>
    <w:rsid w:val="00C64AA1"/>
    <w:rsid w:val="00C650A8"/>
    <w:rsid w:val="00C66EF3"/>
    <w:rsid w:val="00C71B1D"/>
    <w:rsid w:val="00C86826"/>
    <w:rsid w:val="00C965D2"/>
    <w:rsid w:val="00C97477"/>
    <w:rsid w:val="00CA6988"/>
    <w:rsid w:val="00CC1837"/>
    <w:rsid w:val="00CC1D36"/>
    <w:rsid w:val="00CD3287"/>
    <w:rsid w:val="00CE2F6B"/>
    <w:rsid w:val="00D01373"/>
    <w:rsid w:val="00D02882"/>
    <w:rsid w:val="00D0490B"/>
    <w:rsid w:val="00D04EDB"/>
    <w:rsid w:val="00D10B37"/>
    <w:rsid w:val="00D14538"/>
    <w:rsid w:val="00D15729"/>
    <w:rsid w:val="00D16AAD"/>
    <w:rsid w:val="00D23250"/>
    <w:rsid w:val="00D239D5"/>
    <w:rsid w:val="00D34149"/>
    <w:rsid w:val="00D452A5"/>
    <w:rsid w:val="00D5224D"/>
    <w:rsid w:val="00D531F3"/>
    <w:rsid w:val="00D577F0"/>
    <w:rsid w:val="00D57C12"/>
    <w:rsid w:val="00D86930"/>
    <w:rsid w:val="00D932F5"/>
    <w:rsid w:val="00D9337B"/>
    <w:rsid w:val="00D97122"/>
    <w:rsid w:val="00DA1840"/>
    <w:rsid w:val="00DA232D"/>
    <w:rsid w:val="00DA400A"/>
    <w:rsid w:val="00DA4090"/>
    <w:rsid w:val="00DA413E"/>
    <w:rsid w:val="00DB3665"/>
    <w:rsid w:val="00DB55D0"/>
    <w:rsid w:val="00DB7FCC"/>
    <w:rsid w:val="00DC208E"/>
    <w:rsid w:val="00DD5FE4"/>
    <w:rsid w:val="00DD7BBA"/>
    <w:rsid w:val="00DE3613"/>
    <w:rsid w:val="00DE7CA6"/>
    <w:rsid w:val="00DF14DC"/>
    <w:rsid w:val="00DF53B4"/>
    <w:rsid w:val="00E10700"/>
    <w:rsid w:val="00E21A8A"/>
    <w:rsid w:val="00E270EA"/>
    <w:rsid w:val="00E31167"/>
    <w:rsid w:val="00E37263"/>
    <w:rsid w:val="00E4396B"/>
    <w:rsid w:val="00E658AA"/>
    <w:rsid w:val="00E67F05"/>
    <w:rsid w:val="00E821B5"/>
    <w:rsid w:val="00E82FFC"/>
    <w:rsid w:val="00E87C6E"/>
    <w:rsid w:val="00E90047"/>
    <w:rsid w:val="00EA56BA"/>
    <w:rsid w:val="00EC3E60"/>
    <w:rsid w:val="00EC7295"/>
    <w:rsid w:val="00EE51D5"/>
    <w:rsid w:val="00EE71F9"/>
    <w:rsid w:val="00F17C4D"/>
    <w:rsid w:val="00F25858"/>
    <w:rsid w:val="00F3082D"/>
    <w:rsid w:val="00F32A5B"/>
    <w:rsid w:val="00F3626F"/>
    <w:rsid w:val="00F37DB9"/>
    <w:rsid w:val="00F42241"/>
    <w:rsid w:val="00F504D9"/>
    <w:rsid w:val="00F62A9A"/>
    <w:rsid w:val="00F64759"/>
    <w:rsid w:val="00F705B9"/>
    <w:rsid w:val="00F70FC3"/>
    <w:rsid w:val="00F71FA6"/>
    <w:rsid w:val="00F828BE"/>
    <w:rsid w:val="00F904B7"/>
    <w:rsid w:val="00F94B18"/>
    <w:rsid w:val="00F970CA"/>
    <w:rsid w:val="00FA0758"/>
    <w:rsid w:val="00FA4F9D"/>
    <w:rsid w:val="00FB1826"/>
    <w:rsid w:val="00FB32F4"/>
    <w:rsid w:val="00FB472C"/>
    <w:rsid w:val="00FD1642"/>
    <w:rsid w:val="00FD6D6A"/>
    <w:rsid w:val="00FE406A"/>
    <w:rsid w:val="00FE630B"/>
    <w:rsid w:val="00FE63E4"/>
    <w:rsid w:val="00FF0422"/>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14295"/>
  <w15:docId w15:val="{FAF4EEC9-6012-4B85-A891-EB97E87E5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1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61">
    <w:name w:val="Grid Table 5 Dark - Accent 61"/>
    <w:basedOn w:val="TableNormal"/>
    <w:uiPriority w:val="50"/>
    <w:rsid w:val="008D1FA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5Dark-Accent31">
    <w:name w:val="Grid Table 5 Dark - Accent 31"/>
    <w:basedOn w:val="TableNormal"/>
    <w:uiPriority w:val="50"/>
    <w:rsid w:val="008D1FA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1">
    <w:name w:val="Grid Table 5 Dark1"/>
    <w:basedOn w:val="TableNormal"/>
    <w:uiPriority w:val="50"/>
    <w:rsid w:val="008D1FA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customStyle="1" w:styleId="maintitle">
    <w:name w:val="maintitle"/>
    <w:basedOn w:val="DefaultParagraphFont"/>
    <w:rsid w:val="00540E53"/>
  </w:style>
  <w:style w:type="paragraph" w:styleId="BalloonText">
    <w:name w:val="Balloon Text"/>
    <w:basedOn w:val="Normal"/>
    <w:link w:val="BalloonTextChar"/>
    <w:uiPriority w:val="99"/>
    <w:semiHidden/>
    <w:unhideWhenUsed/>
    <w:rsid w:val="00A333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390"/>
    <w:rPr>
      <w:rFonts w:ascii="Segoe UI" w:hAnsi="Segoe UI" w:cs="Segoe UI"/>
      <w:sz w:val="18"/>
      <w:szCs w:val="18"/>
    </w:rPr>
  </w:style>
  <w:style w:type="paragraph" w:styleId="NoSpacing">
    <w:name w:val="No Spacing"/>
    <w:uiPriority w:val="1"/>
    <w:qFormat/>
    <w:rsid w:val="00084D3B"/>
    <w:pPr>
      <w:spacing w:after="0" w:line="240" w:lineRule="auto"/>
    </w:pPr>
  </w:style>
  <w:style w:type="character" w:customStyle="1" w:styleId="hps">
    <w:name w:val="hps"/>
    <w:basedOn w:val="DefaultParagraphFont"/>
    <w:rsid w:val="007F5A39"/>
  </w:style>
  <w:style w:type="paragraph" w:styleId="ListParagraph">
    <w:name w:val="List Paragraph"/>
    <w:basedOn w:val="Normal"/>
    <w:uiPriority w:val="34"/>
    <w:qFormat/>
    <w:rsid w:val="005F70E7"/>
    <w:pPr>
      <w:ind w:left="720"/>
      <w:contextualSpacing/>
    </w:pPr>
  </w:style>
  <w:style w:type="paragraph" w:customStyle="1" w:styleId="Default">
    <w:name w:val="Default"/>
    <w:rsid w:val="00B1130E"/>
    <w:pPr>
      <w:autoSpaceDE w:val="0"/>
      <w:autoSpaceDN w:val="0"/>
      <w:adjustRightInd w:val="0"/>
      <w:spacing w:after="0" w:line="240" w:lineRule="auto"/>
    </w:pPr>
    <w:rPr>
      <w:rFonts w:ascii="Gill Alternate One MT" w:hAnsi="Gill Alternate One MT" w:cs="Gill Alternate One MT"/>
      <w:color w:val="000000"/>
      <w:sz w:val="24"/>
      <w:szCs w:val="24"/>
    </w:rPr>
  </w:style>
  <w:style w:type="paragraph" w:customStyle="1" w:styleId="Pa2">
    <w:name w:val="Pa2"/>
    <w:basedOn w:val="Default"/>
    <w:next w:val="Default"/>
    <w:uiPriority w:val="99"/>
    <w:rsid w:val="00B1130E"/>
    <w:pPr>
      <w:spacing w:line="281" w:lineRule="atLeast"/>
    </w:pPr>
    <w:rPr>
      <w:rFonts w:cstheme="minorBidi"/>
      <w:color w:val="auto"/>
    </w:rPr>
  </w:style>
  <w:style w:type="paragraph" w:customStyle="1" w:styleId="Pa15">
    <w:name w:val="Pa15"/>
    <w:basedOn w:val="Default"/>
    <w:next w:val="Default"/>
    <w:uiPriority w:val="99"/>
    <w:rsid w:val="00C965D2"/>
    <w:pPr>
      <w:spacing w:line="221" w:lineRule="atLeast"/>
    </w:pPr>
    <w:rPr>
      <w:rFonts w:ascii="Times New Roman" w:hAnsi="Times New Roman" w:cs="Times New Roman"/>
      <w:color w:val="auto"/>
    </w:rPr>
  </w:style>
  <w:style w:type="character" w:customStyle="1" w:styleId="A6">
    <w:name w:val="A6"/>
    <w:uiPriority w:val="99"/>
    <w:rsid w:val="00C965D2"/>
    <w:rPr>
      <w:color w:val="000000"/>
      <w:sz w:val="22"/>
      <w:szCs w:val="22"/>
    </w:rPr>
  </w:style>
  <w:style w:type="paragraph" w:customStyle="1" w:styleId="Pa22">
    <w:name w:val="Pa22"/>
    <w:basedOn w:val="Default"/>
    <w:next w:val="Default"/>
    <w:uiPriority w:val="99"/>
    <w:rsid w:val="00A152DD"/>
    <w:pPr>
      <w:spacing w:line="201" w:lineRule="atLeast"/>
    </w:pPr>
    <w:rPr>
      <w:rFonts w:ascii="TLNLOR+Galliard-Bold" w:hAnsi="TLNLOR+Galliard-Bold" w:cstheme="minorBidi"/>
      <w:color w:val="auto"/>
    </w:rPr>
  </w:style>
  <w:style w:type="paragraph" w:customStyle="1" w:styleId="Pa16">
    <w:name w:val="Pa16"/>
    <w:basedOn w:val="Default"/>
    <w:next w:val="Default"/>
    <w:uiPriority w:val="99"/>
    <w:rsid w:val="00A152DD"/>
    <w:pPr>
      <w:spacing w:line="201" w:lineRule="atLeast"/>
    </w:pPr>
    <w:rPr>
      <w:rFonts w:ascii="YNCPGH+Galliard-Roman" w:hAnsi="YNCPGH+Galliard-Roman" w:cstheme="minorBidi"/>
      <w:color w:val="auto"/>
    </w:rPr>
  </w:style>
  <w:style w:type="paragraph" w:customStyle="1" w:styleId="Pa14">
    <w:name w:val="Pa14"/>
    <w:basedOn w:val="Default"/>
    <w:next w:val="Default"/>
    <w:uiPriority w:val="99"/>
    <w:rsid w:val="00FA0758"/>
    <w:pPr>
      <w:spacing w:line="401" w:lineRule="atLeast"/>
    </w:pPr>
    <w:rPr>
      <w:rFonts w:ascii="JOPDEL+HelveticaNeue-Bold" w:hAnsi="JOPDEL+HelveticaNeue-Bold" w:cstheme="minorBidi"/>
      <w:color w:val="auto"/>
    </w:rPr>
  </w:style>
  <w:style w:type="paragraph" w:customStyle="1" w:styleId="Pa13">
    <w:name w:val="Pa13"/>
    <w:basedOn w:val="Default"/>
    <w:next w:val="Default"/>
    <w:uiPriority w:val="99"/>
    <w:rsid w:val="00435AE1"/>
    <w:pPr>
      <w:spacing w:line="200" w:lineRule="atLeast"/>
    </w:pPr>
    <w:rPr>
      <w:rFonts w:ascii="LWQEMX+Galliard-Roman" w:hAnsi="LWQEMX+Galliard-Roman" w:cstheme="minorBidi"/>
      <w:color w:val="auto"/>
    </w:rPr>
  </w:style>
  <w:style w:type="character" w:customStyle="1" w:styleId="A0">
    <w:name w:val="A0"/>
    <w:uiPriority w:val="99"/>
    <w:rsid w:val="00435AE1"/>
    <w:rPr>
      <w:rFonts w:cs="QSMCEN+HelveticaNeue-Roman"/>
      <w:color w:val="000000"/>
      <w:sz w:val="16"/>
      <w:szCs w:val="16"/>
    </w:rPr>
  </w:style>
  <w:style w:type="paragraph" w:styleId="Header">
    <w:name w:val="header"/>
    <w:basedOn w:val="Normal"/>
    <w:link w:val="HeaderChar"/>
    <w:uiPriority w:val="99"/>
    <w:unhideWhenUsed/>
    <w:rsid w:val="00D239D5"/>
    <w:pPr>
      <w:tabs>
        <w:tab w:val="center" w:pos="4536"/>
        <w:tab w:val="right" w:pos="9072"/>
      </w:tabs>
      <w:spacing w:after="0" w:line="240" w:lineRule="auto"/>
    </w:pPr>
  </w:style>
  <w:style w:type="character" w:customStyle="1" w:styleId="HeaderChar">
    <w:name w:val="Header Char"/>
    <w:basedOn w:val="DefaultParagraphFont"/>
    <w:link w:val="Header"/>
    <w:uiPriority w:val="99"/>
    <w:rsid w:val="00D239D5"/>
  </w:style>
  <w:style w:type="paragraph" w:styleId="Footer">
    <w:name w:val="footer"/>
    <w:basedOn w:val="Normal"/>
    <w:link w:val="FooterChar"/>
    <w:uiPriority w:val="99"/>
    <w:unhideWhenUsed/>
    <w:rsid w:val="00D239D5"/>
    <w:pPr>
      <w:tabs>
        <w:tab w:val="center" w:pos="4536"/>
        <w:tab w:val="right" w:pos="9072"/>
      </w:tabs>
      <w:spacing w:after="0" w:line="240" w:lineRule="auto"/>
    </w:pPr>
  </w:style>
  <w:style w:type="character" w:customStyle="1" w:styleId="FooterChar">
    <w:name w:val="Footer Char"/>
    <w:basedOn w:val="DefaultParagraphFont"/>
    <w:link w:val="Footer"/>
    <w:uiPriority w:val="99"/>
    <w:rsid w:val="00D239D5"/>
  </w:style>
  <w:style w:type="character" w:styleId="CommentReference">
    <w:name w:val="annotation reference"/>
    <w:basedOn w:val="DefaultParagraphFont"/>
    <w:uiPriority w:val="99"/>
    <w:semiHidden/>
    <w:unhideWhenUsed/>
    <w:rsid w:val="008670BF"/>
    <w:rPr>
      <w:sz w:val="18"/>
      <w:szCs w:val="18"/>
    </w:rPr>
  </w:style>
  <w:style w:type="paragraph" w:styleId="CommentText">
    <w:name w:val="annotation text"/>
    <w:basedOn w:val="Normal"/>
    <w:link w:val="CommentTextChar"/>
    <w:uiPriority w:val="99"/>
    <w:semiHidden/>
    <w:unhideWhenUsed/>
    <w:rsid w:val="008670BF"/>
    <w:pPr>
      <w:spacing w:line="240" w:lineRule="auto"/>
    </w:pPr>
    <w:rPr>
      <w:sz w:val="24"/>
      <w:szCs w:val="24"/>
    </w:rPr>
  </w:style>
  <w:style w:type="character" w:customStyle="1" w:styleId="CommentTextChar">
    <w:name w:val="Comment Text Char"/>
    <w:basedOn w:val="DefaultParagraphFont"/>
    <w:link w:val="CommentText"/>
    <w:uiPriority w:val="99"/>
    <w:semiHidden/>
    <w:rsid w:val="008670BF"/>
    <w:rPr>
      <w:sz w:val="24"/>
      <w:szCs w:val="24"/>
    </w:rPr>
  </w:style>
  <w:style w:type="paragraph" w:styleId="CommentSubject">
    <w:name w:val="annotation subject"/>
    <w:basedOn w:val="CommentText"/>
    <w:next w:val="CommentText"/>
    <w:link w:val="CommentSubjectChar"/>
    <w:uiPriority w:val="99"/>
    <w:semiHidden/>
    <w:unhideWhenUsed/>
    <w:rsid w:val="008670BF"/>
    <w:rPr>
      <w:b/>
      <w:bCs/>
      <w:sz w:val="20"/>
      <w:szCs w:val="20"/>
    </w:rPr>
  </w:style>
  <w:style w:type="character" w:customStyle="1" w:styleId="CommentSubjectChar">
    <w:name w:val="Comment Subject Char"/>
    <w:basedOn w:val="CommentTextChar"/>
    <w:link w:val="CommentSubject"/>
    <w:uiPriority w:val="99"/>
    <w:semiHidden/>
    <w:rsid w:val="008670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1626</Words>
  <Characters>9271</Characters>
  <Application>Microsoft Office Word</Application>
  <DocSecurity>0</DocSecurity>
  <Lines>77</Lines>
  <Paragraphs>21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Blekinge Tekniska Högskola</Company>
  <LinksUpToDate>false</LinksUpToDate>
  <CharactersWithSpaces>10876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Fagerström</dc:creator>
  <cp:lastModifiedBy>Staffan Karlsson</cp:lastModifiedBy>
  <cp:revision>5</cp:revision>
  <cp:lastPrinted>2015-05-12T13:59:00Z</cp:lastPrinted>
  <dcterms:created xsi:type="dcterms:W3CDTF">2017-06-26T13:47:00Z</dcterms:created>
  <dcterms:modified xsi:type="dcterms:W3CDTF">2017-06-26T15:17:00Z</dcterms:modified>
</cp:coreProperties>
</file>