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FF" w:rsidRPr="00185A3D" w:rsidRDefault="00A234FF" w:rsidP="00A23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A3D">
        <w:rPr>
          <w:rFonts w:ascii="Times New Roman" w:hAnsi="Times New Roman" w:cs="Times New Roman"/>
          <w:b/>
          <w:sz w:val="24"/>
          <w:szCs w:val="24"/>
        </w:rPr>
        <w:t>Additional Table 2.</w:t>
      </w:r>
      <w:proofErr w:type="gramEnd"/>
      <w:r w:rsidRPr="00185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5A3D">
        <w:rPr>
          <w:rFonts w:ascii="Times New Roman" w:hAnsi="Times New Roman" w:cs="Times New Roman"/>
          <w:sz w:val="24"/>
          <w:szCs w:val="24"/>
        </w:rPr>
        <w:t>Outpatient utilization at enrollment and at the 12-month follow-up visit.</w:t>
      </w:r>
      <w:proofErr w:type="gramEnd"/>
    </w:p>
    <w:tbl>
      <w:tblPr>
        <w:tblW w:w="5000" w:type="pct"/>
        <w:tblCellMar>
          <w:left w:w="144" w:type="dxa"/>
          <w:right w:w="144" w:type="dxa"/>
        </w:tblCellMar>
        <w:tblLook w:val="0600"/>
      </w:tblPr>
      <w:tblGrid>
        <w:gridCol w:w="2034"/>
        <w:gridCol w:w="910"/>
        <w:gridCol w:w="946"/>
        <w:gridCol w:w="873"/>
        <w:gridCol w:w="946"/>
        <w:gridCol w:w="873"/>
        <w:gridCol w:w="946"/>
        <w:gridCol w:w="1174"/>
        <w:gridCol w:w="946"/>
      </w:tblGrid>
      <w:tr w:rsidR="00A234FF" w:rsidRPr="00185A3D" w:rsidTr="00CB1D65">
        <w:trPr>
          <w:tblHeader/>
        </w:trPr>
        <w:tc>
          <w:tcPr>
            <w:tcW w:w="1078" w:type="pct"/>
            <w:vMerge w:val="restar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Outpatient Utilization Measures</w:t>
            </w:r>
          </w:p>
        </w:tc>
        <w:tc>
          <w:tcPr>
            <w:tcW w:w="2810" w:type="pct"/>
            <w:gridSpan w:val="6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LAI APT</w:t>
            </w:r>
          </w:p>
        </w:tc>
        <w:tc>
          <w:tcPr>
            <w:tcW w:w="1113" w:type="pct"/>
            <w:gridSpan w:val="2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234FF" w:rsidRPr="00185A3D" w:rsidTr="00CB1D65">
        <w:trPr>
          <w:tblHeader/>
        </w:trPr>
        <w:tc>
          <w:tcPr>
            <w:tcW w:w="1078" w:type="pct"/>
            <w:vMerge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Total</w:t>
            </w:r>
            <w:r w:rsidRPr="00185A3D">
              <w:rPr>
                <w:rFonts w:eastAsiaTheme="minorEastAsia"/>
                <w:b/>
                <w:sz w:val="24"/>
                <w:szCs w:val="24"/>
              </w:rPr>
              <w:br/>
              <w:t>n = 599</w:t>
            </w:r>
          </w:p>
        </w:tc>
        <w:tc>
          <w:tcPr>
            <w:tcW w:w="933" w:type="pct"/>
            <w:gridSpan w:val="2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New Users</w:t>
            </w:r>
          </w:p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n = 214</w:t>
            </w:r>
          </w:p>
        </w:tc>
        <w:tc>
          <w:tcPr>
            <w:tcW w:w="933" w:type="pct"/>
            <w:gridSpan w:val="2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Continuous Users</w:t>
            </w:r>
            <w:r w:rsidRPr="00185A3D">
              <w:rPr>
                <w:rFonts w:eastAsiaTheme="minorEastAsia"/>
                <w:b/>
                <w:sz w:val="24"/>
                <w:szCs w:val="24"/>
              </w:rPr>
              <w:br/>
              <w:t>n = 385</w:t>
            </w:r>
          </w:p>
        </w:tc>
        <w:tc>
          <w:tcPr>
            <w:tcW w:w="1113" w:type="pct"/>
            <w:gridSpan w:val="2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 xml:space="preserve">Oral APT </w:t>
            </w:r>
            <w:r w:rsidRPr="00185A3D">
              <w:rPr>
                <w:rFonts w:eastAsiaTheme="minorEastAsia"/>
                <w:b/>
                <w:sz w:val="24"/>
                <w:szCs w:val="24"/>
              </w:rPr>
              <w:br/>
              <w:t>n = 281</w:t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Enrollment Visit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Mean (SD)</w:t>
            </w:r>
          </w:p>
        </w:tc>
        <w:tc>
          <w:tcPr>
            <w:tcW w:w="478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Change</w:t>
            </w:r>
            <w:r w:rsidRPr="00185A3D">
              <w:rPr>
                <w:rFonts w:eastAsiaTheme="minorEastAsia"/>
                <w:b/>
                <w:sz w:val="24"/>
                <w:szCs w:val="24"/>
              </w:rPr>
              <w:br/>
              <w:t>From BL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Mean (SD)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Change From BL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Mean (SD)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Change From BL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Mean (SD)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Change From BL</w:t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Nurse practitioner visits</w:t>
            </w:r>
          </w:p>
        </w:tc>
        <w:tc>
          <w:tcPr>
            <w:tcW w:w="467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1.3 (2.52)</w:t>
            </w:r>
          </w:p>
        </w:tc>
        <w:tc>
          <w:tcPr>
            <w:tcW w:w="4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0.8 (1.66)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1.6 (2.84)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62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0.7 (1.78)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Therapist/counselor visits</w:t>
            </w:r>
          </w:p>
        </w:tc>
        <w:tc>
          <w:tcPr>
            <w:tcW w:w="467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6.5 (20.53)</w:t>
            </w:r>
          </w:p>
        </w:tc>
        <w:tc>
          <w:tcPr>
            <w:tcW w:w="4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2.8 (10.29)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8.6 (24.10)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62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3.3 (12.24)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Nurse visits</w:t>
            </w:r>
          </w:p>
        </w:tc>
        <w:tc>
          <w:tcPr>
            <w:tcW w:w="467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6.6 (8.71)</w:t>
            </w:r>
          </w:p>
        </w:tc>
        <w:tc>
          <w:tcPr>
            <w:tcW w:w="4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4.2 (5.27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7.9 (9.85)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62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2.3 (6.26)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Group sessions (with any of the professionals)</w:t>
            </w:r>
          </w:p>
        </w:tc>
        <w:tc>
          <w:tcPr>
            <w:tcW w:w="467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9.7 (29.02)</w:t>
            </w:r>
          </w:p>
        </w:tc>
        <w:tc>
          <w:tcPr>
            <w:tcW w:w="4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7.6 (20.30)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10.9 (32.77)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62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1.3 (7.40)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Accessed services at the site, days</w:t>
            </w:r>
          </w:p>
        </w:tc>
        <w:tc>
          <w:tcPr>
            <w:tcW w:w="467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21.9 (38.59)</w:t>
            </w:r>
          </w:p>
        </w:tc>
        <w:tc>
          <w:tcPr>
            <w:tcW w:w="4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15.7 (28.27)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25.0 (42.51)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62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9.7 (16.55)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Nights slept at a residential facility that is part of the site</w:t>
            </w:r>
          </w:p>
        </w:tc>
        <w:tc>
          <w:tcPr>
            <w:tcW w:w="467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tabs>
                <w:tab w:val="clear" w:pos="288"/>
              </w:tabs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10.7 (40.38)</w:t>
            </w:r>
          </w:p>
        </w:tc>
        <w:tc>
          <w:tcPr>
            <w:tcW w:w="4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4.8 (25.79)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13.9 (46.18)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62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3.9 (20.93)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lastRenderedPageBreak/>
              <w:t>Canceled one-on-one visits at the site</w:t>
            </w:r>
          </w:p>
        </w:tc>
        <w:tc>
          <w:tcPr>
            <w:tcW w:w="467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tabs>
                <w:tab w:val="clear" w:pos="288"/>
              </w:tabs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1.0 (2.31)</w:t>
            </w:r>
          </w:p>
        </w:tc>
        <w:tc>
          <w:tcPr>
            <w:tcW w:w="47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1.1 (2.61)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44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1.0 (2.13)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  <w:tc>
          <w:tcPr>
            <w:tcW w:w="625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0.5 (1.25)</w:t>
            </w:r>
          </w:p>
        </w:tc>
        <w:tc>
          <w:tcPr>
            <w:tcW w:w="488" w:type="pct"/>
            <w:shd w:val="clear" w:color="auto" w:fill="FFFFFF" w:themeFill="background1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sym w:font="Symbol" w:char="F0BE"/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 w:rsidRPr="00185A3D">
              <w:rPr>
                <w:rFonts w:eastAsiaTheme="minorEastAsia"/>
                <w:b/>
                <w:sz w:val="24"/>
                <w:szCs w:val="24"/>
              </w:rPr>
              <w:t>12-Month Vis</w:t>
            </w:r>
            <w:r w:rsidRPr="00185A3D">
              <w:rPr>
                <w:rFonts w:eastAsiaTheme="minorEastAsia"/>
                <w:b/>
                <w:sz w:val="24"/>
                <w:szCs w:val="24"/>
                <w:shd w:val="clear" w:color="auto" w:fill="D9D9D9" w:themeFill="background1" w:themeFillShade="D9"/>
              </w:rPr>
              <w:t>it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Nurse practitioner visits</w:t>
            </w:r>
          </w:p>
        </w:tc>
        <w:tc>
          <w:tcPr>
            <w:tcW w:w="467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403"/>
              </w:tabs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0.8 (1.74)</w:t>
            </w:r>
          </w:p>
        </w:tc>
        <w:tc>
          <w:tcPr>
            <w:tcW w:w="4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–0.5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0.5 (1.36)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–0.3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1.0 (1.87)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–0.6</w:t>
            </w:r>
          </w:p>
        </w:tc>
        <w:tc>
          <w:tcPr>
            <w:tcW w:w="62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0.4 (1.29)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–0.2</w:t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Therapist/counselor visits</w:t>
            </w:r>
          </w:p>
        </w:tc>
        <w:tc>
          <w:tcPr>
            <w:tcW w:w="467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403"/>
              </w:tabs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5.8 (15.25)</w:t>
            </w:r>
          </w:p>
        </w:tc>
        <w:tc>
          <w:tcPr>
            <w:tcW w:w="4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–0.5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5.2 (13.89)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6.1 (15.90)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–1.8</w:t>
            </w:r>
          </w:p>
        </w:tc>
        <w:tc>
          <w:tcPr>
            <w:tcW w:w="62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2.7 (7.87)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–0.6</w:t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Nurse visits</w:t>
            </w:r>
          </w:p>
        </w:tc>
        <w:tc>
          <w:tcPr>
            <w:tcW w:w="467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403"/>
              </w:tabs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6.7 (7.29)</w:t>
            </w:r>
          </w:p>
        </w:tc>
        <w:tc>
          <w:tcPr>
            <w:tcW w:w="4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0.3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5.9 (5.05)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7.1 (8.14)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–0.2</w:t>
            </w:r>
          </w:p>
        </w:tc>
        <w:tc>
          <w:tcPr>
            <w:tcW w:w="62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1.6 (3.11)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–0.3</w:t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Group sessions (with any of the professionals)</w:t>
            </w:r>
          </w:p>
        </w:tc>
        <w:tc>
          <w:tcPr>
            <w:tcW w:w="467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403"/>
              </w:tabs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7.2 (22.30)</w:t>
            </w:r>
          </w:p>
        </w:tc>
        <w:tc>
          <w:tcPr>
            <w:tcW w:w="4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–1.4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10.7 (31.44)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3.4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5.5 (15.88)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–3.8</w:t>
            </w:r>
          </w:p>
        </w:tc>
        <w:tc>
          <w:tcPr>
            <w:tcW w:w="62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1.9 (8.47)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0.9</w:t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Accessed services at the site, days</w:t>
            </w:r>
          </w:p>
        </w:tc>
        <w:tc>
          <w:tcPr>
            <w:tcW w:w="467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403"/>
              </w:tabs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24.7 (42.99)</w:t>
            </w:r>
          </w:p>
        </w:tc>
        <w:tc>
          <w:tcPr>
            <w:tcW w:w="4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2.2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18.8 (34.37)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1.0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27.5 (46.32)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2.8</w:t>
            </w:r>
          </w:p>
        </w:tc>
        <w:tc>
          <w:tcPr>
            <w:tcW w:w="62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8.6 (17.51)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–1.9</w:t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Nights slept at a residential facility that is part of the site</w:t>
            </w:r>
          </w:p>
        </w:tc>
        <w:tc>
          <w:tcPr>
            <w:tcW w:w="467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403"/>
              </w:tabs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11.7 (43.35)</w:t>
            </w:r>
          </w:p>
        </w:tc>
        <w:tc>
          <w:tcPr>
            <w:tcW w:w="4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–0.7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7.1 (33.38)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0.3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13.9 (47.30)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–1.3</w:t>
            </w:r>
          </w:p>
        </w:tc>
        <w:tc>
          <w:tcPr>
            <w:tcW w:w="62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2.0 (16.50)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0.6</w:t>
            </w:r>
          </w:p>
        </w:tc>
      </w:tr>
      <w:tr w:rsidR="00A234FF" w:rsidRPr="00185A3D" w:rsidTr="00CB1D65">
        <w:trPr>
          <w:tblHeader/>
        </w:trPr>
        <w:tc>
          <w:tcPr>
            <w:tcW w:w="10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180"/>
              </w:tabs>
              <w:spacing w:line="360" w:lineRule="auto"/>
              <w:ind w:left="18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Canceled one-on-one visits at the site</w:t>
            </w:r>
          </w:p>
        </w:tc>
        <w:tc>
          <w:tcPr>
            <w:tcW w:w="467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tabs>
                <w:tab w:val="clear" w:pos="288"/>
                <w:tab w:val="left" w:pos="223"/>
              </w:tabs>
              <w:spacing w:line="360" w:lineRule="auto"/>
              <w:ind w:left="43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0.9 (2.13)</w:t>
            </w:r>
          </w:p>
        </w:tc>
        <w:tc>
          <w:tcPr>
            <w:tcW w:w="47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–0.1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0.7 (1.58)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–0.4</w:t>
            </w:r>
          </w:p>
        </w:tc>
        <w:tc>
          <w:tcPr>
            <w:tcW w:w="44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1.0 (2.35)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0.1</w:t>
            </w:r>
          </w:p>
        </w:tc>
        <w:tc>
          <w:tcPr>
            <w:tcW w:w="625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1.1 (2.38)</w:t>
            </w:r>
          </w:p>
        </w:tc>
        <w:tc>
          <w:tcPr>
            <w:tcW w:w="488" w:type="pct"/>
            <w:shd w:val="clear" w:color="auto" w:fill="FFFFFF"/>
          </w:tcPr>
          <w:p w:rsidR="00A234FF" w:rsidRPr="00185A3D" w:rsidRDefault="00A234FF" w:rsidP="00CB1D65">
            <w:pPr>
              <w:pStyle w:val="TableText"/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185A3D">
              <w:rPr>
                <w:rFonts w:eastAsiaTheme="minorEastAsia"/>
                <w:sz w:val="24"/>
                <w:szCs w:val="24"/>
              </w:rPr>
              <w:t>0.5</w:t>
            </w:r>
          </w:p>
        </w:tc>
      </w:tr>
    </w:tbl>
    <w:p w:rsidR="00065324" w:rsidRPr="00A234FF" w:rsidRDefault="00A234FF" w:rsidP="00A234FF">
      <w:pPr>
        <w:spacing w:line="360" w:lineRule="auto"/>
      </w:pPr>
      <w:proofErr w:type="gramStart"/>
      <w:r w:rsidRPr="00185A3D">
        <w:rPr>
          <w:rFonts w:ascii="Times New Roman" w:hAnsi="Times New Roman" w:cs="Times New Roman"/>
          <w:sz w:val="24"/>
          <w:szCs w:val="24"/>
        </w:rPr>
        <w:t xml:space="preserve">APT, antipsychotic therapy; BL, baseline; LAI, long-acting </w:t>
      </w:r>
      <w:proofErr w:type="spellStart"/>
      <w:r w:rsidRPr="00185A3D">
        <w:rPr>
          <w:rFonts w:ascii="Times New Roman" w:hAnsi="Times New Roman" w:cs="Times New Roman"/>
          <w:sz w:val="24"/>
          <w:szCs w:val="24"/>
        </w:rPr>
        <w:t>injectable</w:t>
      </w:r>
      <w:proofErr w:type="spellEnd"/>
      <w:r w:rsidRPr="00185A3D">
        <w:rPr>
          <w:rFonts w:ascii="Times New Roman" w:hAnsi="Times New Roman" w:cs="Times New Roman"/>
          <w:sz w:val="24"/>
          <w:szCs w:val="24"/>
        </w:rPr>
        <w:t xml:space="preserve"> (includes </w:t>
      </w:r>
      <w:proofErr w:type="spellStart"/>
      <w:r w:rsidRPr="00185A3D">
        <w:rPr>
          <w:rFonts w:ascii="Times New Roman" w:hAnsi="Times New Roman" w:cs="Times New Roman"/>
          <w:sz w:val="24"/>
          <w:szCs w:val="24"/>
        </w:rPr>
        <w:t>paliperidone</w:t>
      </w:r>
      <w:proofErr w:type="spellEnd"/>
      <w:r w:rsidRPr="00185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3D">
        <w:rPr>
          <w:rFonts w:ascii="Times New Roman" w:hAnsi="Times New Roman" w:cs="Times New Roman"/>
          <w:sz w:val="24"/>
          <w:szCs w:val="24"/>
        </w:rPr>
        <w:t>palmitate</w:t>
      </w:r>
      <w:proofErr w:type="spellEnd"/>
      <w:r w:rsidRPr="00185A3D">
        <w:rPr>
          <w:rFonts w:ascii="Times New Roman" w:hAnsi="Times New Roman" w:cs="Times New Roman"/>
          <w:sz w:val="24"/>
          <w:szCs w:val="24"/>
        </w:rPr>
        <w:t xml:space="preserve"> long-acting </w:t>
      </w:r>
      <w:proofErr w:type="spellStart"/>
      <w:r w:rsidRPr="00185A3D">
        <w:rPr>
          <w:rFonts w:ascii="Times New Roman" w:hAnsi="Times New Roman" w:cs="Times New Roman"/>
          <w:sz w:val="24"/>
          <w:szCs w:val="24"/>
        </w:rPr>
        <w:t>injectable</w:t>
      </w:r>
      <w:proofErr w:type="spellEnd"/>
      <w:r w:rsidRPr="00185A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5A3D">
        <w:rPr>
          <w:rFonts w:ascii="Times New Roman" w:hAnsi="Times New Roman" w:cs="Times New Roman"/>
          <w:sz w:val="24"/>
          <w:szCs w:val="24"/>
        </w:rPr>
        <w:t>risperidone</w:t>
      </w:r>
      <w:proofErr w:type="spellEnd"/>
      <w:r w:rsidRPr="00185A3D">
        <w:rPr>
          <w:rFonts w:ascii="Times New Roman" w:hAnsi="Times New Roman" w:cs="Times New Roman"/>
          <w:sz w:val="24"/>
          <w:szCs w:val="24"/>
        </w:rPr>
        <w:t xml:space="preserve"> long-acting </w:t>
      </w:r>
      <w:proofErr w:type="spellStart"/>
      <w:r w:rsidRPr="00185A3D">
        <w:rPr>
          <w:rFonts w:ascii="Times New Roman" w:hAnsi="Times New Roman" w:cs="Times New Roman"/>
          <w:sz w:val="24"/>
          <w:szCs w:val="24"/>
        </w:rPr>
        <w:t>injectable</w:t>
      </w:r>
      <w:proofErr w:type="spellEnd"/>
      <w:r w:rsidRPr="00185A3D">
        <w:rPr>
          <w:rFonts w:ascii="Times New Roman" w:hAnsi="Times New Roman" w:cs="Times New Roman"/>
          <w:sz w:val="24"/>
          <w:szCs w:val="24"/>
        </w:rPr>
        <w:t>); SD, standard deviation.</w:t>
      </w:r>
      <w:proofErr w:type="gramEnd"/>
    </w:p>
    <w:sectPr w:rsidR="00065324" w:rsidRPr="00A234FF" w:rsidSect="0028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5324"/>
    <w:rsid w:val="00065324"/>
    <w:rsid w:val="00220D94"/>
    <w:rsid w:val="0028354E"/>
    <w:rsid w:val="007D330C"/>
    <w:rsid w:val="00A234FF"/>
    <w:rsid w:val="00B1148E"/>
    <w:rsid w:val="00B9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A234FF"/>
    <w:pPr>
      <w:tabs>
        <w:tab w:val="left" w:pos="288"/>
        <w:tab w:val="left" w:pos="576"/>
        <w:tab w:val="left" w:pos="86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1619</Characters>
  <Application>Microsoft Office Word</Application>
  <DocSecurity>0</DocSecurity>
  <Lines>57</Lines>
  <Paragraphs>39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JDANAG</dc:creator>
  <cp:lastModifiedBy>JDANAG</cp:lastModifiedBy>
  <cp:revision>2</cp:revision>
  <dcterms:created xsi:type="dcterms:W3CDTF">2018-01-09T07:52:00Z</dcterms:created>
  <dcterms:modified xsi:type="dcterms:W3CDTF">2018-01-09T07:52:00Z</dcterms:modified>
</cp:coreProperties>
</file>