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3" w:rsidRDefault="00424773" w:rsidP="00424773">
      <w:pPr>
        <w:spacing w:after="0" w:line="360" w:lineRule="auto"/>
        <w:contextualSpacing/>
        <w:rPr>
          <w:b/>
          <w:lang w:val="en-US"/>
        </w:rPr>
      </w:pPr>
      <w:r>
        <w:rPr>
          <w:b/>
          <w:lang w:val="en-US"/>
        </w:rPr>
        <w:t>ADDITIONAL FILE 3</w:t>
      </w:r>
    </w:p>
    <w:p w:rsidR="00424773" w:rsidRPr="00A626B3" w:rsidRDefault="00424773" w:rsidP="00424773">
      <w:pPr>
        <w:spacing w:after="0" w:line="360" w:lineRule="auto"/>
        <w:contextualSpacing/>
        <w:rPr>
          <w:b/>
          <w:lang w:val="en-US"/>
        </w:rPr>
      </w:pPr>
    </w:p>
    <w:p w:rsidR="00424773" w:rsidRPr="00A626B3" w:rsidRDefault="00424773" w:rsidP="00424773">
      <w:pPr>
        <w:spacing w:after="0" w:line="360" w:lineRule="auto"/>
        <w:contextualSpacing/>
      </w:pPr>
    </w:p>
    <w:tbl>
      <w:tblPr>
        <w:tblStyle w:val="TableGrid"/>
        <w:tblW w:w="8781" w:type="dxa"/>
        <w:tblLayout w:type="fixed"/>
        <w:tblLook w:val="04A0" w:firstRow="1" w:lastRow="0" w:firstColumn="1" w:lastColumn="0" w:noHBand="0" w:noVBand="1"/>
      </w:tblPr>
      <w:tblGrid>
        <w:gridCol w:w="4644"/>
        <w:gridCol w:w="2068"/>
        <w:gridCol w:w="2069"/>
      </w:tblGrid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rPr>
                <w:b/>
              </w:rPr>
            </w:pPr>
            <w:r w:rsidRPr="00A626B3">
              <w:rPr>
                <w:b/>
              </w:rPr>
              <w:t>Items</w:t>
            </w:r>
            <w:r w:rsidR="0099021F">
              <w:rPr>
                <w:b/>
              </w:rPr>
              <w:t xml:space="preserve"> [Taken from Tober et al Ref 30]</w:t>
            </w:r>
            <w:bookmarkStart w:id="0" w:name="_GoBack"/>
            <w:bookmarkEnd w:id="0"/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  <w:rPr>
                <w:b/>
              </w:rPr>
            </w:pPr>
            <w:r w:rsidRPr="00A626B3">
              <w:rPr>
                <w:b/>
              </w:rPr>
              <w:t>ICC's Frequency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  <w:rPr>
                <w:b/>
              </w:rPr>
            </w:pPr>
            <w:r w:rsidRPr="00A626B3">
              <w:rPr>
                <w:b/>
              </w:rPr>
              <w:t>ICC's Quality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Maintaining Structure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0.69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0.71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Agenda Setting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0.83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0.85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Explanation of Philosophy of Treatment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0.83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0.83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R</w:t>
            </w:r>
            <w:r>
              <w:t>eviewing Inter - Session Change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Consistency of Problem Focus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0.43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0.41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End of Session Summary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0.95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0.94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Homework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0.78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0.79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Alt</w:t>
            </w:r>
            <w:r>
              <w:t>ernative Activities to Drinking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0.77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0.76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Soci</w:t>
            </w:r>
            <w:r>
              <w:t>al Support for Change - General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0.92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0.89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 xml:space="preserve">Involvement of Others in Behaviour </w:t>
            </w:r>
            <w:r>
              <w:t>Change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0.93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0.91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Identif</w:t>
            </w:r>
            <w:r>
              <w:t>y Sources of Support for Change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0.89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0.86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Therapist as Task Oriented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0.84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Thera</w:t>
            </w:r>
            <w:r>
              <w:t>pist as Active Agent for Change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0.95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0.93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Collaboration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 w:rsidRPr="00A626B3">
              <w:t>0.9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>
              <w:t>Interpersonal Focus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>
              <w:t>0.8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>
              <w:t>0.8</w:t>
            </w:r>
          </w:p>
        </w:tc>
      </w:tr>
      <w:tr w:rsidR="00424773" w:rsidRPr="00A626B3" w:rsidTr="0014522B">
        <w:trPr>
          <w:trHeight w:val="280"/>
        </w:trPr>
        <w:tc>
          <w:tcPr>
            <w:tcW w:w="4644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</w:pPr>
            <w:r w:rsidRPr="00A626B3">
              <w:t>Average ICC</w:t>
            </w:r>
          </w:p>
        </w:tc>
        <w:tc>
          <w:tcPr>
            <w:tcW w:w="2068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>
              <w:t>0.8</w:t>
            </w:r>
          </w:p>
        </w:tc>
        <w:tc>
          <w:tcPr>
            <w:tcW w:w="2069" w:type="dxa"/>
            <w:noWrap/>
            <w:hideMark/>
          </w:tcPr>
          <w:p w:rsidR="00424773" w:rsidRPr="00A626B3" w:rsidRDefault="00424773" w:rsidP="0014522B">
            <w:pPr>
              <w:spacing w:line="360" w:lineRule="auto"/>
              <w:contextualSpacing/>
              <w:jc w:val="center"/>
            </w:pPr>
            <w:r>
              <w:t>0.8</w:t>
            </w:r>
          </w:p>
        </w:tc>
      </w:tr>
    </w:tbl>
    <w:p w:rsidR="00424773" w:rsidRDefault="00424773" w:rsidP="00424773"/>
    <w:p w:rsidR="00424773" w:rsidRPr="00424773" w:rsidRDefault="00424773" w:rsidP="00424773">
      <w:pPr>
        <w:rPr>
          <w:b/>
        </w:rPr>
      </w:pPr>
      <w:r w:rsidRPr="00424773">
        <w:rPr>
          <w:b/>
        </w:rPr>
        <w:t>Inter-rater reliability for frequency and quality ratings</w:t>
      </w:r>
    </w:p>
    <w:p w:rsidR="00F07E3B" w:rsidRDefault="00F07E3B"/>
    <w:sectPr w:rsidR="00F07E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8" w:rsidRDefault="00EC7AA8">
      <w:pPr>
        <w:spacing w:after="0" w:line="240" w:lineRule="auto"/>
      </w:pPr>
      <w:r>
        <w:separator/>
      </w:r>
    </w:p>
  </w:endnote>
  <w:endnote w:type="continuationSeparator" w:id="0">
    <w:p w:rsidR="00EC7AA8" w:rsidRDefault="00EC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53A" w:rsidRDefault="004247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53A" w:rsidRDefault="00EC7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8" w:rsidRDefault="00EC7AA8">
      <w:pPr>
        <w:spacing w:after="0" w:line="240" w:lineRule="auto"/>
      </w:pPr>
      <w:r>
        <w:separator/>
      </w:r>
    </w:p>
  </w:footnote>
  <w:footnote w:type="continuationSeparator" w:id="0">
    <w:p w:rsidR="00EC7AA8" w:rsidRDefault="00EC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3"/>
    <w:rsid w:val="00424773"/>
    <w:rsid w:val="0099021F"/>
    <w:rsid w:val="00EC7AA8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Day</dc:creator>
  <cp:lastModifiedBy>Edward Day</cp:lastModifiedBy>
  <cp:revision>2</cp:revision>
  <dcterms:created xsi:type="dcterms:W3CDTF">2017-06-05T07:43:00Z</dcterms:created>
  <dcterms:modified xsi:type="dcterms:W3CDTF">2017-06-05T07:46:00Z</dcterms:modified>
</cp:coreProperties>
</file>