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AC0C8" w14:textId="77777777" w:rsidR="00A42CEC" w:rsidRPr="00A42CEC" w:rsidRDefault="00A42CEC" w:rsidP="00A42CEC">
      <w:pPr>
        <w:spacing w:line="360" w:lineRule="auto"/>
        <w:rPr>
          <w:rFonts w:cs="Times New Roman"/>
        </w:rPr>
      </w:pPr>
      <w:bookmarkStart w:id="0" w:name="_Hlk42514122"/>
      <w:r w:rsidRPr="00A42CEC">
        <w:rPr>
          <w:rFonts w:cs="Times New Roman"/>
          <w:b/>
        </w:rPr>
        <w:t xml:space="preserve">Temporal trends in annual incidence rates for psychiatric disorders and self-harm among children and adolescents in the UK, 2003-2018 </w:t>
      </w:r>
    </w:p>
    <w:bookmarkEnd w:id="0"/>
    <w:p w14:paraId="2BE29F03" w14:textId="77777777" w:rsidR="00A42CEC" w:rsidRPr="00A42CEC" w:rsidRDefault="00A42CEC" w:rsidP="00A42CEC">
      <w:pPr>
        <w:spacing w:after="0" w:line="360" w:lineRule="auto"/>
        <w:rPr>
          <w:rFonts w:cs="Times New Roman"/>
        </w:rPr>
      </w:pPr>
      <w:r w:rsidRPr="00A42CEC">
        <w:rPr>
          <w:rFonts w:cs="Times New Roman"/>
          <w:b/>
        </w:rPr>
        <w:t>Authors:</w:t>
      </w:r>
      <w:r w:rsidRPr="00A42CEC">
        <w:rPr>
          <w:rFonts w:cs="Times New Roman"/>
        </w:rPr>
        <w:br/>
        <w:t>Lukasz Cybulski</w:t>
      </w:r>
      <w:r w:rsidRPr="00A42CEC">
        <w:rPr>
          <w:rFonts w:cs="Times New Roman"/>
          <w:vertAlign w:val="superscript"/>
        </w:rPr>
        <w:t xml:space="preserve">1,2 </w:t>
      </w:r>
      <w:r w:rsidRPr="00A42CEC">
        <w:rPr>
          <w:rFonts w:cs="Times New Roman"/>
        </w:rPr>
        <w:t>(Corresponding author: lukeznder@gmail.com)</w:t>
      </w:r>
      <w:r w:rsidRPr="00A42CEC">
        <w:rPr>
          <w:rFonts w:cs="Times New Roman"/>
        </w:rPr>
        <w:br/>
        <w:t>Darren M. Ashcroft</w:t>
      </w:r>
      <w:r w:rsidRPr="00A42CEC">
        <w:rPr>
          <w:rFonts w:cs="Times New Roman"/>
          <w:vertAlign w:val="superscript"/>
        </w:rPr>
        <w:t>2,3</w:t>
      </w:r>
      <w:r w:rsidRPr="00A42CEC">
        <w:rPr>
          <w:rFonts w:cs="Times New Roman"/>
        </w:rPr>
        <w:br/>
        <w:t>Matthew J. Carr</w:t>
      </w:r>
      <w:r w:rsidRPr="00A42CEC">
        <w:rPr>
          <w:rFonts w:cs="Times New Roman"/>
          <w:vertAlign w:val="superscript"/>
        </w:rPr>
        <w:t>2,3</w:t>
      </w:r>
      <w:r w:rsidRPr="00A42CEC">
        <w:rPr>
          <w:rFonts w:cs="Times New Roman"/>
        </w:rPr>
        <w:br/>
        <w:t>Shruti Garg, University of Manchester</w:t>
      </w:r>
      <w:r w:rsidRPr="00A42CEC">
        <w:rPr>
          <w:rFonts w:cs="Times New Roman"/>
          <w:vertAlign w:val="superscript"/>
        </w:rPr>
        <w:t>5</w:t>
      </w:r>
      <w:r w:rsidRPr="00A42CEC">
        <w:rPr>
          <w:rFonts w:cs="Times New Roman"/>
        </w:rPr>
        <w:br/>
        <w:t>Carolyn A. Chew-Graham</w:t>
      </w:r>
      <w:r w:rsidRPr="00A42CEC">
        <w:rPr>
          <w:rFonts w:cs="Times New Roman"/>
          <w:vertAlign w:val="superscript"/>
        </w:rPr>
        <w:t>4</w:t>
      </w:r>
    </w:p>
    <w:p w14:paraId="2FFAEE36" w14:textId="77777777" w:rsidR="00A42CEC" w:rsidRPr="00A42CEC" w:rsidRDefault="00A42CEC" w:rsidP="00A42CEC">
      <w:pPr>
        <w:spacing w:after="0" w:line="360" w:lineRule="auto"/>
        <w:rPr>
          <w:rFonts w:cs="Times New Roman"/>
          <w:lang w:val="sv-SE"/>
        </w:rPr>
      </w:pPr>
      <w:r w:rsidRPr="00A42CEC">
        <w:rPr>
          <w:rFonts w:cs="Times New Roman"/>
          <w:lang w:val="sv-SE"/>
        </w:rPr>
        <w:t>Nav Kapur</w:t>
      </w:r>
      <w:r w:rsidRPr="00A42CEC">
        <w:rPr>
          <w:rFonts w:cs="Times New Roman"/>
          <w:vertAlign w:val="superscript"/>
          <w:lang w:val="sv-SE"/>
        </w:rPr>
        <w:t>1,2,6</w:t>
      </w:r>
      <w:r w:rsidRPr="00A42CEC">
        <w:rPr>
          <w:rFonts w:cs="Times New Roman"/>
          <w:lang w:val="sv-SE"/>
        </w:rPr>
        <w:br/>
        <w:t>Roger T. Webb</w:t>
      </w:r>
      <w:r w:rsidRPr="00A42CEC">
        <w:rPr>
          <w:rFonts w:cs="Times New Roman"/>
          <w:vertAlign w:val="superscript"/>
          <w:lang w:val="sv-SE"/>
        </w:rPr>
        <w:t>1,2</w:t>
      </w:r>
    </w:p>
    <w:p w14:paraId="48916954" w14:textId="77777777" w:rsidR="00A42CEC" w:rsidRPr="00A42CEC" w:rsidRDefault="00A42CEC" w:rsidP="00A42CEC">
      <w:pPr>
        <w:spacing w:after="0" w:line="360" w:lineRule="auto"/>
        <w:rPr>
          <w:rFonts w:cs="Times New Roman"/>
          <w:lang w:val="sv-SE"/>
        </w:rPr>
      </w:pPr>
    </w:p>
    <w:p w14:paraId="0D82A1F2" w14:textId="77777777" w:rsidR="00A42CEC" w:rsidRPr="00A42CEC" w:rsidRDefault="00A42CEC" w:rsidP="00A42CEC">
      <w:pPr>
        <w:spacing w:after="0" w:line="360" w:lineRule="auto"/>
        <w:rPr>
          <w:rFonts w:cs="Times New Roman"/>
          <w:b/>
          <w:bCs/>
        </w:rPr>
      </w:pPr>
      <w:r w:rsidRPr="00A42CEC">
        <w:rPr>
          <w:rFonts w:cs="Times New Roman"/>
          <w:b/>
          <w:bCs/>
        </w:rPr>
        <w:t>Organisational affiliations</w:t>
      </w:r>
    </w:p>
    <w:p w14:paraId="678B8000" w14:textId="77777777" w:rsidR="00A42CEC" w:rsidRPr="00A42CEC" w:rsidRDefault="00A42CEC" w:rsidP="00A42CEC">
      <w:pPr>
        <w:spacing w:after="0" w:line="360" w:lineRule="auto"/>
        <w:rPr>
          <w:rFonts w:cs="Times New Roman"/>
        </w:rPr>
      </w:pPr>
      <w:r w:rsidRPr="00A42CEC">
        <w:rPr>
          <w:rFonts w:cs="Times New Roman"/>
        </w:rPr>
        <w:t xml:space="preserve">1 </w:t>
      </w:r>
      <w:bookmarkStart w:id="1" w:name="_Hlk42513387"/>
      <w:bookmarkStart w:id="2" w:name="_Hlk42513775"/>
      <w:r w:rsidRPr="00A42CEC">
        <w:rPr>
          <w:rFonts w:cs="Times New Roman"/>
        </w:rPr>
        <w:t xml:space="preserve">Centre for Mental Health &amp; Safety, Division of Psychology &amp; Mental Health, School of Health Sciences, Faculty of Biology, </w:t>
      </w:r>
      <w:bookmarkEnd w:id="1"/>
      <w:r w:rsidRPr="00A42CEC">
        <w:rPr>
          <w:rFonts w:cs="Times New Roman"/>
        </w:rPr>
        <w:t xml:space="preserve">Medicine, and Health, The University of Manchester and Manchester </w:t>
      </w:r>
      <w:bookmarkEnd w:id="2"/>
      <w:r w:rsidRPr="00A42CEC">
        <w:rPr>
          <w:rFonts w:cs="Times New Roman"/>
        </w:rPr>
        <w:t>Academic Health Sciences Centre, Manchester, M13 9PL, UK</w:t>
      </w:r>
    </w:p>
    <w:p w14:paraId="6DBA7DF4" w14:textId="77777777" w:rsidR="00A42CEC" w:rsidRPr="00A42CEC" w:rsidRDefault="00A42CEC" w:rsidP="00A42CEC">
      <w:pPr>
        <w:spacing w:after="0" w:line="360" w:lineRule="auto"/>
        <w:rPr>
          <w:rFonts w:cs="Times New Roman"/>
        </w:rPr>
      </w:pPr>
      <w:r w:rsidRPr="00A42CEC">
        <w:rPr>
          <w:rFonts w:cs="Times New Roman"/>
        </w:rPr>
        <w:t>2 NIHR Greater Manchester Patient Safety Translational Research Centre, School of Health Sciences, Faculty of Biology, Medicine and Health, The University of Manchester, Manchester Academic Health Science Centre, Oxford Road, Manchester, M13 9PL, UK</w:t>
      </w:r>
    </w:p>
    <w:p w14:paraId="267EE072" w14:textId="77777777" w:rsidR="00A42CEC" w:rsidRPr="00A42CEC" w:rsidRDefault="00A42CEC" w:rsidP="00A42CEC">
      <w:pPr>
        <w:spacing w:after="0" w:line="360" w:lineRule="auto"/>
        <w:rPr>
          <w:rFonts w:cs="Times New Roman"/>
        </w:rPr>
      </w:pPr>
      <w:r w:rsidRPr="00A42CEC">
        <w:rPr>
          <w:rFonts w:cs="Times New Roman"/>
        </w:rPr>
        <w:t>3 Centre for Pharmacoepidemiology and Drug Safety, Division of Pharmacy and Optometry, School of Health Sciences, Faculty of Biology, Medicine and Health, The University of Manchester, Manchester, United Kingdom</w:t>
      </w:r>
    </w:p>
    <w:p w14:paraId="6C7530FB" w14:textId="77777777" w:rsidR="00A42CEC" w:rsidRPr="00A42CEC" w:rsidRDefault="00A42CEC" w:rsidP="00A42CEC">
      <w:pPr>
        <w:spacing w:after="0" w:line="360" w:lineRule="auto"/>
        <w:rPr>
          <w:rFonts w:cs="Times New Roman"/>
        </w:rPr>
      </w:pPr>
      <w:r w:rsidRPr="00A42CEC">
        <w:rPr>
          <w:rFonts w:cs="Times New Roman"/>
        </w:rPr>
        <w:t>4 School of Medicine, Faculty of Medicine and Health Sciences, Keele University, Staffs, UK ST5 5BG</w:t>
      </w:r>
    </w:p>
    <w:p w14:paraId="66E4F688" w14:textId="77777777" w:rsidR="00A42CEC" w:rsidRPr="00A42CEC" w:rsidRDefault="00A42CEC" w:rsidP="00A42CEC">
      <w:pPr>
        <w:spacing w:after="0" w:line="360" w:lineRule="auto"/>
        <w:rPr>
          <w:rFonts w:cs="Times New Roman"/>
          <w:lang w:val="en-US"/>
        </w:rPr>
      </w:pPr>
      <w:r w:rsidRPr="00A42CEC">
        <w:rPr>
          <w:rFonts w:cs="Times New Roman"/>
        </w:rPr>
        <w:t xml:space="preserve">5 </w:t>
      </w:r>
      <w:r w:rsidRPr="00A42CEC">
        <w:rPr>
          <w:rFonts w:cs="Times New Roman"/>
          <w:lang w:val="en-US"/>
        </w:rPr>
        <w:t>Neuroscience &amp; Experimental Psychology, Manchester Academic Health Science Centre, University of Manchester and Royal Manchester Children's Hospital, Central Manchester University Hospitals NHS Foundation, Manchester, UK</w:t>
      </w:r>
    </w:p>
    <w:p w14:paraId="78D2A83A" w14:textId="77777777" w:rsidR="00A42CEC" w:rsidRPr="00A42CEC" w:rsidRDefault="00A42CEC" w:rsidP="00A42CEC">
      <w:pPr>
        <w:spacing w:after="0" w:line="360" w:lineRule="auto"/>
        <w:rPr>
          <w:rFonts w:cs="Times New Roman"/>
        </w:rPr>
      </w:pPr>
      <w:r w:rsidRPr="00A42CEC">
        <w:rPr>
          <w:rFonts w:cs="Times New Roman"/>
        </w:rPr>
        <w:t>6 Greater Manchester Mental Health NHS Foundation Trust</w:t>
      </w:r>
    </w:p>
    <w:p w14:paraId="2D9077CA" w14:textId="77777777" w:rsidR="00A42CEC" w:rsidRPr="00A42CEC" w:rsidRDefault="00A42CEC">
      <w:pPr>
        <w:rPr>
          <w:b/>
          <w:bCs/>
        </w:rPr>
      </w:pPr>
    </w:p>
    <w:p w14:paraId="1734D34C" w14:textId="77777777" w:rsidR="00A42CEC" w:rsidRPr="00A42CEC" w:rsidRDefault="00A42CEC">
      <w:pPr>
        <w:rPr>
          <w:b/>
          <w:bCs/>
        </w:rPr>
      </w:pPr>
    </w:p>
    <w:p w14:paraId="2EB35E2C" w14:textId="0ACE9ACC" w:rsidR="00CC5D57" w:rsidRPr="00A42CEC" w:rsidRDefault="00CC5D57">
      <w:r w:rsidRPr="00A42CEC">
        <w:rPr>
          <w:b/>
          <w:bCs/>
        </w:rPr>
        <w:t xml:space="preserve">Supplementary Fig </w:t>
      </w:r>
      <w:r w:rsidR="00646EFD">
        <w:rPr>
          <w:b/>
          <w:bCs/>
        </w:rPr>
        <w:t>S6</w:t>
      </w:r>
      <w:r w:rsidRPr="00A42CEC">
        <w:t xml:space="preserve">. </w:t>
      </w:r>
      <w:r w:rsidR="0025030C" w:rsidRPr="00A42CEC">
        <w:t>Annual incidence rates</w:t>
      </w:r>
      <w:r w:rsidR="00A42CEC" w:rsidRPr="00A42CEC">
        <w:t>: inclusive vs. stringent estimate.</w:t>
      </w:r>
    </w:p>
    <w:p w14:paraId="7C61C357" w14:textId="77777777" w:rsidR="00A42CEC" w:rsidRPr="00A42CEC" w:rsidRDefault="007B5904">
      <w:pPr>
        <w:rPr>
          <w:rFonts w:cs="Times New Roman"/>
        </w:rPr>
      </w:pPr>
      <w:r w:rsidRPr="00A42CEC">
        <w:rPr>
          <w:noProof/>
        </w:rPr>
        <w:drawing>
          <wp:inline distT="0" distB="0" distL="0" distR="0" wp14:anchorId="511554B4" wp14:editId="6A40EF6D">
            <wp:extent cx="7779327" cy="460862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00323" cy="4621067"/>
                    </a:xfrm>
                    <a:prstGeom prst="rect">
                      <a:avLst/>
                    </a:prstGeom>
                  </pic:spPr>
                </pic:pic>
              </a:graphicData>
            </a:graphic>
          </wp:inline>
        </w:drawing>
      </w:r>
    </w:p>
    <w:p w14:paraId="7179D74E" w14:textId="582E1ED5" w:rsidR="00A42CEC" w:rsidRPr="00A42CEC" w:rsidRDefault="00A42CEC">
      <w:r w:rsidRPr="00A42CEC">
        <w:rPr>
          <w:rFonts w:cs="Times New Roman"/>
        </w:rPr>
        <w:lastRenderedPageBreak/>
        <w:t>Note. We used Read codes to identify episodes of self-har and psychiatric disorders. Because the descriptors for some Read codes can seem ambiguous, we categorised codes as being either ‘stringent’ or ‘inclusive’ according to their perceived likelihood of correctly ascertaining a relevant diagnosis or self-harm episode.</w:t>
      </w:r>
    </w:p>
    <w:p w14:paraId="4DC7BF1C" w14:textId="3C096DB0" w:rsidR="00AA7908" w:rsidRPr="00A42CEC" w:rsidRDefault="00646EFD"/>
    <w:sectPr w:rsidR="00AA7908" w:rsidRPr="00A42CEC" w:rsidSect="00641A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04"/>
    <w:rsid w:val="00072B78"/>
    <w:rsid w:val="0025030C"/>
    <w:rsid w:val="002F0F77"/>
    <w:rsid w:val="00641A04"/>
    <w:rsid w:val="00646EFD"/>
    <w:rsid w:val="007B5904"/>
    <w:rsid w:val="00A42CEC"/>
    <w:rsid w:val="00CC5D57"/>
    <w:rsid w:val="00D56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79C3"/>
  <w15:chartTrackingRefBased/>
  <w15:docId w15:val="{F280946C-0F8F-41E4-956D-F95DB979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Cybulski</dc:creator>
  <cp:keywords/>
  <dc:description/>
  <cp:lastModifiedBy>Lukasz Cybulski</cp:lastModifiedBy>
  <cp:revision>6</cp:revision>
  <dcterms:created xsi:type="dcterms:W3CDTF">2021-01-18T00:25:00Z</dcterms:created>
  <dcterms:modified xsi:type="dcterms:W3CDTF">2021-03-19T11:48:00Z</dcterms:modified>
</cp:coreProperties>
</file>