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433B" w14:textId="77777777" w:rsidR="00A17913" w:rsidRPr="00765A6E" w:rsidRDefault="00A17913" w:rsidP="00A17913">
      <w:pPr>
        <w:ind w:firstLine="0"/>
        <w:rPr>
          <w:b/>
          <w:bCs/>
          <w:lang w:val="en-CA"/>
        </w:rPr>
      </w:pPr>
      <w:bookmarkStart w:id="0" w:name="_GoBack"/>
      <w:bookmarkEnd w:id="0"/>
      <w:r w:rsidRPr="00765A6E">
        <w:rPr>
          <w:b/>
          <w:bCs/>
          <w:lang w:val="en-CA"/>
        </w:rPr>
        <w:t xml:space="preserve">Suppl. Table 1. Numbers of participants classified as administrative and as CIDI-SF cases of depression. </w:t>
      </w:r>
    </w:p>
    <w:tbl>
      <w:tblPr>
        <w:tblStyle w:val="Tabelacomgrade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709"/>
        <w:gridCol w:w="709"/>
        <w:gridCol w:w="709"/>
        <w:gridCol w:w="850"/>
        <w:gridCol w:w="992"/>
      </w:tblGrid>
      <w:tr w:rsidR="00A17913" w:rsidRPr="00765A6E" w14:paraId="72EEFE6C" w14:textId="77777777" w:rsidTr="00621D19">
        <w:tc>
          <w:tcPr>
            <w:tcW w:w="2410" w:type="dxa"/>
            <w:tcBorders>
              <w:top w:val="single" w:sz="4" w:space="0" w:color="auto"/>
            </w:tcBorders>
          </w:tcPr>
          <w:p w14:paraId="13391C6E" w14:textId="77777777" w:rsidR="00A17913" w:rsidRPr="00765A6E" w:rsidRDefault="00A17913" w:rsidP="00621D19">
            <w:pPr>
              <w:pStyle w:val="Tabletext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04745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color w:val="000000" w:themeColor="text1"/>
                <w:lang w:val="fr-CA"/>
              </w:rPr>
            </w:pPr>
            <w:r w:rsidRPr="00765A6E">
              <w:rPr>
                <w:b/>
                <w:bCs/>
                <w:color w:val="000000" w:themeColor="text1"/>
                <w:lang w:val="fr-CA"/>
              </w:rPr>
              <w:t>Questionnaire cases (CIDI-SF)</w:t>
            </w:r>
          </w:p>
        </w:tc>
      </w:tr>
      <w:tr w:rsidR="00A17913" w:rsidRPr="00765A6E" w14:paraId="42F079AA" w14:textId="77777777" w:rsidTr="00621D19">
        <w:tc>
          <w:tcPr>
            <w:tcW w:w="2410" w:type="dxa"/>
          </w:tcPr>
          <w:p w14:paraId="55A35B83" w14:textId="77777777" w:rsidR="00A17913" w:rsidRPr="00765A6E" w:rsidRDefault="00A17913" w:rsidP="00621D19">
            <w:pPr>
              <w:pStyle w:val="Tabletext"/>
              <w:rPr>
                <w:b/>
                <w:bCs/>
                <w:color w:val="000000" w:themeColor="text1"/>
                <w:lang w:val="fr-CA"/>
              </w:rPr>
            </w:pPr>
            <w:r w:rsidRPr="00765A6E">
              <w:rPr>
                <w:b/>
                <w:bCs/>
                <w:color w:val="000000" w:themeColor="text1"/>
                <w:lang w:val="fr-CA"/>
              </w:rPr>
              <w:t>Administrative cases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6FA882E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Men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04473384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Women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3A900A86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All</w:t>
            </w:r>
          </w:p>
        </w:tc>
      </w:tr>
      <w:tr w:rsidR="00A17913" w:rsidRPr="00765A6E" w14:paraId="187734C9" w14:textId="77777777" w:rsidTr="00621D19">
        <w:tc>
          <w:tcPr>
            <w:tcW w:w="2410" w:type="dxa"/>
          </w:tcPr>
          <w:p w14:paraId="1E78576F" w14:textId="77777777" w:rsidR="00A17913" w:rsidRPr="00765A6E" w:rsidRDefault="00A17913" w:rsidP="00621D19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F0DA7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7B685C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5F36BC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C3B5AC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1D51BE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D599BA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-</w:t>
            </w:r>
          </w:p>
        </w:tc>
      </w:tr>
      <w:tr w:rsidR="00A17913" w:rsidRPr="00765A6E" w14:paraId="68A1ADC0" w14:textId="77777777" w:rsidTr="00621D19">
        <w:tc>
          <w:tcPr>
            <w:tcW w:w="2410" w:type="dxa"/>
          </w:tcPr>
          <w:p w14:paraId="3030D00C" w14:textId="77777777" w:rsidR="00A17913" w:rsidRPr="00765A6E" w:rsidRDefault="00A17913" w:rsidP="00621D19">
            <w:pPr>
              <w:pStyle w:val="Tabletext"/>
              <w:rPr>
                <w:color w:val="000000" w:themeColor="text1"/>
              </w:rPr>
            </w:pPr>
            <w:r w:rsidRPr="00765A6E">
              <w:rPr>
                <w:b/>
                <w:bCs/>
                <w:color w:val="000000" w:themeColor="text1"/>
              </w:rPr>
              <w:t>+</w:t>
            </w:r>
            <w:r w:rsidRPr="00765A6E">
              <w:rPr>
                <w:color w:val="000000" w:themeColor="text1"/>
              </w:rPr>
              <w:t xml:space="preserve"> Definition A</w:t>
            </w:r>
            <w:r w:rsidRPr="00765A6E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AA2BB5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5BA64E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07D93A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254635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034BAC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7AFF51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84</w:t>
            </w:r>
          </w:p>
        </w:tc>
      </w:tr>
      <w:tr w:rsidR="00A17913" w:rsidRPr="00765A6E" w14:paraId="7AEF2FCB" w14:textId="77777777" w:rsidTr="00621D19">
        <w:tc>
          <w:tcPr>
            <w:tcW w:w="2410" w:type="dxa"/>
            <w:tcBorders>
              <w:bottom w:val="single" w:sz="4" w:space="0" w:color="auto"/>
            </w:tcBorders>
          </w:tcPr>
          <w:p w14:paraId="1D938B2C" w14:textId="77777777" w:rsidR="00A17913" w:rsidRPr="00765A6E" w:rsidRDefault="00A17913" w:rsidP="00621D19">
            <w:pPr>
              <w:pStyle w:val="Tabletext"/>
              <w:rPr>
                <w:color w:val="000000" w:themeColor="text1"/>
              </w:rPr>
            </w:pPr>
            <w:r w:rsidRPr="00765A6E">
              <w:rPr>
                <w:b/>
                <w:bCs/>
                <w:color w:val="000000" w:themeColor="text1"/>
              </w:rPr>
              <w:t>-</w:t>
            </w:r>
            <w:r w:rsidRPr="00765A6E">
              <w:rPr>
                <w:color w:val="000000" w:themeColor="text1"/>
              </w:rPr>
              <w:t xml:space="preserve">  Definition A</w:t>
            </w:r>
            <w:r w:rsidRPr="00765A6E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4EEA74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854B51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2722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A740D6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6F267D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2460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244D97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C1A54D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5182</w:t>
            </w:r>
          </w:p>
        </w:tc>
      </w:tr>
      <w:tr w:rsidR="00A17913" w:rsidRPr="00765A6E" w14:paraId="72F13124" w14:textId="77777777" w:rsidTr="00621D19">
        <w:tc>
          <w:tcPr>
            <w:tcW w:w="2410" w:type="dxa"/>
            <w:tcBorders>
              <w:top w:val="single" w:sz="4" w:space="0" w:color="auto"/>
            </w:tcBorders>
          </w:tcPr>
          <w:p w14:paraId="4509811F" w14:textId="77777777" w:rsidR="00A17913" w:rsidRPr="00765A6E" w:rsidRDefault="00A17913" w:rsidP="00621D19">
            <w:pPr>
              <w:pStyle w:val="Tabletext"/>
              <w:rPr>
                <w:b/>
                <w:bCs/>
                <w:color w:val="000000" w:themeColor="text1"/>
              </w:rPr>
            </w:pPr>
            <w:r w:rsidRPr="00765A6E">
              <w:rPr>
                <w:b/>
                <w:bCs/>
                <w:color w:val="000000" w:themeColor="text1"/>
              </w:rPr>
              <w:t>+</w:t>
            </w:r>
            <w:r w:rsidRPr="00765A6E">
              <w:rPr>
                <w:color w:val="000000" w:themeColor="text1"/>
              </w:rPr>
              <w:t xml:space="preserve"> Definition B</w:t>
            </w:r>
            <w:r w:rsidRPr="00765A6E">
              <w:rPr>
                <w:color w:val="000000" w:themeColor="text1"/>
                <w:vertAlign w:val="superscript"/>
              </w:rPr>
              <w:t>b</w:t>
            </w:r>
            <w:r w:rsidRPr="00765A6E">
              <w:rPr>
                <w:color w:val="000000" w:themeColor="text1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AB5E34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499F80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78A43B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411DCA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208FC1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37C79A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154</w:t>
            </w:r>
          </w:p>
        </w:tc>
      </w:tr>
      <w:tr w:rsidR="00A17913" w:rsidRPr="00765A6E" w14:paraId="22D2D3A9" w14:textId="77777777" w:rsidTr="00621D19">
        <w:tc>
          <w:tcPr>
            <w:tcW w:w="2410" w:type="dxa"/>
            <w:tcBorders>
              <w:bottom w:val="single" w:sz="4" w:space="0" w:color="auto"/>
            </w:tcBorders>
          </w:tcPr>
          <w:p w14:paraId="29F715E2" w14:textId="77777777" w:rsidR="00A17913" w:rsidRPr="00765A6E" w:rsidRDefault="00A17913" w:rsidP="00621D19">
            <w:pPr>
              <w:pStyle w:val="Tabletext"/>
              <w:rPr>
                <w:b/>
                <w:bCs/>
                <w:color w:val="000000" w:themeColor="text1"/>
              </w:rPr>
            </w:pPr>
            <w:r w:rsidRPr="00765A6E">
              <w:rPr>
                <w:b/>
                <w:bCs/>
                <w:color w:val="000000" w:themeColor="text1"/>
              </w:rPr>
              <w:t>-</w:t>
            </w:r>
            <w:r w:rsidRPr="00765A6E">
              <w:rPr>
                <w:color w:val="000000" w:themeColor="text1"/>
              </w:rPr>
              <w:t xml:space="preserve">  Definition B</w:t>
            </w:r>
            <w:r w:rsidRPr="00765A6E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0F56D9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836AD7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2693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A6BA29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407AB5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2419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B033FF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C760A1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5112</w:t>
            </w:r>
          </w:p>
        </w:tc>
      </w:tr>
      <w:tr w:rsidR="00A17913" w:rsidRPr="00765A6E" w14:paraId="4CA42515" w14:textId="77777777" w:rsidTr="00621D1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0EC5B3" w14:textId="77777777" w:rsidR="00A17913" w:rsidRPr="00765A6E" w:rsidRDefault="00A17913" w:rsidP="00621D19">
            <w:pPr>
              <w:pStyle w:val="Tabletext"/>
              <w:rPr>
                <w:b/>
                <w:bCs/>
                <w:color w:val="000000" w:themeColor="text1"/>
              </w:rPr>
            </w:pPr>
            <w:r w:rsidRPr="00765A6E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C32C90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913D31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2752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E5796F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708240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2514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418C84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B897CC" w14:textId="77777777" w:rsidR="00A17913" w:rsidRPr="00765A6E" w:rsidRDefault="00A17913" w:rsidP="00621D19">
            <w:pPr>
              <w:pStyle w:val="Tabletext"/>
              <w:jc w:val="center"/>
              <w:rPr>
                <w:color w:val="000000" w:themeColor="text1"/>
              </w:rPr>
            </w:pPr>
            <w:r w:rsidRPr="00765A6E">
              <w:rPr>
                <w:color w:val="000000" w:themeColor="text1"/>
              </w:rPr>
              <w:t>5266</w:t>
            </w:r>
          </w:p>
        </w:tc>
      </w:tr>
    </w:tbl>
    <w:p w14:paraId="502F6467" w14:textId="77777777" w:rsidR="00A17913" w:rsidRPr="00765A6E" w:rsidRDefault="00A17913" w:rsidP="00A17913">
      <w:pPr>
        <w:ind w:firstLine="0"/>
        <w:rPr>
          <w:vertAlign w:val="superscript"/>
          <w:lang w:val="en-CA"/>
        </w:rPr>
      </w:pPr>
    </w:p>
    <w:p w14:paraId="452BB216" w14:textId="77777777" w:rsidR="00A17913" w:rsidRPr="00765A6E" w:rsidRDefault="00A17913" w:rsidP="00A17913">
      <w:pPr>
        <w:ind w:firstLine="0"/>
        <w:rPr>
          <w:lang w:val="en-CA"/>
        </w:rPr>
      </w:pPr>
      <w:proofErr w:type="spellStart"/>
      <w:r w:rsidRPr="00765A6E">
        <w:rPr>
          <w:vertAlign w:val="superscript"/>
          <w:lang w:val="en-CA"/>
        </w:rPr>
        <w:t>a</w:t>
      </w:r>
      <w:proofErr w:type="spellEnd"/>
      <w:r w:rsidRPr="00765A6E">
        <w:rPr>
          <w:lang w:val="en-CA"/>
        </w:rPr>
        <w:t xml:space="preserve"> Any hospital </w:t>
      </w:r>
      <w:proofErr w:type="gramStart"/>
      <w:r w:rsidRPr="00765A6E">
        <w:rPr>
          <w:lang w:val="en-CA"/>
        </w:rPr>
        <w:t>stay</w:t>
      </w:r>
      <w:proofErr w:type="gramEnd"/>
      <w:r w:rsidRPr="00765A6E">
        <w:rPr>
          <w:lang w:val="en-CA"/>
        </w:rPr>
        <w:t xml:space="preserve"> or two medical consultations within the year preceding CIDI-SF.  </w:t>
      </w:r>
    </w:p>
    <w:p w14:paraId="4B11DFA7" w14:textId="104AD682" w:rsidR="00A17913" w:rsidRDefault="00A17913" w:rsidP="00A17913">
      <w:pPr>
        <w:ind w:firstLine="0"/>
        <w:rPr>
          <w:lang w:val="en-CA"/>
        </w:rPr>
      </w:pPr>
      <w:r w:rsidRPr="00765A6E">
        <w:rPr>
          <w:vertAlign w:val="superscript"/>
        </w:rPr>
        <w:t xml:space="preserve">b </w:t>
      </w:r>
      <w:r w:rsidRPr="00765A6E">
        <w:rPr>
          <w:lang w:val="en-CA"/>
        </w:rPr>
        <w:t xml:space="preserve">Any stay or medical consultation within the year preceding CIDI-SF. </w:t>
      </w:r>
    </w:p>
    <w:p w14:paraId="546371C7" w14:textId="77777777" w:rsidR="00A17913" w:rsidRDefault="00A17913">
      <w:pPr>
        <w:spacing w:line="240" w:lineRule="auto"/>
        <w:ind w:firstLine="0"/>
        <w:jc w:val="left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718C25A3" w14:textId="5A85A6F9" w:rsidR="00A17913" w:rsidRPr="00765A6E" w:rsidRDefault="00A17913" w:rsidP="00A17913">
      <w:pPr>
        <w:ind w:firstLine="0"/>
        <w:rPr>
          <w:b/>
          <w:bCs/>
          <w:lang w:val="en-CA"/>
        </w:rPr>
      </w:pPr>
      <w:r w:rsidRPr="00765A6E">
        <w:rPr>
          <w:b/>
          <w:bCs/>
          <w:lang w:val="en-CA"/>
        </w:rPr>
        <w:lastRenderedPageBreak/>
        <w:t>Suppl. Table 2A. Agreement between administrative and questionnaire cases of depression at T</w:t>
      </w:r>
      <w:r w:rsidRPr="00765A6E">
        <w:rPr>
          <w:b/>
          <w:bCs/>
          <w:vertAlign w:val="subscript"/>
          <w:lang w:val="en-CA"/>
        </w:rPr>
        <w:t>3</w:t>
      </w:r>
      <w:r w:rsidRPr="00765A6E">
        <w:rPr>
          <w:b/>
          <w:bCs/>
          <w:lang w:val="en-CA"/>
        </w:rPr>
        <w:t xml:space="preserve"> (2015-2018), stratified by known risk factors.</w:t>
      </w:r>
    </w:p>
    <w:tbl>
      <w:tblPr>
        <w:tblStyle w:val="Tabelacomgrade"/>
        <w:tblpPr w:leftFromText="141" w:rightFromText="141" w:vertAnchor="text" w:horzAnchor="margin" w:tblpYSpec="cen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285"/>
        <w:gridCol w:w="1260"/>
        <w:gridCol w:w="1275"/>
        <w:gridCol w:w="1275"/>
        <w:gridCol w:w="236"/>
        <w:gridCol w:w="1322"/>
        <w:gridCol w:w="1283"/>
        <w:gridCol w:w="1273"/>
        <w:gridCol w:w="1273"/>
        <w:gridCol w:w="1195"/>
      </w:tblGrid>
      <w:tr w:rsidR="00A17913" w:rsidRPr="00765A6E" w14:paraId="6F3AC147" w14:textId="77777777" w:rsidTr="00621D19"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88CD700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Sensitivity</w:t>
            </w:r>
          </w:p>
          <w:p w14:paraId="3E20ED59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3E3AB7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Specificity</w:t>
            </w:r>
          </w:p>
          <w:p w14:paraId="3E5F279E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37FA785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PPV</w:t>
            </w:r>
          </w:p>
          <w:p w14:paraId="334A9254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EDC6167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NPV</w:t>
            </w:r>
          </w:p>
          <w:p w14:paraId="779191CB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6930FBC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65A6E">
              <w:rPr>
                <w:lang w:val="en-US"/>
              </w:rPr>
              <w:t xml:space="preserve">κ       </w:t>
            </w:r>
            <w:proofErr w:type="gramStart"/>
            <w:r w:rsidRPr="00765A6E">
              <w:rPr>
                <w:lang w:val="en-US"/>
              </w:rPr>
              <w:t xml:space="preserve">   </w:t>
            </w:r>
            <w:r w:rsidRPr="00765A6E">
              <w:rPr>
                <w:b/>
                <w:bCs/>
              </w:rPr>
              <w:t>(</w:t>
            </w:r>
            <w:proofErr w:type="gramEnd"/>
            <w:r w:rsidRPr="00765A6E">
              <w:rPr>
                <w:b/>
                <w:bCs/>
              </w:rPr>
              <w:t>CI 95%)</w:t>
            </w:r>
          </w:p>
        </w:tc>
        <w:tc>
          <w:tcPr>
            <w:tcW w:w="91" w:type="pct"/>
            <w:tcBorders>
              <w:top w:val="single" w:sz="4" w:space="0" w:color="auto"/>
              <w:bottom w:val="nil"/>
            </w:tcBorders>
          </w:tcPr>
          <w:p w14:paraId="72CF63DA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1936AA1E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Sensitivity</w:t>
            </w:r>
          </w:p>
          <w:p w14:paraId="6129078E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E13B770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Specificity</w:t>
            </w:r>
          </w:p>
          <w:p w14:paraId="55713042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2553575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PPV</w:t>
            </w:r>
          </w:p>
          <w:p w14:paraId="49F0AF68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318603D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NPV</w:t>
            </w:r>
          </w:p>
          <w:p w14:paraId="7D4D5D5C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1C039CF8" w14:textId="77777777" w:rsidR="00A17913" w:rsidRPr="00765A6E" w:rsidRDefault="00A17913" w:rsidP="00621D19">
            <w:pPr>
              <w:spacing w:line="240" w:lineRule="auto"/>
              <w:ind w:firstLine="0"/>
              <w:rPr>
                <w:b/>
                <w:bCs/>
              </w:rPr>
            </w:pPr>
            <w:r w:rsidRPr="00765A6E">
              <w:rPr>
                <w:lang w:val="en-US"/>
              </w:rPr>
              <w:t xml:space="preserve">      κ</w:t>
            </w:r>
            <w:r w:rsidRPr="00765A6E">
              <w:rPr>
                <w:b/>
                <w:bCs/>
              </w:rPr>
              <w:t xml:space="preserve"> </w:t>
            </w:r>
          </w:p>
          <w:p w14:paraId="51A98406" w14:textId="77777777" w:rsidR="00A17913" w:rsidRPr="00765A6E" w:rsidRDefault="00A17913" w:rsidP="00621D19">
            <w:pPr>
              <w:spacing w:line="240" w:lineRule="auto"/>
              <w:ind w:firstLine="0"/>
              <w:rPr>
                <w:b/>
                <w:bCs/>
              </w:rPr>
            </w:pPr>
            <w:r w:rsidRPr="00765A6E">
              <w:rPr>
                <w:b/>
                <w:bCs/>
              </w:rPr>
              <w:t>(CI 95%)</w:t>
            </w:r>
          </w:p>
        </w:tc>
      </w:tr>
      <w:tr w:rsidR="00A17913" w:rsidRPr="00765A6E" w14:paraId="0C4A9BFC" w14:textId="77777777" w:rsidTr="00621D19">
        <w:trPr>
          <w:trHeight w:val="737"/>
        </w:trPr>
        <w:tc>
          <w:tcPr>
            <w:tcW w:w="246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5BE99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Men</w:t>
            </w:r>
          </w:p>
        </w:tc>
        <w:tc>
          <w:tcPr>
            <w:tcW w:w="91" w:type="pct"/>
            <w:tcBorders>
              <w:top w:val="nil"/>
              <w:bottom w:val="nil"/>
            </w:tcBorders>
            <w:vAlign w:val="bottom"/>
          </w:tcPr>
          <w:p w14:paraId="293DCC8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</w:p>
        </w:tc>
        <w:tc>
          <w:tcPr>
            <w:tcW w:w="24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BFB7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Women</w:t>
            </w:r>
          </w:p>
        </w:tc>
      </w:tr>
      <w:tr w:rsidR="00A17913" w:rsidRPr="00765A6E" w14:paraId="5D4A70A3" w14:textId="77777777" w:rsidTr="00621D19">
        <w:tc>
          <w:tcPr>
            <w:tcW w:w="495" w:type="pct"/>
            <w:tcBorders>
              <w:top w:val="nil"/>
              <w:bottom w:val="nil"/>
            </w:tcBorders>
          </w:tcPr>
          <w:p w14:paraId="254EDC4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17.1</w:t>
            </w:r>
          </w:p>
          <w:p w14:paraId="5D655F7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9.4 – 27.5</w:t>
            </w:r>
          </w:p>
        </w:tc>
        <w:tc>
          <w:tcPr>
            <w:tcW w:w="496" w:type="pct"/>
            <w:tcBorders>
              <w:top w:val="nil"/>
              <w:bottom w:val="nil"/>
            </w:tcBorders>
          </w:tcPr>
          <w:p w14:paraId="150B4F1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98.9</w:t>
            </w:r>
          </w:p>
          <w:p w14:paraId="6DE6D5F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98.4 – 99.3</w:t>
            </w:r>
          </w:p>
        </w:tc>
        <w:tc>
          <w:tcPr>
            <w:tcW w:w="486" w:type="pct"/>
            <w:tcBorders>
              <w:top w:val="nil"/>
              <w:bottom w:val="nil"/>
            </w:tcBorders>
          </w:tcPr>
          <w:p w14:paraId="4BAA403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30.2</w:t>
            </w:r>
          </w:p>
          <w:p w14:paraId="5D6D4FC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17.2 – 46.1</w:t>
            </w: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459A2CB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97.7</w:t>
            </w:r>
          </w:p>
          <w:p w14:paraId="46B1E40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97.1 – 98.3</w:t>
            </w: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3186F82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.203</w:t>
            </w:r>
          </w:p>
          <w:p w14:paraId="21EACEC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.103 - .303</w:t>
            </w:r>
          </w:p>
        </w:tc>
        <w:tc>
          <w:tcPr>
            <w:tcW w:w="91" w:type="pct"/>
            <w:tcBorders>
              <w:top w:val="nil"/>
              <w:bottom w:val="nil"/>
            </w:tcBorders>
          </w:tcPr>
          <w:p w14:paraId="480C781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</w:tcPr>
          <w:p w14:paraId="21691B7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19.3</w:t>
            </w:r>
          </w:p>
          <w:p w14:paraId="584ECA9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13.2 – 26.7</w:t>
            </w:r>
          </w:p>
        </w:tc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14:paraId="61BFDFF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97.9</w:t>
            </w:r>
          </w:p>
          <w:p w14:paraId="18FF2AD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97.2 – 98.4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101C6C5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34.1</w:t>
            </w:r>
          </w:p>
          <w:p w14:paraId="2D7498A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24.0 – 45.4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6D10F2B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95.5</w:t>
            </w:r>
          </w:p>
          <w:p w14:paraId="3E3D461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94.6 – 96.2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</w:tcPr>
          <w:p w14:paraId="4FB64C3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.216</w:t>
            </w:r>
          </w:p>
          <w:p w14:paraId="1F961FB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.140 - .291</w:t>
            </w:r>
          </w:p>
        </w:tc>
      </w:tr>
      <w:tr w:rsidR="00A17913" w:rsidRPr="00765A6E" w14:paraId="34EFF463" w14:textId="77777777" w:rsidTr="00621D19">
        <w:trPr>
          <w:trHeight w:val="737"/>
        </w:trPr>
        <w:tc>
          <w:tcPr>
            <w:tcW w:w="246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BD004EB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Without university degree</w:t>
            </w:r>
          </w:p>
        </w:tc>
        <w:tc>
          <w:tcPr>
            <w:tcW w:w="91" w:type="pct"/>
            <w:tcBorders>
              <w:top w:val="nil"/>
              <w:bottom w:val="nil"/>
            </w:tcBorders>
            <w:vAlign w:val="bottom"/>
          </w:tcPr>
          <w:p w14:paraId="46596DD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</w:p>
        </w:tc>
        <w:tc>
          <w:tcPr>
            <w:tcW w:w="2448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FD762A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University degree</w:t>
            </w:r>
          </w:p>
        </w:tc>
      </w:tr>
      <w:tr w:rsidR="00A17913" w:rsidRPr="00765A6E" w14:paraId="0C10CC69" w14:textId="77777777" w:rsidTr="00621D19"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14:paraId="747F467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19.7</w:t>
            </w:r>
          </w:p>
          <w:p w14:paraId="51BF2E8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13.3 – 27.5</w:t>
            </w:r>
          </w:p>
        </w:tc>
        <w:tc>
          <w:tcPr>
            <w:tcW w:w="496" w:type="pct"/>
            <w:tcBorders>
              <w:top w:val="single" w:sz="4" w:space="0" w:color="auto"/>
              <w:bottom w:val="nil"/>
            </w:tcBorders>
          </w:tcPr>
          <w:p w14:paraId="2E68CF1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98.1</w:t>
            </w:r>
          </w:p>
          <w:p w14:paraId="05DD0A89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97.5 – 98.5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14:paraId="0BE9DC3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32.1</w:t>
            </w:r>
          </w:p>
          <w:p w14:paraId="25B14D5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22.2 – 43.4</w:t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</w:tcPr>
          <w:p w14:paraId="1DF1FBD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96.3</w:t>
            </w:r>
          </w:p>
          <w:p w14:paraId="675862F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95.6 – 97.0</w:t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</w:tcPr>
          <w:p w14:paraId="44DA80F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.218</w:t>
            </w:r>
          </w:p>
          <w:p w14:paraId="0D9263A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.140 - .295</w:t>
            </w:r>
          </w:p>
        </w:tc>
        <w:tc>
          <w:tcPr>
            <w:tcW w:w="91" w:type="pct"/>
            <w:tcBorders>
              <w:top w:val="nil"/>
              <w:bottom w:val="nil"/>
            </w:tcBorders>
          </w:tcPr>
          <w:p w14:paraId="4405513C" w14:textId="77777777" w:rsidR="00A17913" w:rsidRPr="00765A6E" w:rsidRDefault="00A17913" w:rsidP="00621D19">
            <w:pPr>
              <w:spacing w:line="240" w:lineRule="auto"/>
              <w:ind w:firstLine="0"/>
              <w:rPr>
                <w:sz w:val="22"/>
                <w:szCs w:val="22"/>
                <w:lang w:val="en-C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</w:tcPr>
          <w:p w14:paraId="1B0A4FA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17.2</w:t>
            </w:r>
          </w:p>
          <w:p w14:paraId="759E7FD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10.0 – 26.8</w:t>
            </w:r>
          </w:p>
        </w:tc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14:paraId="5C9C95C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98.8</w:t>
            </w:r>
          </w:p>
          <w:p w14:paraId="7E2AF89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98.3 – 99.2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518F980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34.1</w:t>
            </w:r>
          </w:p>
          <w:p w14:paraId="0CC79F4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20.5 – 49.9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6137429C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97.1</w:t>
            </w:r>
          </w:p>
          <w:p w14:paraId="20033B4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96.3 – 97.7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</w:tcPr>
          <w:p w14:paraId="37050BA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.211</w:t>
            </w:r>
          </w:p>
          <w:p w14:paraId="579BB8E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.114 - .307</w:t>
            </w:r>
          </w:p>
        </w:tc>
      </w:tr>
      <w:tr w:rsidR="00A17913" w:rsidRPr="00765A6E" w14:paraId="176AB43C" w14:textId="77777777" w:rsidTr="00621D19">
        <w:trPr>
          <w:trHeight w:val="737"/>
        </w:trPr>
        <w:tc>
          <w:tcPr>
            <w:tcW w:w="246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B7E99DA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≤ 58 years</w:t>
            </w:r>
          </w:p>
        </w:tc>
        <w:tc>
          <w:tcPr>
            <w:tcW w:w="91" w:type="pct"/>
            <w:tcBorders>
              <w:top w:val="nil"/>
              <w:bottom w:val="nil"/>
            </w:tcBorders>
            <w:vAlign w:val="bottom"/>
          </w:tcPr>
          <w:p w14:paraId="42E14BD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</w:p>
        </w:tc>
        <w:tc>
          <w:tcPr>
            <w:tcW w:w="2448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82826F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&gt;58 years</w:t>
            </w:r>
          </w:p>
        </w:tc>
      </w:tr>
      <w:tr w:rsidR="00A17913" w:rsidRPr="00765A6E" w14:paraId="4314B065" w14:textId="77777777" w:rsidTr="00621D19"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3911C9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23.0</w:t>
            </w:r>
          </w:p>
          <w:p w14:paraId="2103A36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13.2 – 35.5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23A1781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97.3</w:t>
            </w:r>
          </w:p>
          <w:p w14:paraId="048A09D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96.2 – 98.2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3EA8490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31.8</w:t>
            </w:r>
          </w:p>
          <w:p w14:paraId="5905ABA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18.6 – 47.6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9968B3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95.8</w:t>
            </w:r>
          </w:p>
          <w:p w14:paraId="2F67B89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94.5 – 96.9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39222DA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.233</w:t>
            </w:r>
          </w:p>
          <w:p w14:paraId="6F3D8E7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.119 - .347</w:t>
            </w: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</w:tcPr>
          <w:p w14:paraId="278E892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223059A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16.9</w:t>
            </w:r>
          </w:p>
          <w:p w14:paraId="33EB8C1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11.4 – 23.6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E6A524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98.7</w:t>
            </w:r>
          </w:p>
          <w:p w14:paraId="7FE44F2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98.3 – 99.0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4BD7CA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33.3</w:t>
            </w:r>
          </w:p>
          <w:p w14:paraId="2465269C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 xml:space="preserve"> 23.2 – 44.7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786EAD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96.9</w:t>
            </w:r>
          </w:p>
          <w:p w14:paraId="6DEC0E79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96.3 – 97.4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13F4260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.204</w:t>
            </w:r>
          </w:p>
          <w:p w14:paraId="1863ADF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.133 - .275</w:t>
            </w:r>
          </w:p>
        </w:tc>
      </w:tr>
    </w:tbl>
    <w:p w14:paraId="5E2F6013" w14:textId="77777777" w:rsidR="00A17913" w:rsidRPr="00765A6E" w:rsidRDefault="00A17913" w:rsidP="00A17913">
      <w:pPr>
        <w:ind w:firstLine="0"/>
        <w:rPr>
          <w:lang w:val="en-CA"/>
        </w:rPr>
      </w:pPr>
      <w:r w:rsidRPr="00765A6E">
        <w:rPr>
          <w:lang w:val="en-CA"/>
        </w:rPr>
        <w:t xml:space="preserve">The prevalence of </w:t>
      </w:r>
      <w:r w:rsidRPr="00765A6E">
        <w:rPr>
          <w:i/>
          <w:iCs/>
          <w:lang w:val="en-CA"/>
        </w:rPr>
        <w:t>administrative cases</w:t>
      </w:r>
      <w:r w:rsidRPr="00765A6E">
        <w:rPr>
          <w:lang w:val="en-CA"/>
        </w:rPr>
        <w:t xml:space="preserve"> (definition A: any hospital </w:t>
      </w:r>
      <w:proofErr w:type="gramStart"/>
      <w:r w:rsidRPr="00765A6E">
        <w:rPr>
          <w:lang w:val="en-CA"/>
        </w:rPr>
        <w:t>stay</w:t>
      </w:r>
      <w:proofErr w:type="gramEnd"/>
      <w:r w:rsidRPr="00765A6E">
        <w:rPr>
          <w:lang w:val="en-CA"/>
        </w:rPr>
        <w:t xml:space="preserve"> or two medical consultations within the preceding year) was compared to</w:t>
      </w:r>
      <w:r w:rsidRPr="00765A6E">
        <w:rPr>
          <w:i/>
          <w:iCs/>
          <w:lang w:val="en-CA"/>
        </w:rPr>
        <w:t xml:space="preserve"> CIDI-SF cases</w:t>
      </w:r>
      <w:r w:rsidRPr="00765A6E">
        <w:rPr>
          <w:lang w:val="en-CA"/>
        </w:rPr>
        <w:t xml:space="preserve"> as reference.</w:t>
      </w:r>
    </w:p>
    <w:p w14:paraId="49C916B0" w14:textId="77777777" w:rsidR="00A17913" w:rsidRDefault="00A17913">
      <w:pPr>
        <w:spacing w:line="240" w:lineRule="auto"/>
        <w:ind w:firstLine="0"/>
        <w:jc w:val="left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4C7FFB64" w14:textId="10207F87" w:rsidR="00A17913" w:rsidRPr="00765A6E" w:rsidRDefault="00A17913" w:rsidP="00A17913">
      <w:pPr>
        <w:ind w:firstLine="0"/>
        <w:rPr>
          <w:b/>
          <w:bCs/>
          <w:lang w:val="en-CA"/>
        </w:rPr>
      </w:pPr>
      <w:r w:rsidRPr="00765A6E">
        <w:rPr>
          <w:b/>
          <w:bCs/>
          <w:lang w:val="en-CA"/>
        </w:rPr>
        <w:lastRenderedPageBreak/>
        <w:t>Suppl. Table 2B. Agreement between administrative and questionnaire cases of depression at T</w:t>
      </w:r>
      <w:r w:rsidRPr="00765A6E">
        <w:rPr>
          <w:b/>
          <w:bCs/>
          <w:vertAlign w:val="subscript"/>
          <w:lang w:val="en-CA"/>
        </w:rPr>
        <w:t>3</w:t>
      </w:r>
      <w:r w:rsidRPr="00765A6E">
        <w:rPr>
          <w:b/>
          <w:bCs/>
          <w:lang w:val="en-CA"/>
        </w:rPr>
        <w:t xml:space="preserve"> (2015-2018), stratified by known risk factors.</w:t>
      </w:r>
    </w:p>
    <w:tbl>
      <w:tblPr>
        <w:tblStyle w:val="Tabelacomgrade"/>
        <w:tblpPr w:leftFromText="141" w:rightFromText="141" w:vertAnchor="text" w:horzAnchor="margin" w:tblpYSpec="cen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285"/>
        <w:gridCol w:w="1260"/>
        <w:gridCol w:w="1275"/>
        <w:gridCol w:w="1275"/>
        <w:gridCol w:w="236"/>
        <w:gridCol w:w="1322"/>
        <w:gridCol w:w="1283"/>
        <w:gridCol w:w="1273"/>
        <w:gridCol w:w="1273"/>
        <w:gridCol w:w="1195"/>
      </w:tblGrid>
      <w:tr w:rsidR="00A17913" w:rsidRPr="00765A6E" w14:paraId="46B88CF3" w14:textId="77777777" w:rsidTr="00621D19"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4DBF6A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Sensitivity</w:t>
            </w:r>
          </w:p>
          <w:p w14:paraId="65916D61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71E1BDA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Specificity</w:t>
            </w:r>
          </w:p>
          <w:p w14:paraId="791F261A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3B059E38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PPV</w:t>
            </w:r>
          </w:p>
          <w:p w14:paraId="61939E09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7722BB59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NPV</w:t>
            </w:r>
          </w:p>
          <w:p w14:paraId="0A7A3DBF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E9F77F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US"/>
              </w:rPr>
              <w:t>κ</w:t>
            </w:r>
            <w:r w:rsidRPr="00765A6E">
              <w:rPr>
                <w:b/>
                <w:bCs/>
              </w:rPr>
              <w:t xml:space="preserve">           </w:t>
            </w:r>
            <w:proofErr w:type="gramStart"/>
            <w:r w:rsidRPr="00765A6E">
              <w:rPr>
                <w:b/>
                <w:bCs/>
              </w:rPr>
              <w:t xml:space="preserve">   (</w:t>
            </w:r>
            <w:proofErr w:type="gramEnd"/>
            <w:r w:rsidRPr="00765A6E">
              <w:rPr>
                <w:b/>
                <w:bCs/>
              </w:rPr>
              <w:t>CI 95%)</w:t>
            </w:r>
          </w:p>
        </w:tc>
        <w:tc>
          <w:tcPr>
            <w:tcW w:w="91" w:type="pct"/>
            <w:tcBorders>
              <w:top w:val="single" w:sz="4" w:space="0" w:color="auto"/>
              <w:bottom w:val="nil"/>
            </w:tcBorders>
          </w:tcPr>
          <w:p w14:paraId="16CA25AF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64147414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Sensitivity</w:t>
            </w:r>
          </w:p>
          <w:p w14:paraId="7FB6045E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D299F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Specificity</w:t>
            </w:r>
          </w:p>
          <w:p w14:paraId="1E68558B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23A688AB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PPV</w:t>
            </w:r>
          </w:p>
          <w:p w14:paraId="46D5D36D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141CC52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NPV</w:t>
            </w:r>
          </w:p>
          <w:p w14:paraId="2EC3563C" w14:textId="77777777" w:rsidR="00A17913" w:rsidRPr="00765A6E" w:rsidRDefault="00A17913" w:rsidP="00621D19">
            <w:pPr>
              <w:spacing w:line="240" w:lineRule="auto"/>
              <w:ind w:firstLine="0"/>
              <w:rPr>
                <w:lang w:val="en-CA"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16D00E1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US"/>
              </w:rPr>
              <w:t>κ</w:t>
            </w:r>
            <w:r w:rsidRPr="00765A6E">
              <w:rPr>
                <w:b/>
                <w:bCs/>
              </w:rPr>
              <w:t xml:space="preserve">           </w:t>
            </w:r>
            <w:proofErr w:type="gramStart"/>
            <w:r w:rsidRPr="00765A6E">
              <w:rPr>
                <w:b/>
                <w:bCs/>
              </w:rPr>
              <w:t xml:space="preserve">   (</w:t>
            </w:r>
            <w:proofErr w:type="gramEnd"/>
            <w:r w:rsidRPr="00765A6E">
              <w:rPr>
                <w:b/>
                <w:bCs/>
              </w:rPr>
              <w:t>CI 95%)</w:t>
            </w:r>
          </w:p>
        </w:tc>
      </w:tr>
      <w:tr w:rsidR="00A17913" w:rsidRPr="00765A6E" w14:paraId="53554B5B" w14:textId="77777777" w:rsidTr="00621D19">
        <w:trPr>
          <w:trHeight w:val="737"/>
        </w:trPr>
        <w:tc>
          <w:tcPr>
            <w:tcW w:w="246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419E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Men</w:t>
            </w:r>
          </w:p>
        </w:tc>
        <w:tc>
          <w:tcPr>
            <w:tcW w:w="91" w:type="pct"/>
            <w:tcBorders>
              <w:top w:val="nil"/>
              <w:bottom w:val="nil"/>
            </w:tcBorders>
            <w:vAlign w:val="bottom"/>
          </w:tcPr>
          <w:p w14:paraId="05625B4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</w:p>
        </w:tc>
        <w:tc>
          <w:tcPr>
            <w:tcW w:w="24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5958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Women</w:t>
            </w:r>
          </w:p>
        </w:tc>
      </w:tr>
      <w:tr w:rsidR="00A17913" w:rsidRPr="00765A6E" w14:paraId="01F24922" w14:textId="77777777" w:rsidTr="00621D19">
        <w:tc>
          <w:tcPr>
            <w:tcW w:w="495" w:type="pct"/>
            <w:tcBorders>
              <w:top w:val="nil"/>
              <w:bottom w:val="nil"/>
            </w:tcBorders>
          </w:tcPr>
          <w:p w14:paraId="0A38C59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23.7</w:t>
            </w:r>
          </w:p>
          <w:p w14:paraId="3F00078B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14.7 – 34.8</w:t>
            </w:r>
          </w:p>
        </w:tc>
        <w:tc>
          <w:tcPr>
            <w:tcW w:w="496" w:type="pct"/>
            <w:tcBorders>
              <w:top w:val="nil"/>
              <w:bottom w:val="nil"/>
            </w:tcBorders>
          </w:tcPr>
          <w:p w14:paraId="7F2E3E5A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97.9</w:t>
            </w:r>
          </w:p>
          <w:p w14:paraId="2C1B014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97.2 – 98.4</w:t>
            </w:r>
          </w:p>
        </w:tc>
        <w:tc>
          <w:tcPr>
            <w:tcW w:w="486" w:type="pct"/>
            <w:tcBorders>
              <w:top w:val="nil"/>
              <w:bottom w:val="nil"/>
            </w:tcBorders>
          </w:tcPr>
          <w:p w14:paraId="230BC62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23.4</w:t>
            </w:r>
          </w:p>
          <w:p w14:paraId="15BD67B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14.5 – 34.4</w:t>
            </w: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1E417F8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97.9</w:t>
            </w:r>
          </w:p>
          <w:p w14:paraId="51C6048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97.3 – 98.4</w:t>
            </w:r>
          </w:p>
        </w:tc>
        <w:tc>
          <w:tcPr>
            <w:tcW w:w="492" w:type="pct"/>
            <w:tcBorders>
              <w:top w:val="nil"/>
              <w:bottom w:val="nil"/>
            </w:tcBorders>
          </w:tcPr>
          <w:p w14:paraId="34A9A35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.214</w:t>
            </w:r>
          </w:p>
          <w:p w14:paraId="6AECF03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.123 - .305</w:t>
            </w:r>
          </w:p>
        </w:tc>
        <w:tc>
          <w:tcPr>
            <w:tcW w:w="91" w:type="pct"/>
            <w:tcBorders>
              <w:top w:val="nil"/>
              <w:bottom w:val="nil"/>
            </w:tcBorders>
          </w:tcPr>
          <w:p w14:paraId="1EC8481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</w:tcPr>
          <w:p w14:paraId="0483948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24.1</w:t>
            </w:r>
          </w:p>
          <w:p w14:paraId="46E5823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17.4 – 31.9</w:t>
            </w:r>
          </w:p>
        </w:tc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14:paraId="6DC05D6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96.2</w:t>
            </w:r>
          </w:p>
          <w:p w14:paraId="07CC1CD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95.4 – 96.9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3C7A8D6A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26.9</w:t>
            </w:r>
          </w:p>
          <w:p w14:paraId="448FEF4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19.5 – 37.4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60DB537A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95.7</w:t>
            </w:r>
          </w:p>
          <w:p w14:paraId="591E639C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94.8 – 96.4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</w:tcPr>
          <w:p w14:paraId="7DE02DE9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.214</w:t>
            </w:r>
          </w:p>
          <w:p w14:paraId="1C4E4679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.144 - .284</w:t>
            </w:r>
          </w:p>
        </w:tc>
      </w:tr>
      <w:tr w:rsidR="00A17913" w:rsidRPr="00765A6E" w14:paraId="38D16DBC" w14:textId="77777777" w:rsidTr="00621D19">
        <w:trPr>
          <w:trHeight w:val="737"/>
        </w:trPr>
        <w:tc>
          <w:tcPr>
            <w:tcW w:w="246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6EC412B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Without university degree</w:t>
            </w:r>
          </w:p>
        </w:tc>
        <w:tc>
          <w:tcPr>
            <w:tcW w:w="91" w:type="pct"/>
            <w:tcBorders>
              <w:top w:val="nil"/>
              <w:bottom w:val="nil"/>
            </w:tcBorders>
            <w:vAlign w:val="bottom"/>
          </w:tcPr>
          <w:p w14:paraId="708CE1B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</w:p>
        </w:tc>
        <w:tc>
          <w:tcPr>
            <w:tcW w:w="2448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7BC2B2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University degree</w:t>
            </w:r>
          </w:p>
        </w:tc>
      </w:tr>
      <w:tr w:rsidR="00A17913" w:rsidRPr="00765A6E" w14:paraId="2EAE7308" w14:textId="77777777" w:rsidTr="00621D19"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14:paraId="556B9FF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26.5</w:t>
            </w:r>
          </w:p>
          <w:p w14:paraId="1CE471F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19.2 – 34.9</w:t>
            </w:r>
          </w:p>
          <w:p w14:paraId="02F4E32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nil"/>
            </w:tcBorders>
          </w:tcPr>
          <w:p w14:paraId="07BB218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96.5</w:t>
            </w:r>
          </w:p>
          <w:p w14:paraId="3101905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95.8 – 97.2</w:t>
            </w: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</w:tcPr>
          <w:p w14:paraId="240AF36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26.3</w:t>
            </w:r>
          </w:p>
          <w:p w14:paraId="532760A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19.1 – 34.7</w:t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</w:tcPr>
          <w:p w14:paraId="28B5019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96.6</w:t>
            </w:r>
          </w:p>
          <w:p w14:paraId="430BB2B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95.8 – 97.2</w:t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</w:tcPr>
          <w:p w14:paraId="32D3BF5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.230</w:t>
            </w:r>
          </w:p>
          <w:p w14:paraId="005F600B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.158 - .302</w:t>
            </w:r>
          </w:p>
        </w:tc>
        <w:tc>
          <w:tcPr>
            <w:tcW w:w="91" w:type="pct"/>
            <w:tcBorders>
              <w:top w:val="nil"/>
              <w:bottom w:val="nil"/>
            </w:tcBorders>
          </w:tcPr>
          <w:p w14:paraId="65F442C3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</w:tcPr>
          <w:p w14:paraId="66B2189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20.7</w:t>
            </w:r>
          </w:p>
          <w:p w14:paraId="59665AB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12.7 – 30.7</w:t>
            </w:r>
          </w:p>
        </w:tc>
        <w:tc>
          <w:tcPr>
            <w:tcW w:w="495" w:type="pct"/>
            <w:tcBorders>
              <w:top w:val="single" w:sz="4" w:space="0" w:color="auto"/>
              <w:bottom w:val="nil"/>
            </w:tcBorders>
          </w:tcPr>
          <w:p w14:paraId="46B2A347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97.7</w:t>
            </w:r>
          </w:p>
          <w:p w14:paraId="4E2EA63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97.0 – 98.2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6EAC955A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24.3</w:t>
            </w:r>
          </w:p>
          <w:p w14:paraId="6DEA8F0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15.1 – 35.7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14:paraId="5A7F2BE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97.2</w:t>
            </w:r>
          </w:p>
          <w:p w14:paraId="5BC44E0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96.4 – 97.8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</w:tcPr>
          <w:p w14:paraId="14F342B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.198</w:t>
            </w:r>
          </w:p>
          <w:p w14:paraId="5352E881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.111 - .285</w:t>
            </w:r>
          </w:p>
        </w:tc>
      </w:tr>
      <w:tr w:rsidR="00A17913" w:rsidRPr="00765A6E" w14:paraId="3A3C6A92" w14:textId="77777777" w:rsidTr="00621D19">
        <w:trPr>
          <w:trHeight w:val="737"/>
        </w:trPr>
        <w:tc>
          <w:tcPr>
            <w:tcW w:w="246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57FCF6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≤ 58 years</w:t>
            </w:r>
          </w:p>
        </w:tc>
        <w:tc>
          <w:tcPr>
            <w:tcW w:w="91" w:type="pct"/>
            <w:tcBorders>
              <w:top w:val="nil"/>
              <w:bottom w:val="nil"/>
            </w:tcBorders>
            <w:vAlign w:val="bottom"/>
          </w:tcPr>
          <w:p w14:paraId="43445F8F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</w:p>
        </w:tc>
        <w:tc>
          <w:tcPr>
            <w:tcW w:w="2448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112D32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lang w:val="en-CA"/>
              </w:rPr>
            </w:pPr>
            <w:r w:rsidRPr="00765A6E">
              <w:rPr>
                <w:lang w:val="en-CA"/>
              </w:rPr>
              <w:t>&gt;58 years</w:t>
            </w:r>
          </w:p>
        </w:tc>
      </w:tr>
      <w:tr w:rsidR="00A17913" w:rsidRPr="00765A6E" w14:paraId="0A6589CF" w14:textId="77777777" w:rsidTr="00621D19"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AD13B3B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26.2</w:t>
            </w:r>
          </w:p>
          <w:p w14:paraId="07DA184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15.8 – 39.1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54E15CF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96.0</w:t>
            </w:r>
          </w:p>
          <w:p w14:paraId="64B74F88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94.6 – 97.0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773074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26.2</w:t>
            </w:r>
          </w:p>
          <w:p w14:paraId="42EACD5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15.8 – 39.1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4D546D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96.0</w:t>
            </w:r>
          </w:p>
          <w:p w14:paraId="450ABE8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94.6 – 97.0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83D2660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.222</w:t>
            </w:r>
          </w:p>
          <w:p w14:paraId="6CF6141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.116 - .328</w:t>
            </w: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</w:tcPr>
          <w:p w14:paraId="376D2FF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72D6C5F6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23.1</w:t>
            </w:r>
          </w:p>
          <w:p w14:paraId="3475726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16.8 – 30.4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8B24245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97.4</w:t>
            </w:r>
          </w:p>
          <w:p w14:paraId="09A4FFAD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96.8 – 97.8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19F1429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27.3</w:t>
            </w:r>
          </w:p>
          <w:p w14:paraId="5793DA1E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18.5 – 33.2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E238D2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97.0</w:t>
            </w:r>
          </w:p>
          <w:p w14:paraId="14EA4232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96.5 – 97.5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79FA40C4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.214</w:t>
            </w:r>
          </w:p>
          <w:p w14:paraId="10939FC9" w14:textId="77777777" w:rsidR="00A17913" w:rsidRPr="00765A6E" w:rsidRDefault="00A17913" w:rsidP="00621D19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CA"/>
              </w:rPr>
            </w:pPr>
            <w:r w:rsidRPr="00765A6E">
              <w:rPr>
                <w:sz w:val="22"/>
                <w:szCs w:val="22"/>
                <w:lang w:val="en-CA"/>
              </w:rPr>
              <w:t>.149 - .279</w:t>
            </w:r>
          </w:p>
        </w:tc>
      </w:tr>
    </w:tbl>
    <w:p w14:paraId="74648EFB" w14:textId="77777777" w:rsidR="00A17913" w:rsidRPr="00765A6E" w:rsidRDefault="00A17913" w:rsidP="00A17913">
      <w:pPr>
        <w:ind w:firstLine="0"/>
        <w:rPr>
          <w:lang w:val="en-CA"/>
        </w:rPr>
      </w:pPr>
    </w:p>
    <w:p w14:paraId="50CE29A5" w14:textId="77777777" w:rsidR="00A17913" w:rsidRPr="00765A6E" w:rsidRDefault="00A17913" w:rsidP="00A17913">
      <w:pPr>
        <w:ind w:firstLine="0"/>
        <w:rPr>
          <w:lang w:val="en-CA"/>
        </w:rPr>
      </w:pPr>
      <w:r w:rsidRPr="00765A6E">
        <w:rPr>
          <w:lang w:val="en-CA"/>
        </w:rPr>
        <w:t xml:space="preserve">The prevalence of </w:t>
      </w:r>
      <w:r w:rsidRPr="00765A6E">
        <w:rPr>
          <w:i/>
          <w:iCs/>
          <w:lang w:val="en-CA"/>
        </w:rPr>
        <w:t>administrative cases</w:t>
      </w:r>
      <w:r w:rsidRPr="00765A6E">
        <w:rPr>
          <w:lang w:val="en-CA"/>
        </w:rPr>
        <w:t xml:space="preserve"> (definition B: any hospital </w:t>
      </w:r>
      <w:proofErr w:type="gramStart"/>
      <w:r w:rsidRPr="00765A6E">
        <w:rPr>
          <w:lang w:val="en-CA"/>
        </w:rPr>
        <w:t>stay</w:t>
      </w:r>
      <w:proofErr w:type="gramEnd"/>
      <w:r w:rsidRPr="00765A6E">
        <w:rPr>
          <w:lang w:val="en-CA"/>
        </w:rPr>
        <w:t xml:space="preserve"> or medical consultations within the preceding year) was compared to</w:t>
      </w:r>
      <w:r w:rsidRPr="00765A6E">
        <w:rPr>
          <w:i/>
          <w:iCs/>
          <w:lang w:val="en-CA"/>
        </w:rPr>
        <w:t xml:space="preserve"> CIDI-SF cases</w:t>
      </w:r>
      <w:r w:rsidRPr="00765A6E">
        <w:rPr>
          <w:lang w:val="en-CA"/>
        </w:rPr>
        <w:t xml:space="preserve"> as reference.</w:t>
      </w:r>
    </w:p>
    <w:p w14:paraId="743BF264" w14:textId="77777777" w:rsidR="00A17913" w:rsidRDefault="00A17913">
      <w:pPr>
        <w:spacing w:line="240" w:lineRule="auto"/>
        <w:ind w:firstLine="0"/>
        <w:jc w:val="left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52708761" w14:textId="3D7608CA" w:rsidR="00A17913" w:rsidRPr="00765A6E" w:rsidRDefault="00A17913" w:rsidP="00A17913">
      <w:pPr>
        <w:ind w:firstLine="0"/>
        <w:rPr>
          <w:b/>
          <w:bCs/>
          <w:lang w:val="en-CA"/>
        </w:rPr>
      </w:pPr>
      <w:r w:rsidRPr="00765A6E">
        <w:rPr>
          <w:b/>
          <w:bCs/>
          <w:lang w:val="en-CA"/>
        </w:rPr>
        <w:lastRenderedPageBreak/>
        <w:t>Suppl. Table 3. Agreement between additional definitions of administrative and questionnaire cases of depression at T</w:t>
      </w:r>
      <w:r w:rsidRPr="00765A6E">
        <w:rPr>
          <w:b/>
          <w:bCs/>
          <w:vertAlign w:val="subscript"/>
          <w:lang w:val="en-CA"/>
        </w:rPr>
        <w:t>3</w:t>
      </w:r>
      <w:r w:rsidRPr="00765A6E">
        <w:rPr>
          <w:b/>
          <w:bCs/>
          <w:lang w:val="en-CA"/>
        </w:rPr>
        <w:t xml:space="preserve"> (2015-2018).</w:t>
      </w:r>
    </w:p>
    <w:tbl>
      <w:tblPr>
        <w:tblStyle w:val="Tabelacomgrade"/>
        <w:tblW w:w="12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4"/>
        <w:gridCol w:w="1559"/>
        <w:gridCol w:w="1701"/>
      </w:tblGrid>
      <w:tr w:rsidR="00A17913" w:rsidRPr="00765A6E" w14:paraId="68EB761A" w14:textId="77777777" w:rsidTr="00621D19">
        <w:tc>
          <w:tcPr>
            <w:tcW w:w="4678" w:type="dxa"/>
            <w:tcBorders>
              <w:bottom w:val="single" w:sz="4" w:space="0" w:color="auto"/>
            </w:tcBorders>
          </w:tcPr>
          <w:p w14:paraId="42066443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4137E2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Sensitivity</w:t>
            </w:r>
          </w:p>
          <w:p w14:paraId="03098EE7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BBF76E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Specificity</w:t>
            </w:r>
          </w:p>
          <w:p w14:paraId="661003B0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F6A67C8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PPV</w:t>
            </w:r>
          </w:p>
          <w:p w14:paraId="001C2C44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DAE08D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NPV</w:t>
            </w:r>
          </w:p>
          <w:p w14:paraId="0EE575BE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(CI 95%)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E2A6D5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lang w:val="en-US"/>
              </w:rPr>
              <w:t>κ</w:t>
            </w:r>
            <w:r w:rsidRPr="00765A6E">
              <w:rPr>
                <w:b/>
                <w:bCs/>
              </w:rPr>
              <w:t xml:space="preserve"> </w:t>
            </w:r>
          </w:p>
          <w:p w14:paraId="792704AE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  <w:rPr>
                <w:b/>
                <w:bCs/>
              </w:rPr>
            </w:pPr>
            <w:r w:rsidRPr="00765A6E">
              <w:rPr>
                <w:b/>
                <w:bCs/>
              </w:rPr>
              <w:t>(CI 95%)</w:t>
            </w:r>
          </w:p>
        </w:tc>
      </w:tr>
      <w:tr w:rsidR="00A17913" w:rsidRPr="00765A6E" w14:paraId="7D7A186B" w14:textId="77777777" w:rsidTr="00621D19">
        <w:tc>
          <w:tcPr>
            <w:tcW w:w="4678" w:type="dxa"/>
            <w:tcBorders>
              <w:top w:val="single" w:sz="4" w:space="0" w:color="auto"/>
            </w:tcBorders>
          </w:tcPr>
          <w:p w14:paraId="2C1EBD0E" w14:textId="77777777" w:rsidR="00A17913" w:rsidRPr="00765A6E" w:rsidRDefault="00A17913" w:rsidP="00621D19">
            <w:pPr>
              <w:pStyle w:val="Tabletext"/>
              <w:spacing w:line="288" w:lineRule="auto"/>
            </w:pPr>
            <w:r w:rsidRPr="00765A6E">
              <w:t xml:space="preserve">Definition A of administrative cases extended to 18 months </w:t>
            </w:r>
            <w:proofErr w:type="spellStart"/>
            <w:proofErr w:type="gramStart"/>
            <w:r w:rsidRPr="00765A6E">
              <w:rPr>
                <w:vertAlign w:val="superscript"/>
              </w:rPr>
              <w:t>a,c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47945C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20.8</w:t>
            </w:r>
          </w:p>
          <w:p w14:paraId="7F1351D4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15.7 – 26.8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3372C00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97.9</w:t>
            </w:r>
          </w:p>
          <w:p w14:paraId="169FCAC1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97.5 – 98.3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0B31FDEC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29.9</w:t>
            </w:r>
          </w:p>
          <w:p w14:paraId="17E6F5DE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22.8 – 37.8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7302CB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96.7</w:t>
            </w:r>
          </w:p>
          <w:p w14:paraId="613EE19D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 – 97.2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6222E5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.220</w:t>
            </w:r>
          </w:p>
          <w:p w14:paraId="03E18363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.161 – .268</w:t>
            </w:r>
          </w:p>
        </w:tc>
      </w:tr>
      <w:tr w:rsidR="00A17913" w:rsidRPr="00765A6E" w14:paraId="6C107A36" w14:textId="77777777" w:rsidTr="00621D19">
        <w:tc>
          <w:tcPr>
            <w:tcW w:w="4678" w:type="dxa"/>
          </w:tcPr>
          <w:p w14:paraId="5007CE8F" w14:textId="77777777" w:rsidR="00A17913" w:rsidRPr="00765A6E" w:rsidRDefault="00A17913" w:rsidP="00621D19">
            <w:pPr>
              <w:pStyle w:val="Tabletext"/>
              <w:spacing w:line="288" w:lineRule="auto"/>
            </w:pPr>
            <w:r w:rsidRPr="00765A6E">
              <w:t xml:space="preserve">Definition B of administrative cases extended to 18 months </w:t>
            </w:r>
            <w:proofErr w:type="spellStart"/>
            <w:proofErr w:type="gramStart"/>
            <w:r w:rsidRPr="00765A6E">
              <w:rPr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1559" w:type="dxa"/>
          </w:tcPr>
          <w:p w14:paraId="568C305F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27.6</w:t>
            </w:r>
          </w:p>
          <w:p w14:paraId="5B287FFB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21.8 – 34.0</w:t>
            </w:r>
          </w:p>
        </w:tc>
        <w:tc>
          <w:tcPr>
            <w:tcW w:w="1560" w:type="dxa"/>
          </w:tcPr>
          <w:p w14:paraId="3BC2A75C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96.1</w:t>
            </w:r>
          </w:p>
          <w:p w14:paraId="359B52D5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95.5 – 96.6</w:t>
            </w:r>
          </w:p>
        </w:tc>
        <w:tc>
          <w:tcPr>
            <w:tcW w:w="1554" w:type="dxa"/>
          </w:tcPr>
          <w:p w14:paraId="22C58A20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22.9</w:t>
            </w:r>
          </w:p>
          <w:p w14:paraId="0F50B1D0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18.0 – 28.5</w:t>
            </w:r>
          </w:p>
        </w:tc>
        <w:tc>
          <w:tcPr>
            <w:tcW w:w="1559" w:type="dxa"/>
          </w:tcPr>
          <w:p w14:paraId="25C23748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96.9</w:t>
            </w:r>
          </w:p>
          <w:p w14:paraId="26CF79E8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96.4 – 97.4</w:t>
            </w:r>
          </w:p>
        </w:tc>
        <w:tc>
          <w:tcPr>
            <w:tcW w:w="1701" w:type="dxa"/>
          </w:tcPr>
          <w:p w14:paraId="00848E54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.216</w:t>
            </w:r>
          </w:p>
          <w:p w14:paraId="7854E635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.164 –.268</w:t>
            </w:r>
          </w:p>
        </w:tc>
      </w:tr>
      <w:tr w:rsidR="00A17913" w:rsidRPr="00765A6E" w14:paraId="4B8A482F" w14:textId="77777777" w:rsidTr="00621D19">
        <w:tc>
          <w:tcPr>
            <w:tcW w:w="4678" w:type="dxa"/>
          </w:tcPr>
          <w:p w14:paraId="4F2D51D8" w14:textId="77777777" w:rsidR="00A17913" w:rsidRPr="00765A6E" w:rsidRDefault="00A17913" w:rsidP="00621D19">
            <w:pPr>
              <w:pStyle w:val="Tabletext"/>
              <w:spacing w:line="288" w:lineRule="auto"/>
              <w:rPr>
                <w:lang w:val="en-US"/>
              </w:rPr>
            </w:pPr>
            <w:r w:rsidRPr="00765A6E">
              <w:t xml:space="preserve">Definition A of administrative cases extended to 2 years </w:t>
            </w:r>
            <w:proofErr w:type="spellStart"/>
            <w:proofErr w:type="gramStart"/>
            <w:r w:rsidRPr="00765A6E">
              <w:rPr>
                <w:vertAlign w:val="superscript"/>
              </w:rPr>
              <w:t>a,d</w:t>
            </w:r>
            <w:proofErr w:type="spellEnd"/>
            <w:proofErr w:type="gramEnd"/>
          </w:p>
        </w:tc>
        <w:tc>
          <w:tcPr>
            <w:tcW w:w="1559" w:type="dxa"/>
          </w:tcPr>
          <w:p w14:paraId="18A9986C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24.3</w:t>
            </w:r>
          </w:p>
          <w:p w14:paraId="3D492F9E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18.6 – 30.7</w:t>
            </w:r>
          </w:p>
        </w:tc>
        <w:tc>
          <w:tcPr>
            <w:tcW w:w="1560" w:type="dxa"/>
          </w:tcPr>
          <w:p w14:paraId="3BB485B5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97.7</w:t>
            </w:r>
          </w:p>
          <w:p w14:paraId="177A4B45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97.3 – 98.1</w:t>
            </w:r>
          </w:p>
        </w:tc>
        <w:tc>
          <w:tcPr>
            <w:tcW w:w="1554" w:type="dxa"/>
          </w:tcPr>
          <w:p w14:paraId="49A659BA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30.3</w:t>
            </w:r>
          </w:p>
          <w:p w14:paraId="0DCD0F3D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23.4 – 37.9</w:t>
            </w:r>
          </w:p>
        </w:tc>
        <w:tc>
          <w:tcPr>
            <w:tcW w:w="1559" w:type="dxa"/>
          </w:tcPr>
          <w:p w14:paraId="0ECE4266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96.9</w:t>
            </w:r>
          </w:p>
          <w:p w14:paraId="19D5EF1D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96.4 – 97.4</w:t>
            </w:r>
          </w:p>
        </w:tc>
        <w:tc>
          <w:tcPr>
            <w:tcW w:w="1701" w:type="dxa"/>
          </w:tcPr>
          <w:p w14:paraId="3F42FDE2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.243</w:t>
            </w:r>
          </w:p>
          <w:p w14:paraId="0812927C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.183 –.304</w:t>
            </w:r>
          </w:p>
        </w:tc>
      </w:tr>
      <w:tr w:rsidR="00A17913" w:rsidRPr="00765A6E" w14:paraId="2A2C2802" w14:textId="77777777" w:rsidTr="00621D19">
        <w:tc>
          <w:tcPr>
            <w:tcW w:w="4678" w:type="dxa"/>
          </w:tcPr>
          <w:p w14:paraId="13000234" w14:textId="77777777" w:rsidR="00A17913" w:rsidRPr="00765A6E" w:rsidRDefault="00A17913" w:rsidP="00621D19">
            <w:pPr>
              <w:pStyle w:val="Tabletext"/>
              <w:spacing w:line="288" w:lineRule="auto"/>
            </w:pPr>
            <w:r w:rsidRPr="00765A6E">
              <w:t xml:space="preserve">Definition B of administrative cases extended to 2 years </w:t>
            </w:r>
            <w:proofErr w:type="spellStart"/>
            <w:proofErr w:type="gramStart"/>
            <w:r w:rsidRPr="00765A6E">
              <w:rPr>
                <w:vertAlign w:val="superscript"/>
              </w:rPr>
              <w:t>b,d</w:t>
            </w:r>
            <w:proofErr w:type="spellEnd"/>
            <w:proofErr w:type="gramEnd"/>
          </w:p>
        </w:tc>
        <w:tc>
          <w:tcPr>
            <w:tcW w:w="1559" w:type="dxa"/>
          </w:tcPr>
          <w:p w14:paraId="0261312D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31.1</w:t>
            </w:r>
          </w:p>
          <w:p w14:paraId="65A84C3C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 xml:space="preserve"> 24.8 – 37.9</w:t>
            </w:r>
          </w:p>
        </w:tc>
        <w:tc>
          <w:tcPr>
            <w:tcW w:w="1560" w:type="dxa"/>
          </w:tcPr>
          <w:p w14:paraId="04817F2E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95.5</w:t>
            </w:r>
          </w:p>
          <w:p w14:paraId="76F8C8F8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 xml:space="preserve"> 94.9 – 96.0</w:t>
            </w:r>
          </w:p>
        </w:tc>
        <w:tc>
          <w:tcPr>
            <w:tcW w:w="1554" w:type="dxa"/>
          </w:tcPr>
          <w:p w14:paraId="4142DA50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21.8</w:t>
            </w:r>
          </w:p>
          <w:p w14:paraId="3CBE1198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 xml:space="preserve"> 17.2 – 27.0</w:t>
            </w:r>
          </w:p>
        </w:tc>
        <w:tc>
          <w:tcPr>
            <w:tcW w:w="1559" w:type="dxa"/>
          </w:tcPr>
          <w:p w14:paraId="62B5C896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97.1</w:t>
            </w:r>
          </w:p>
          <w:p w14:paraId="72DD108F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96.6 – 97.6</w:t>
            </w:r>
          </w:p>
        </w:tc>
        <w:tc>
          <w:tcPr>
            <w:tcW w:w="1701" w:type="dxa"/>
          </w:tcPr>
          <w:p w14:paraId="25D137A2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.221</w:t>
            </w:r>
          </w:p>
          <w:p w14:paraId="66501B17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.169 – .273</w:t>
            </w:r>
          </w:p>
        </w:tc>
      </w:tr>
      <w:tr w:rsidR="00A17913" w:rsidRPr="00765A6E" w14:paraId="2EDC3424" w14:textId="77777777" w:rsidTr="00621D19">
        <w:tc>
          <w:tcPr>
            <w:tcW w:w="4678" w:type="dxa"/>
          </w:tcPr>
          <w:p w14:paraId="7B07A8B8" w14:textId="77777777" w:rsidR="00A17913" w:rsidRPr="00765A6E" w:rsidRDefault="00A17913" w:rsidP="00621D19">
            <w:pPr>
              <w:pStyle w:val="Tabletext"/>
              <w:spacing w:line="288" w:lineRule="auto"/>
            </w:pPr>
            <w:r w:rsidRPr="00765A6E">
              <w:t xml:space="preserve">Definition B of administrative cases excluding controls with missing codes </w:t>
            </w:r>
            <w:proofErr w:type="spellStart"/>
            <w:proofErr w:type="gramStart"/>
            <w:r w:rsidRPr="00765A6E">
              <w:rPr>
                <w:vertAlign w:val="superscript"/>
              </w:rPr>
              <w:t>b,e</w:t>
            </w:r>
            <w:proofErr w:type="spellEnd"/>
            <w:proofErr w:type="gramEnd"/>
          </w:p>
        </w:tc>
        <w:tc>
          <w:tcPr>
            <w:tcW w:w="1559" w:type="dxa"/>
          </w:tcPr>
          <w:p w14:paraId="6FE08C6F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32.1</w:t>
            </w:r>
          </w:p>
          <w:p w14:paraId="14786641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25.1 – 39.8</w:t>
            </w:r>
          </w:p>
        </w:tc>
        <w:tc>
          <w:tcPr>
            <w:tcW w:w="1560" w:type="dxa"/>
          </w:tcPr>
          <w:p w14:paraId="69F77CB0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96.3</w:t>
            </w:r>
          </w:p>
          <w:p w14:paraId="56776B2A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 xml:space="preserve">95.7 – 96.8 </w:t>
            </w:r>
          </w:p>
        </w:tc>
        <w:tc>
          <w:tcPr>
            <w:tcW w:w="1554" w:type="dxa"/>
          </w:tcPr>
          <w:p w14:paraId="3E57146E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25.6</w:t>
            </w:r>
          </w:p>
          <w:p w14:paraId="2DB7A890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19.8 – 33.1</w:t>
            </w:r>
          </w:p>
        </w:tc>
        <w:tc>
          <w:tcPr>
            <w:tcW w:w="1559" w:type="dxa"/>
          </w:tcPr>
          <w:p w14:paraId="79CA65AA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97.3</w:t>
            </w:r>
          </w:p>
          <w:p w14:paraId="64AB244A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96.7 –97.7</w:t>
            </w:r>
          </w:p>
        </w:tc>
        <w:tc>
          <w:tcPr>
            <w:tcW w:w="1701" w:type="dxa"/>
          </w:tcPr>
          <w:p w14:paraId="149C1CB4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.253</w:t>
            </w:r>
          </w:p>
          <w:p w14:paraId="4405D57F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.191 – .315</w:t>
            </w:r>
          </w:p>
        </w:tc>
      </w:tr>
      <w:tr w:rsidR="00A17913" w:rsidRPr="00765A6E" w14:paraId="1F2D5088" w14:textId="77777777" w:rsidTr="00621D19">
        <w:tc>
          <w:tcPr>
            <w:tcW w:w="4678" w:type="dxa"/>
          </w:tcPr>
          <w:p w14:paraId="50C91C19" w14:textId="77777777" w:rsidR="00A17913" w:rsidRPr="00765A6E" w:rsidRDefault="00A17913" w:rsidP="00621D19">
            <w:pPr>
              <w:pStyle w:val="Tabletext"/>
              <w:spacing w:line="288" w:lineRule="auto"/>
            </w:pPr>
            <w:r w:rsidRPr="00765A6E">
              <w:t xml:space="preserve">Definition B </w:t>
            </w:r>
            <w:r w:rsidRPr="00765A6E">
              <w:rPr>
                <w:i/>
                <w:iCs/>
              </w:rPr>
              <w:t>vs.</w:t>
            </w:r>
            <w:r w:rsidRPr="00765A6E">
              <w:t xml:space="preserve"> stem question for depression in </w:t>
            </w:r>
            <w:r w:rsidRPr="00765A6E">
              <w:rPr>
                <w:szCs w:val="22"/>
              </w:rPr>
              <w:t xml:space="preserve">CIDI-SF </w:t>
            </w:r>
            <w:r w:rsidRPr="00765A6E">
              <w:rPr>
                <w:szCs w:val="22"/>
                <w:vertAlign w:val="superscript"/>
              </w:rPr>
              <w:t>b</w:t>
            </w:r>
          </w:p>
        </w:tc>
        <w:tc>
          <w:tcPr>
            <w:tcW w:w="1559" w:type="dxa"/>
          </w:tcPr>
          <w:p w14:paraId="4E47CED0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18.7</w:t>
            </w:r>
          </w:p>
          <w:p w14:paraId="33D5D256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15.3 – 22.5</w:t>
            </w:r>
          </w:p>
        </w:tc>
        <w:tc>
          <w:tcPr>
            <w:tcW w:w="1560" w:type="dxa"/>
          </w:tcPr>
          <w:p w14:paraId="2CF2FFBD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 xml:space="preserve">97.6  </w:t>
            </w:r>
          </w:p>
          <w:p w14:paraId="0149CEFB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97.1 – 98.0</w:t>
            </w:r>
          </w:p>
        </w:tc>
        <w:tc>
          <w:tcPr>
            <w:tcW w:w="1554" w:type="dxa"/>
          </w:tcPr>
          <w:p w14:paraId="07961415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41.9</w:t>
            </w:r>
          </w:p>
          <w:p w14:paraId="238D1324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35.2 – 48.9</w:t>
            </w:r>
          </w:p>
        </w:tc>
        <w:tc>
          <w:tcPr>
            <w:tcW w:w="1559" w:type="dxa"/>
          </w:tcPr>
          <w:p w14:paraId="7624232E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 xml:space="preserve">92.8 </w:t>
            </w:r>
          </w:p>
          <w:p w14:paraId="63668EC3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 xml:space="preserve"> 92.1 – 93.5</w:t>
            </w:r>
          </w:p>
        </w:tc>
        <w:tc>
          <w:tcPr>
            <w:tcW w:w="1701" w:type="dxa"/>
          </w:tcPr>
          <w:p w14:paraId="707FB869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 xml:space="preserve">.218 </w:t>
            </w:r>
          </w:p>
          <w:p w14:paraId="6ED291B9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.174 – .262</w:t>
            </w:r>
          </w:p>
        </w:tc>
      </w:tr>
      <w:tr w:rsidR="00A17913" w:rsidRPr="00765A6E" w14:paraId="3F6C273D" w14:textId="77777777" w:rsidTr="00621D19">
        <w:tc>
          <w:tcPr>
            <w:tcW w:w="4678" w:type="dxa"/>
          </w:tcPr>
          <w:p w14:paraId="287741A8" w14:textId="77777777" w:rsidR="00A17913" w:rsidRPr="00765A6E" w:rsidRDefault="00A17913" w:rsidP="00621D19">
            <w:pPr>
              <w:pStyle w:val="Tabletext"/>
              <w:spacing w:line="288" w:lineRule="auto"/>
            </w:pPr>
            <w:r w:rsidRPr="00765A6E">
              <w:t xml:space="preserve">Definition B restricted to the following codes: </w:t>
            </w:r>
            <w:r w:rsidRPr="00765A6E">
              <w:rPr>
                <w:szCs w:val="22"/>
              </w:rPr>
              <w:t xml:space="preserve">296.2, 296.3, 300.4, 311; F32, F33 </w:t>
            </w:r>
            <w:r w:rsidRPr="00765A6E">
              <w:rPr>
                <w:szCs w:val="22"/>
                <w:vertAlign w:val="superscript"/>
              </w:rPr>
              <w:t>b</w:t>
            </w:r>
          </w:p>
        </w:tc>
        <w:tc>
          <w:tcPr>
            <w:tcW w:w="1559" w:type="dxa"/>
          </w:tcPr>
          <w:p w14:paraId="021E921E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14.0</w:t>
            </w:r>
          </w:p>
          <w:p w14:paraId="69D83255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9.7 – 18.3</w:t>
            </w:r>
          </w:p>
        </w:tc>
        <w:tc>
          <w:tcPr>
            <w:tcW w:w="1560" w:type="dxa"/>
          </w:tcPr>
          <w:p w14:paraId="260FD1E1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98.5</w:t>
            </w:r>
          </w:p>
          <w:p w14:paraId="47F37DE7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98.2 – 98.8</w:t>
            </w:r>
          </w:p>
        </w:tc>
        <w:tc>
          <w:tcPr>
            <w:tcW w:w="1554" w:type="dxa"/>
          </w:tcPr>
          <w:p w14:paraId="6331E699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28.7</w:t>
            </w:r>
          </w:p>
          <w:p w14:paraId="0C687A11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20.4 – 38.2</w:t>
            </w:r>
          </w:p>
        </w:tc>
        <w:tc>
          <w:tcPr>
            <w:tcW w:w="1559" w:type="dxa"/>
          </w:tcPr>
          <w:p w14:paraId="1F1F82AB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96.5</w:t>
            </w:r>
          </w:p>
          <w:p w14:paraId="16E49F35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95.9 – 96.9</w:t>
            </w:r>
          </w:p>
        </w:tc>
        <w:tc>
          <w:tcPr>
            <w:tcW w:w="1701" w:type="dxa"/>
          </w:tcPr>
          <w:p w14:paraId="5BBC79DC" w14:textId="77777777" w:rsidR="00A17913" w:rsidRPr="00765A6E" w:rsidRDefault="00A17913" w:rsidP="00621D19">
            <w:pPr>
              <w:pStyle w:val="Tabletext"/>
              <w:jc w:val="center"/>
            </w:pPr>
            <w:r w:rsidRPr="00765A6E">
              <w:t>.166</w:t>
            </w:r>
          </w:p>
          <w:p w14:paraId="689BE34E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.109 – .224</w:t>
            </w:r>
          </w:p>
        </w:tc>
      </w:tr>
      <w:tr w:rsidR="00A17913" w:rsidRPr="00765A6E" w14:paraId="1D7E51CB" w14:textId="77777777" w:rsidTr="00621D19">
        <w:tc>
          <w:tcPr>
            <w:tcW w:w="4678" w:type="dxa"/>
            <w:tcBorders>
              <w:bottom w:val="single" w:sz="4" w:space="0" w:color="auto"/>
            </w:tcBorders>
          </w:tcPr>
          <w:p w14:paraId="332A2B53" w14:textId="77777777" w:rsidR="00A17913" w:rsidRPr="00765A6E" w:rsidRDefault="00A17913" w:rsidP="00621D19">
            <w:pPr>
              <w:pStyle w:val="Tabletext"/>
              <w:spacing w:line="288" w:lineRule="auto"/>
            </w:pPr>
            <w:r w:rsidRPr="00765A6E">
              <w:t xml:space="preserve">Definition B if diagnosed by mental health specialists </w:t>
            </w:r>
            <w:r w:rsidRPr="00765A6E">
              <w:rPr>
                <w:szCs w:val="22"/>
                <w:vertAlign w:val="superscript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CCD2A9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3.6</w:t>
            </w:r>
          </w:p>
          <w:p w14:paraId="13BA907D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1.6 – 7.0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45BEE2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99.6</w:t>
            </w:r>
          </w:p>
          <w:p w14:paraId="49B8DC23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 xml:space="preserve"> 99.4 – 99.8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E20441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29.6</w:t>
            </w:r>
          </w:p>
          <w:p w14:paraId="20CA0DC7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13.8 – 50.2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7F4ECF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96.1</w:t>
            </w:r>
          </w:p>
          <w:p w14:paraId="68FF018F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95.6 – 96.6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EBCB28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.056</w:t>
            </w:r>
          </w:p>
          <w:p w14:paraId="05DD7FD9" w14:textId="77777777" w:rsidR="00A17913" w:rsidRPr="00765A6E" w:rsidRDefault="00A17913" w:rsidP="00621D19">
            <w:pPr>
              <w:pStyle w:val="Tabletext"/>
              <w:spacing w:line="288" w:lineRule="auto"/>
              <w:jc w:val="center"/>
            </w:pPr>
            <w:r w:rsidRPr="00765A6E">
              <w:t>.015 – .098</w:t>
            </w:r>
          </w:p>
        </w:tc>
      </w:tr>
    </w:tbl>
    <w:p w14:paraId="1214A7CC" w14:textId="77777777" w:rsidR="00A17913" w:rsidRPr="00765A6E" w:rsidRDefault="00A17913" w:rsidP="00A17913">
      <w:pPr>
        <w:ind w:firstLine="0"/>
        <w:rPr>
          <w:sz w:val="20"/>
          <w:szCs w:val="20"/>
          <w:lang w:val="en-CA"/>
        </w:rPr>
      </w:pPr>
      <w:r w:rsidRPr="00765A6E">
        <w:rPr>
          <w:sz w:val="20"/>
          <w:szCs w:val="20"/>
          <w:lang w:val="en-CA"/>
        </w:rPr>
        <w:t xml:space="preserve">Unless otherwise stated, the reference is CIDI-SF cases of depression dichotomized at DSM-IV criteria (5 symptoms of depression), and the administrative cases include all codes in Suppl. Table 4 registered during the indicated period preceding measurement of CIDI-SF. </w:t>
      </w:r>
      <w:proofErr w:type="spellStart"/>
      <w:r w:rsidRPr="00765A6E">
        <w:rPr>
          <w:sz w:val="20"/>
          <w:szCs w:val="20"/>
          <w:vertAlign w:val="superscript"/>
          <w:lang w:val="en-CA"/>
        </w:rPr>
        <w:t>a</w:t>
      </w:r>
      <w:proofErr w:type="spellEnd"/>
      <w:r w:rsidRPr="00765A6E">
        <w:rPr>
          <w:sz w:val="20"/>
          <w:szCs w:val="20"/>
          <w:lang w:val="en-CA"/>
        </w:rPr>
        <w:t xml:space="preserve"> Any hospital stay or two medical consultations within the indicated period.  </w:t>
      </w:r>
      <w:r w:rsidRPr="00765A6E">
        <w:rPr>
          <w:sz w:val="20"/>
          <w:szCs w:val="20"/>
          <w:vertAlign w:val="superscript"/>
        </w:rPr>
        <w:t xml:space="preserve">b </w:t>
      </w:r>
      <w:r w:rsidRPr="00765A6E">
        <w:rPr>
          <w:sz w:val="20"/>
          <w:szCs w:val="20"/>
          <w:lang w:val="en-CA"/>
        </w:rPr>
        <w:t xml:space="preserve">Any hospital </w:t>
      </w:r>
      <w:proofErr w:type="gramStart"/>
      <w:r w:rsidRPr="00765A6E">
        <w:rPr>
          <w:sz w:val="20"/>
          <w:szCs w:val="20"/>
          <w:lang w:val="en-CA"/>
        </w:rPr>
        <w:t>stay</w:t>
      </w:r>
      <w:proofErr w:type="gramEnd"/>
      <w:r w:rsidRPr="00765A6E">
        <w:rPr>
          <w:sz w:val="20"/>
          <w:szCs w:val="20"/>
          <w:lang w:val="en-CA"/>
        </w:rPr>
        <w:t xml:space="preserve"> or medical consultation within the indicated period. </w:t>
      </w:r>
      <w:r w:rsidRPr="00765A6E">
        <w:rPr>
          <w:sz w:val="20"/>
          <w:szCs w:val="20"/>
          <w:vertAlign w:val="superscript"/>
          <w:lang w:val="en-CA"/>
        </w:rPr>
        <w:t>c</w:t>
      </w:r>
      <w:r w:rsidRPr="00765A6E">
        <w:rPr>
          <w:sz w:val="20"/>
          <w:szCs w:val="20"/>
          <w:lang w:val="en-CA"/>
        </w:rPr>
        <w:t xml:space="preserve"> 18 months preceding measurement of CIDI-SF.</w:t>
      </w:r>
      <w:r w:rsidRPr="00765A6E">
        <w:rPr>
          <w:sz w:val="20"/>
          <w:szCs w:val="20"/>
        </w:rPr>
        <w:t xml:space="preserve"> </w:t>
      </w:r>
      <w:r w:rsidRPr="00765A6E">
        <w:rPr>
          <w:sz w:val="20"/>
          <w:szCs w:val="20"/>
          <w:vertAlign w:val="superscript"/>
        </w:rPr>
        <w:t xml:space="preserve">d </w:t>
      </w:r>
      <w:r w:rsidRPr="00765A6E">
        <w:rPr>
          <w:sz w:val="20"/>
          <w:szCs w:val="20"/>
          <w:lang w:val="en-CA"/>
        </w:rPr>
        <w:t xml:space="preserve">18 months preceding + 6 months following measurement of CIDI-SF. </w:t>
      </w:r>
      <w:r w:rsidRPr="00765A6E">
        <w:rPr>
          <w:sz w:val="20"/>
          <w:szCs w:val="20"/>
          <w:vertAlign w:val="superscript"/>
          <w:lang w:val="en-CA"/>
        </w:rPr>
        <w:t>e</w:t>
      </w:r>
      <w:r w:rsidRPr="00765A6E">
        <w:rPr>
          <w:sz w:val="20"/>
          <w:szCs w:val="20"/>
          <w:lang w:val="en-CA"/>
        </w:rPr>
        <w:t xml:space="preserve"> Participants with any missing code and no known depression-related code were excluded.</w:t>
      </w:r>
    </w:p>
    <w:p w14:paraId="70160FB7" w14:textId="77777777" w:rsidR="00A17913" w:rsidRDefault="00A17913">
      <w:pPr>
        <w:spacing w:line="240" w:lineRule="auto"/>
        <w:ind w:firstLine="0"/>
        <w:jc w:val="left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5452C3BE" w14:textId="78F52840" w:rsidR="00A17913" w:rsidRPr="00765A6E" w:rsidRDefault="00A17913" w:rsidP="00A17913">
      <w:pPr>
        <w:ind w:firstLine="0"/>
        <w:rPr>
          <w:b/>
          <w:bCs/>
          <w:lang w:val="en-CA"/>
        </w:rPr>
      </w:pPr>
      <w:r w:rsidRPr="00765A6E">
        <w:rPr>
          <w:b/>
          <w:bCs/>
          <w:lang w:val="en-CA"/>
        </w:rPr>
        <w:lastRenderedPageBreak/>
        <w:t>Suppl. Table 4. ICD-9 and ICD-10 codes used to define administrative cases of depression.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018"/>
        <w:gridCol w:w="6662"/>
      </w:tblGrid>
      <w:tr w:rsidR="00A17913" w:rsidRPr="00765A6E" w14:paraId="4D624BAA" w14:textId="77777777" w:rsidTr="00621D19">
        <w:tc>
          <w:tcPr>
            <w:tcW w:w="1134" w:type="dxa"/>
            <w:shd w:val="clear" w:color="auto" w:fill="D9D9D9" w:themeFill="background1" w:themeFillShade="D9"/>
          </w:tcPr>
          <w:p w14:paraId="062C3E19" w14:textId="77777777" w:rsidR="00A17913" w:rsidRPr="00765A6E" w:rsidRDefault="00A17913" w:rsidP="00621D19">
            <w:pPr>
              <w:pStyle w:val="Tabela"/>
              <w:jc w:val="center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ICD-9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A56F209" w14:textId="77777777" w:rsidR="00A17913" w:rsidRPr="00765A6E" w:rsidRDefault="00A17913" w:rsidP="00621D19">
            <w:pPr>
              <w:pStyle w:val="Tabela"/>
              <w:ind w:firstLine="0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ICD-10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49042E0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Diagnostic</w:t>
            </w:r>
          </w:p>
        </w:tc>
      </w:tr>
      <w:tr w:rsidR="00A17913" w:rsidRPr="00765A6E" w14:paraId="7A8330D8" w14:textId="77777777" w:rsidTr="00621D19">
        <w:tc>
          <w:tcPr>
            <w:tcW w:w="1134" w:type="dxa"/>
          </w:tcPr>
          <w:p w14:paraId="4EFD8CC0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296.0</w:t>
            </w:r>
          </w:p>
        </w:tc>
        <w:tc>
          <w:tcPr>
            <w:tcW w:w="993" w:type="dxa"/>
          </w:tcPr>
          <w:p w14:paraId="700D9357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53DA5888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Bipolar disorder, single manic episode</w:t>
            </w:r>
          </w:p>
        </w:tc>
      </w:tr>
      <w:tr w:rsidR="00A17913" w:rsidRPr="00765A6E" w14:paraId="66E1661A" w14:textId="77777777" w:rsidTr="00621D19">
        <w:tc>
          <w:tcPr>
            <w:tcW w:w="1134" w:type="dxa"/>
          </w:tcPr>
          <w:p w14:paraId="15F5CDB3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296.1</w:t>
            </w:r>
          </w:p>
        </w:tc>
        <w:tc>
          <w:tcPr>
            <w:tcW w:w="993" w:type="dxa"/>
          </w:tcPr>
          <w:p w14:paraId="11E10FFE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022F2D16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Manic disorder recurrent episode</w:t>
            </w:r>
          </w:p>
        </w:tc>
      </w:tr>
      <w:tr w:rsidR="00A17913" w:rsidRPr="00765A6E" w14:paraId="48B5AA00" w14:textId="77777777" w:rsidTr="00621D19">
        <w:tc>
          <w:tcPr>
            <w:tcW w:w="1134" w:type="dxa"/>
          </w:tcPr>
          <w:p w14:paraId="7016EDBA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296.2</w:t>
            </w:r>
          </w:p>
        </w:tc>
        <w:tc>
          <w:tcPr>
            <w:tcW w:w="993" w:type="dxa"/>
          </w:tcPr>
          <w:p w14:paraId="3AAAFA32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</w:tcPr>
          <w:p w14:paraId="4C4D334B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Major depressive disorder, single episode</w:t>
            </w:r>
          </w:p>
        </w:tc>
      </w:tr>
      <w:tr w:rsidR="00A17913" w:rsidRPr="00765A6E" w14:paraId="0ADAFC55" w14:textId="77777777" w:rsidTr="00621D19">
        <w:tc>
          <w:tcPr>
            <w:tcW w:w="1134" w:type="dxa"/>
          </w:tcPr>
          <w:p w14:paraId="7C478F19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296.3</w:t>
            </w:r>
          </w:p>
        </w:tc>
        <w:tc>
          <w:tcPr>
            <w:tcW w:w="993" w:type="dxa"/>
          </w:tcPr>
          <w:p w14:paraId="6049AEC3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</w:tcPr>
          <w:p w14:paraId="05C25246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Major depressive disorder, recurrent</w:t>
            </w:r>
          </w:p>
        </w:tc>
      </w:tr>
      <w:tr w:rsidR="00A17913" w:rsidRPr="00765A6E" w14:paraId="26FE7A31" w14:textId="77777777" w:rsidTr="00621D19">
        <w:tc>
          <w:tcPr>
            <w:tcW w:w="1134" w:type="dxa"/>
          </w:tcPr>
          <w:p w14:paraId="0E0F0580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296.4</w:t>
            </w:r>
          </w:p>
        </w:tc>
        <w:tc>
          <w:tcPr>
            <w:tcW w:w="993" w:type="dxa"/>
          </w:tcPr>
          <w:p w14:paraId="7152B0F3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0C5B55FD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Bipolar disorder, most recent episode (or current) manic</w:t>
            </w:r>
          </w:p>
        </w:tc>
      </w:tr>
      <w:tr w:rsidR="00A17913" w:rsidRPr="00765A6E" w14:paraId="2DA435DC" w14:textId="77777777" w:rsidTr="00621D19">
        <w:tc>
          <w:tcPr>
            <w:tcW w:w="1134" w:type="dxa"/>
          </w:tcPr>
          <w:p w14:paraId="0BA274E2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296.5</w:t>
            </w:r>
          </w:p>
        </w:tc>
        <w:tc>
          <w:tcPr>
            <w:tcW w:w="993" w:type="dxa"/>
          </w:tcPr>
          <w:p w14:paraId="726AB5B9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02CA802F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Bipolar disorder, most recent episode (or current) depressed</w:t>
            </w:r>
          </w:p>
        </w:tc>
      </w:tr>
      <w:tr w:rsidR="00A17913" w:rsidRPr="00765A6E" w14:paraId="06458072" w14:textId="77777777" w:rsidTr="00621D19">
        <w:tc>
          <w:tcPr>
            <w:tcW w:w="1134" w:type="dxa"/>
          </w:tcPr>
          <w:p w14:paraId="0FB307E7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296.6</w:t>
            </w:r>
          </w:p>
        </w:tc>
        <w:tc>
          <w:tcPr>
            <w:tcW w:w="993" w:type="dxa"/>
          </w:tcPr>
          <w:p w14:paraId="6242DE44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3A55BD21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Bipolar disorder, most recent episode (or current) mixed</w:t>
            </w:r>
          </w:p>
        </w:tc>
      </w:tr>
      <w:tr w:rsidR="00A17913" w:rsidRPr="00765A6E" w14:paraId="18EC61F9" w14:textId="77777777" w:rsidTr="00621D19">
        <w:tc>
          <w:tcPr>
            <w:tcW w:w="1134" w:type="dxa"/>
          </w:tcPr>
          <w:p w14:paraId="335D46A5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296.7</w:t>
            </w:r>
          </w:p>
        </w:tc>
        <w:tc>
          <w:tcPr>
            <w:tcW w:w="993" w:type="dxa"/>
          </w:tcPr>
          <w:p w14:paraId="1C6BE862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72BEB32B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Bipolar disorder, most recent episode (or current) unspecified</w:t>
            </w:r>
          </w:p>
        </w:tc>
      </w:tr>
      <w:tr w:rsidR="00A17913" w:rsidRPr="00765A6E" w14:paraId="0AD7E0D3" w14:textId="77777777" w:rsidTr="00621D19">
        <w:tc>
          <w:tcPr>
            <w:tcW w:w="1134" w:type="dxa"/>
          </w:tcPr>
          <w:p w14:paraId="3F774FEB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296.8</w:t>
            </w:r>
          </w:p>
        </w:tc>
        <w:tc>
          <w:tcPr>
            <w:tcW w:w="993" w:type="dxa"/>
          </w:tcPr>
          <w:p w14:paraId="5F41C8A1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79BAB5A8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Other and unspecified bipolar disorders</w:t>
            </w:r>
          </w:p>
        </w:tc>
      </w:tr>
      <w:tr w:rsidR="00A17913" w:rsidRPr="00765A6E" w14:paraId="3E815AA2" w14:textId="77777777" w:rsidTr="00621D19">
        <w:tc>
          <w:tcPr>
            <w:tcW w:w="1134" w:type="dxa"/>
          </w:tcPr>
          <w:p w14:paraId="16D8BC9F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296.9</w:t>
            </w:r>
          </w:p>
        </w:tc>
        <w:tc>
          <w:tcPr>
            <w:tcW w:w="993" w:type="dxa"/>
          </w:tcPr>
          <w:p w14:paraId="13C8DB8F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1B9BAE7B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Unspecified episodic mood disorder</w:t>
            </w:r>
          </w:p>
        </w:tc>
      </w:tr>
      <w:tr w:rsidR="00A17913" w:rsidRPr="00765A6E" w14:paraId="7EC18A58" w14:textId="77777777" w:rsidTr="00621D19">
        <w:tc>
          <w:tcPr>
            <w:tcW w:w="1134" w:type="dxa"/>
          </w:tcPr>
          <w:p w14:paraId="037ECA4D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300.4</w:t>
            </w:r>
          </w:p>
        </w:tc>
        <w:tc>
          <w:tcPr>
            <w:tcW w:w="993" w:type="dxa"/>
          </w:tcPr>
          <w:p w14:paraId="3223B075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</w:tcPr>
          <w:p w14:paraId="1E355318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Dysthymic disorder</w:t>
            </w:r>
          </w:p>
        </w:tc>
      </w:tr>
      <w:tr w:rsidR="00A17913" w:rsidRPr="00765A6E" w14:paraId="0F46D76F" w14:textId="77777777" w:rsidTr="00621D19">
        <w:tc>
          <w:tcPr>
            <w:tcW w:w="1134" w:type="dxa"/>
          </w:tcPr>
          <w:p w14:paraId="61E54EDF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309.x</w:t>
            </w:r>
          </w:p>
        </w:tc>
        <w:tc>
          <w:tcPr>
            <w:tcW w:w="993" w:type="dxa"/>
          </w:tcPr>
          <w:p w14:paraId="350FB96C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6662" w:type="dxa"/>
          </w:tcPr>
          <w:p w14:paraId="37493A1A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 xml:space="preserve">Adjustment reaction </w:t>
            </w:r>
          </w:p>
        </w:tc>
      </w:tr>
      <w:tr w:rsidR="00A17913" w:rsidRPr="00765A6E" w14:paraId="5C7E868E" w14:textId="77777777" w:rsidTr="00621D19">
        <w:tc>
          <w:tcPr>
            <w:tcW w:w="1134" w:type="dxa"/>
          </w:tcPr>
          <w:p w14:paraId="2BC36497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311.x</w:t>
            </w:r>
          </w:p>
        </w:tc>
        <w:tc>
          <w:tcPr>
            <w:tcW w:w="993" w:type="dxa"/>
          </w:tcPr>
          <w:p w14:paraId="01F6AF3B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</w:p>
        </w:tc>
        <w:tc>
          <w:tcPr>
            <w:tcW w:w="6662" w:type="dxa"/>
          </w:tcPr>
          <w:p w14:paraId="6FAD0AA6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Depressive disorder, not elsewhere classified</w:t>
            </w:r>
          </w:p>
        </w:tc>
      </w:tr>
      <w:tr w:rsidR="00A17913" w:rsidRPr="00765A6E" w14:paraId="25D684C0" w14:textId="77777777" w:rsidTr="00621D19">
        <w:tc>
          <w:tcPr>
            <w:tcW w:w="1134" w:type="dxa"/>
          </w:tcPr>
          <w:p w14:paraId="7CFCD6EA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993" w:type="dxa"/>
          </w:tcPr>
          <w:p w14:paraId="0ACDCD57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F30</w:t>
            </w:r>
          </w:p>
        </w:tc>
        <w:tc>
          <w:tcPr>
            <w:tcW w:w="6662" w:type="dxa"/>
          </w:tcPr>
          <w:p w14:paraId="144B3FAD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Manic episode</w:t>
            </w:r>
          </w:p>
        </w:tc>
      </w:tr>
      <w:tr w:rsidR="00A17913" w:rsidRPr="00765A6E" w14:paraId="2D1BE679" w14:textId="77777777" w:rsidTr="00621D19">
        <w:tc>
          <w:tcPr>
            <w:tcW w:w="1134" w:type="dxa"/>
          </w:tcPr>
          <w:p w14:paraId="31AF765E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993" w:type="dxa"/>
          </w:tcPr>
          <w:p w14:paraId="335CCBF7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F31</w:t>
            </w:r>
          </w:p>
        </w:tc>
        <w:tc>
          <w:tcPr>
            <w:tcW w:w="6662" w:type="dxa"/>
          </w:tcPr>
          <w:p w14:paraId="0A099814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Bipolar disorder</w:t>
            </w:r>
          </w:p>
        </w:tc>
      </w:tr>
      <w:tr w:rsidR="00A17913" w:rsidRPr="00765A6E" w14:paraId="3C8171C8" w14:textId="77777777" w:rsidTr="00621D19">
        <w:tc>
          <w:tcPr>
            <w:tcW w:w="1134" w:type="dxa"/>
          </w:tcPr>
          <w:p w14:paraId="22657412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993" w:type="dxa"/>
          </w:tcPr>
          <w:p w14:paraId="29228E4A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F32</w:t>
            </w:r>
          </w:p>
        </w:tc>
        <w:tc>
          <w:tcPr>
            <w:tcW w:w="6662" w:type="dxa"/>
          </w:tcPr>
          <w:p w14:paraId="2DB965C1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Major depressive disorder, single episode</w:t>
            </w:r>
          </w:p>
        </w:tc>
      </w:tr>
      <w:tr w:rsidR="00A17913" w:rsidRPr="00765A6E" w14:paraId="0C088B72" w14:textId="77777777" w:rsidTr="00621D19">
        <w:tc>
          <w:tcPr>
            <w:tcW w:w="1134" w:type="dxa"/>
          </w:tcPr>
          <w:p w14:paraId="4CF6E93C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993" w:type="dxa"/>
          </w:tcPr>
          <w:p w14:paraId="375E8BFF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F33</w:t>
            </w:r>
          </w:p>
        </w:tc>
        <w:tc>
          <w:tcPr>
            <w:tcW w:w="6662" w:type="dxa"/>
          </w:tcPr>
          <w:p w14:paraId="412D9060" w14:textId="77777777" w:rsidR="00A17913" w:rsidRPr="00765A6E" w:rsidRDefault="00A17913" w:rsidP="00621D19">
            <w:pPr>
              <w:pStyle w:val="Tabela"/>
              <w:rPr>
                <w:b/>
                <w:bCs/>
                <w:lang w:val="en-US"/>
              </w:rPr>
            </w:pPr>
            <w:r w:rsidRPr="00765A6E">
              <w:rPr>
                <w:b/>
                <w:bCs/>
                <w:lang w:val="en-US"/>
              </w:rPr>
              <w:t>Major depressive disorder, recurrent</w:t>
            </w:r>
          </w:p>
        </w:tc>
      </w:tr>
      <w:tr w:rsidR="00A17913" w:rsidRPr="00765A6E" w14:paraId="0D9E83D5" w14:textId="77777777" w:rsidTr="00621D19">
        <w:tc>
          <w:tcPr>
            <w:tcW w:w="1134" w:type="dxa"/>
          </w:tcPr>
          <w:p w14:paraId="3EDA3C5A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993" w:type="dxa"/>
          </w:tcPr>
          <w:p w14:paraId="554A1B6A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F34</w:t>
            </w:r>
          </w:p>
        </w:tc>
        <w:tc>
          <w:tcPr>
            <w:tcW w:w="6662" w:type="dxa"/>
          </w:tcPr>
          <w:p w14:paraId="170A9FBB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Persistent mood [affective] disorders</w:t>
            </w:r>
          </w:p>
        </w:tc>
      </w:tr>
      <w:tr w:rsidR="00A17913" w:rsidRPr="00765A6E" w14:paraId="2C9968F4" w14:textId="77777777" w:rsidTr="00621D19">
        <w:tc>
          <w:tcPr>
            <w:tcW w:w="1134" w:type="dxa"/>
          </w:tcPr>
          <w:p w14:paraId="15342D04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993" w:type="dxa"/>
          </w:tcPr>
          <w:p w14:paraId="0DAFB37F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F39</w:t>
            </w:r>
          </w:p>
        </w:tc>
        <w:tc>
          <w:tcPr>
            <w:tcW w:w="6662" w:type="dxa"/>
          </w:tcPr>
          <w:p w14:paraId="2885B5BA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Unspecified mood [affective] disorder</w:t>
            </w:r>
          </w:p>
        </w:tc>
      </w:tr>
      <w:tr w:rsidR="00A17913" w:rsidRPr="00765A6E" w14:paraId="1B1D7872" w14:textId="77777777" w:rsidTr="00621D19">
        <w:tc>
          <w:tcPr>
            <w:tcW w:w="1134" w:type="dxa"/>
          </w:tcPr>
          <w:p w14:paraId="145C1DF4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</w:p>
        </w:tc>
        <w:tc>
          <w:tcPr>
            <w:tcW w:w="993" w:type="dxa"/>
          </w:tcPr>
          <w:p w14:paraId="2CF5CDCB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F43.2</w:t>
            </w:r>
          </w:p>
        </w:tc>
        <w:tc>
          <w:tcPr>
            <w:tcW w:w="6662" w:type="dxa"/>
          </w:tcPr>
          <w:p w14:paraId="6CE4A867" w14:textId="77777777" w:rsidR="00A17913" w:rsidRPr="00765A6E" w:rsidRDefault="00A17913" w:rsidP="00621D19">
            <w:pPr>
              <w:pStyle w:val="Tabela"/>
              <w:rPr>
                <w:lang w:val="en-US"/>
              </w:rPr>
            </w:pPr>
            <w:r w:rsidRPr="00765A6E">
              <w:rPr>
                <w:lang w:val="en-US"/>
              </w:rPr>
              <w:t>Adjustment disorder</w:t>
            </w:r>
          </w:p>
        </w:tc>
      </w:tr>
    </w:tbl>
    <w:p w14:paraId="54A27F29" w14:textId="77777777" w:rsidR="00A17913" w:rsidRPr="00765A6E" w:rsidRDefault="00A17913" w:rsidP="00A17913">
      <w:pPr>
        <w:ind w:firstLine="0"/>
        <w:rPr>
          <w:lang w:val="en-CA"/>
        </w:rPr>
      </w:pPr>
      <w:r w:rsidRPr="00765A6E">
        <w:rPr>
          <w:b/>
          <w:bCs/>
          <w:lang w:val="en-CA"/>
        </w:rPr>
        <w:t>Bold type:</w:t>
      </w:r>
      <w:r w:rsidRPr="00765A6E">
        <w:rPr>
          <w:lang w:val="en-CA"/>
        </w:rPr>
        <w:t xml:space="preserve"> codes used in the supplementary analysis for a restricted definition of x.</w:t>
      </w:r>
    </w:p>
    <w:p w14:paraId="615EA899" w14:textId="77777777" w:rsidR="00A17913" w:rsidRDefault="00A17913">
      <w:pPr>
        <w:spacing w:line="240" w:lineRule="auto"/>
        <w:ind w:firstLine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9B7254B" w14:textId="6EFC553B" w:rsidR="00A17913" w:rsidRPr="00765A6E" w:rsidRDefault="00A17913" w:rsidP="00A17913">
      <w:pPr>
        <w:ind w:firstLine="0"/>
        <w:rPr>
          <w:b/>
          <w:bCs/>
          <w:lang w:val="en-GB"/>
        </w:rPr>
      </w:pPr>
      <w:r w:rsidRPr="00765A6E">
        <w:rPr>
          <w:b/>
          <w:bCs/>
          <w:lang w:val="en-US"/>
        </w:rPr>
        <w:lastRenderedPageBreak/>
        <w:t xml:space="preserve">Suppl. Table 5. </w:t>
      </w:r>
      <w:r w:rsidRPr="00765A6E">
        <w:rPr>
          <w:b/>
          <w:bCs/>
          <w:lang w:val="en-GB"/>
        </w:rPr>
        <w:t>One-year prevalence of depression and known-groups analysis for sex, age, education level and psychological distress excluding controls with missing codes.</w:t>
      </w:r>
    </w:p>
    <w:tbl>
      <w:tblPr>
        <w:tblStyle w:val="Tabelacomgrade"/>
        <w:tblpPr w:leftFromText="180" w:rightFromText="180" w:vertAnchor="text" w:horzAnchor="margin" w:tblpY="1"/>
        <w:tblW w:w="3525" w:type="pct"/>
        <w:tblLook w:val="04A0" w:firstRow="1" w:lastRow="0" w:firstColumn="1" w:lastColumn="0" w:noHBand="0" w:noVBand="1"/>
      </w:tblPr>
      <w:tblGrid>
        <w:gridCol w:w="1488"/>
        <w:gridCol w:w="1273"/>
        <w:gridCol w:w="1278"/>
        <w:gridCol w:w="1274"/>
        <w:gridCol w:w="1273"/>
        <w:gridCol w:w="1277"/>
        <w:gridCol w:w="1274"/>
      </w:tblGrid>
      <w:tr w:rsidR="00A17913" w:rsidRPr="00765A6E" w14:paraId="791448B1" w14:textId="77777777" w:rsidTr="00621D19">
        <w:trPr>
          <w:tblHeader/>
        </w:trPr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14:paraId="421E89CF" w14:textId="77777777" w:rsidR="00A17913" w:rsidRPr="00765A6E" w:rsidRDefault="00A17913" w:rsidP="00621D19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pct"/>
            <w:gridSpan w:val="3"/>
            <w:tcBorders>
              <w:left w:val="nil"/>
              <w:bottom w:val="nil"/>
              <w:right w:val="nil"/>
            </w:tcBorders>
          </w:tcPr>
          <w:p w14:paraId="2899A2B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CIDI-SF cases</w:t>
            </w:r>
          </w:p>
        </w:tc>
        <w:tc>
          <w:tcPr>
            <w:tcW w:w="2096" w:type="pct"/>
            <w:gridSpan w:val="3"/>
            <w:tcBorders>
              <w:left w:val="nil"/>
              <w:bottom w:val="nil"/>
              <w:right w:val="nil"/>
            </w:tcBorders>
          </w:tcPr>
          <w:p w14:paraId="290327A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  <w:lang w:val="en-US"/>
              </w:rPr>
              <w:t xml:space="preserve">Administrative cases </w:t>
            </w:r>
            <w:proofErr w:type="spellStart"/>
            <w:proofErr w:type="gramStart"/>
            <w:r w:rsidRPr="00765A6E">
              <w:rPr>
                <w:b/>
                <w:bCs/>
                <w:sz w:val="22"/>
                <w:szCs w:val="22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</w:tr>
      <w:tr w:rsidR="00A17913" w:rsidRPr="00765A6E" w14:paraId="653F36A9" w14:textId="77777777" w:rsidTr="00621D19">
        <w:trPr>
          <w:tblHeader/>
        </w:trPr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9C26" w14:textId="77777777" w:rsidR="00A17913" w:rsidRPr="00765A6E" w:rsidRDefault="00A17913" w:rsidP="00621D19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41C5F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Prev.</w:t>
            </w:r>
          </w:p>
          <w:p w14:paraId="39B135B0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(non-exposed)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57E39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Prev.</w:t>
            </w:r>
          </w:p>
          <w:p w14:paraId="76A83003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(exposed)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E518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Ratio</w:t>
            </w:r>
          </w:p>
          <w:p w14:paraId="13CF82E4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(IC95%)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D2F0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Prev.</w:t>
            </w:r>
          </w:p>
          <w:p w14:paraId="326132D3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(non-exposed)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78CFC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Prev.</w:t>
            </w:r>
          </w:p>
          <w:p w14:paraId="2F189290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(exposed)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B712F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Ratio</w:t>
            </w:r>
          </w:p>
          <w:p w14:paraId="1DF1EDDF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(IC95%)</w:t>
            </w:r>
          </w:p>
        </w:tc>
      </w:tr>
      <w:tr w:rsidR="00A17913" w:rsidRPr="00765A6E" w14:paraId="1221C1C2" w14:textId="77777777" w:rsidTr="00621D19">
        <w:trPr>
          <w:trHeight w:val="1012"/>
        </w:trPr>
        <w:tc>
          <w:tcPr>
            <w:tcW w:w="806" w:type="pct"/>
            <w:tcBorders>
              <w:left w:val="nil"/>
              <w:bottom w:val="nil"/>
              <w:right w:val="nil"/>
            </w:tcBorders>
            <w:vAlign w:val="center"/>
          </w:tcPr>
          <w:p w14:paraId="4520E981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AADA39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3.83%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  <w:vAlign w:val="center"/>
          </w:tcPr>
          <w:p w14:paraId="278286D0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7AA5B0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4.81%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  <w:vAlign w:val="center"/>
          </w:tcPr>
          <w:p w14:paraId="5D333FC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7913" w:rsidRPr="00765A6E" w14:paraId="7D7AD603" w14:textId="77777777" w:rsidTr="00621D19">
        <w:trPr>
          <w:trHeight w:val="1012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DF82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Sex</w:t>
            </w:r>
          </w:p>
          <w:p w14:paraId="53154243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(Ref. male)</w:t>
            </w:r>
          </w:p>
          <w:p w14:paraId="719BDB7B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10B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2.56%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1114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5.18%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FAF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2.02</w:t>
            </w:r>
          </w:p>
          <w:p w14:paraId="31A7D5C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1.48 - 2.77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1DAA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3.46%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C058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6.24%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FC03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1.80</w:t>
            </w:r>
          </w:p>
          <w:p w14:paraId="3081C54D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1.37 – 2.37</w:t>
            </w:r>
          </w:p>
        </w:tc>
      </w:tr>
      <w:tr w:rsidR="00A17913" w:rsidRPr="00765A6E" w14:paraId="503F0A4A" w14:textId="77777777" w:rsidTr="00621D19">
        <w:trPr>
          <w:trHeight w:val="1012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3663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Age</w:t>
            </w:r>
          </w:p>
          <w:p w14:paraId="4E405333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(Ref. &gt;58 years old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A046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3.52%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619D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5.12%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A91D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1.45</w:t>
            </w:r>
          </w:p>
          <w:p w14:paraId="336A98A6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1.04 – 2.04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ED5A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4.21%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4F65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7.26%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683ED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1.72</w:t>
            </w:r>
          </w:p>
          <w:p w14:paraId="09EFD159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1.29 – 2.30</w:t>
            </w:r>
          </w:p>
        </w:tc>
      </w:tr>
      <w:tr w:rsidR="00A17913" w:rsidRPr="00765A6E" w14:paraId="316DA49D" w14:textId="77777777" w:rsidTr="00621D19">
        <w:trPr>
          <w:trHeight w:val="1012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9340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Education T</w:t>
            </w:r>
            <w:r w:rsidRPr="00765A6E">
              <w:rPr>
                <w:b/>
                <w:bCs/>
                <w:sz w:val="22"/>
                <w:szCs w:val="22"/>
                <w:vertAlign w:val="subscript"/>
              </w:rPr>
              <w:t>1</w:t>
            </w:r>
            <w:r w:rsidRPr="00765A6E">
              <w:rPr>
                <w:b/>
                <w:bCs/>
                <w:sz w:val="22"/>
                <w:szCs w:val="22"/>
              </w:rPr>
              <w:t xml:space="preserve"> (Ref. univ. degree)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B3FA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3.40%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3A5E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4.15%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D2A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1.22</w:t>
            </w:r>
          </w:p>
          <w:p w14:paraId="3C74815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0.90 - 1.66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1F2EA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3.81%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E9D3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5.68%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364C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1.49</w:t>
            </w:r>
          </w:p>
          <w:p w14:paraId="6AAAB1A3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1.13 – 1.97</w:t>
            </w:r>
          </w:p>
        </w:tc>
      </w:tr>
      <w:tr w:rsidR="00A17913" w:rsidRPr="00765A6E" w14:paraId="4410FB06" w14:textId="77777777" w:rsidTr="00621D19">
        <w:trPr>
          <w:trHeight w:val="1012"/>
        </w:trPr>
        <w:tc>
          <w:tcPr>
            <w:tcW w:w="806" w:type="pct"/>
            <w:tcBorders>
              <w:top w:val="nil"/>
              <w:left w:val="nil"/>
              <w:right w:val="nil"/>
            </w:tcBorders>
            <w:vAlign w:val="center"/>
          </w:tcPr>
          <w:p w14:paraId="5650F22D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  <w:vertAlign w:val="subscript"/>
              </w:rPr>
            </w:pPr>
            <w:r w:rsidRPr="00765A6E">
              <w:rPr>
                <w:b/>
                <w:bCs/>
                <w:sz w:val="22"/>
                <w:szCs w:val="22"/>
              </w:rPr>
              <w:t>Psychological distress T</w:t>
            </w:r>
            <w:r w:rsidRPr="00765A6E">
              <w:rPr>
                <w:b/>
                <w:bCs/>
                <w:sz w:val="22"/>
                <w:szCs w:val="22"/>
                <w:vertAlign w:val="subscript"/>
              </w:rPr>
              <w:t xml:space="preserve">2 </w:t>
            </w:r>
          </w:p>
          <w:p w14:paraId="7A678BB3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  <w:r w:rsidRPr="00765A6E">
              <w:rPr>
                <w:b/>
                <w:bCs/>
                <w:sz w:val="22"/>
                <w:szCs w:val="22"/>
              </w:rPr>
              <w:t>(Ref. &lt; 26.2)</w:t>
            </w:r>
          </w:p>
          <w:p w14:paraId="71674CAF" w14:textId="77777777" w:rsidR="00A17913" w:rsidRPr="00765A6E" w:rsidRDefault="00A17913" w:rsidP="00621D19">
            <w:pPr>
              <w:pStyle w:val="Tabletext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14:paraId="22F5BCC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2.74%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vAlign w:val="center"/>
          </w:tcPr>
          <w:p w14:paraId="4856F03C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7.21%</w:t>
            </w: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vAlign w:val="center"/>
          </w:tcPr>
          <w:p w14:paraId="4A4B0982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2.63</w:t>
            </w:r>
          </w:p>
          <w:p w14:paraId="3BB8A6A7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1.93 - 3.59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14:paraId="35DE3A1F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3.78%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vAlign w:val="center"/>
          </w:tcPr>
          <w:p w14:paraId="29688EDB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8.31%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14:paraId="2B3D2800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2.20</w:t>
            </w:r>
          </w:p>
          <w:p w14:paraId="64344391" w14:textId="77777777" w:rsidR="00A17913" w:rsidRPr="00765A6E" w:rsidRDefault="00A17913" w:rsidP="00621D1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765A6E">
              <w:rPr>
                <w:bCs/>
                <w:sz w:val="22"/>
                <w:szCs w:val="22"/>
              </w:rPr>
              <w:t>1.66 – 2.90</w:t>
            </w:r>
          </w:p>
        </w:tc>
      </w:tr>
    </w:tbl>
    <w:p w14:paraId="5A7AFDDA" w14:textId="77777777" w:rsidR="00A17913" w:rsidRPr="00765A6E" w:rsidRDefault="00A17913" w:rsidP="00A17913">
      <w:pPr>
        <w:ind w:firstLine="0"/>
        <w:rPr>
          <w:lang w:val="en-US"/>
        </w:rPr>
      </w:pPr>
    </w:p>
    <w:p w14:paraId="3B698AE2" w14:textId="77777777" w:rsidR="00A17913" w:rsidRPr="00765A6E" w:rsidRDefault="00A17913" w:rsidP="00A17913">
      <w:pPr>
        <w:ind w:firstLine="0"/>
        <w:rPr>
          <w:lang w:val="en-US"/>
        </w:rPr>
      </w:pPr>
    </w:p>
    <w:p w14:paraId="5B01CF26" w14:textId="77777777" w:rsidR="00A17913" w:rsidRPr="00765A6E" w:rsidRDefault="00A17913" w:rsidP="00A17913">
      <w:pPr>
        <w:ind w:firstLine="0"/>
        <w:rPr>
          <w:lang w:val="en-US"/>
        </w:rPr>
      </w:pPr>
    </w:p>
    <w:p w14:paraId="6F74D6D8" w14:textId="77777777" w:rsidR="00A17913" w:rsidRPr="00765A6E" w:rsidRDefault="00A17913" w:rsidP="00A17913">
      <w:pPr>
        <w:ind w:firstLine="0"/>
        <w:rPr>
          <w:lang w:val="en-US"/>
        </w:rPr>
      </w:pPr>
    </w:p>
    <w:p w14:paraId="706307D7" w14:textId="77777777" w:rsidR="00A17913" w:rsidRPr="00765A6E" w:rsidRDefault="00A17913" w:rsidP="00A17913">
      <w:pPr>
        <w:ind w:firstLine="0"/>
        <w:rPr>
          <w:lang w:val="en-US"/>
        </w:rPr>
      </w:pPr>
    </w:p>
    <w:p w14:paraId="2230A830" w14:textId="77777777" w:rsidR="00A17913" w:rsidRPr="00765A6E" w:rsidRDefault="00A17913" w:rsidP="00A17913">
      <w:pPr>
        <w:ind w:firstLine="0"/>
        <w:rPr>
          <w:lang w:val="en-US"/>
        </w:rPr>
      </w:pPr>
    </w:p>
    <w:p w14:paraId="3FB0EE43" w14:textId="77777777" w:rsidR="00A17913" w:rsidRPr="00765A6E" w:rsidRDefault="00A17913" w:rsidP="00A17913">
      <w:pPr>
        <w:ind w:firstLine="0"/>
        <w:rPr>
          <w:lang w:val="en-US"/>
        </w:rPr>
      </w:pPr>
    </w:p>
    <w:p w14:paraId="01B15C5B" w14:textId="77777777" w:rsidR="00A17913" w:rsidRPr="00765A6E" w:rsidRDefault="00A17913" w:rsidP="00A17913">
      <w:pPr>
        <w:ind w:firstLine="0"/>
        <w:rPr>
          <w:lang w:val="en-US"/>
        </w:rPr>
      </w:pPr>
    </w:p>
    <w:p w14:paraId="0C30C4A3" w14:textId="77777777" w:rsidR="00A17913" w:rsidRPr="00765A6E" w:rsidRDefault="00A17913" w:rsidP="00A17913">
      <w:pPr>
        <w:ind w:firstLine="0"/>
        <w:rPr>
          <w:lang w:val="en-US"/>
        </w:rPr>
      </w:pPr>
    </w:p>
    <w:p w14:paraId="45F44FD3" w14:textId="77777777" w:rsidR="00A17913" w:rsidRPr="00765A6E" w:rsidRDefault="00A17913" w:rsidP="00A17913">
      <w:pPr>
        <w:ind w:firstLine="0"/>
        <w:rPr>
          <w:lang w:val="en-US"/>
        </w:rPr>
      </w:pPr>
    </w:p>
    <w:p w14:paraId="48A71B5F" w14:textId="77777777" w:rsidR="00A17913" w:rsidRPr="00765A6E" w:rsidRDefault="00A17913" w:rsidP="00A17913">
      <w:pPr>
        <w:ind w:firstLine="0"/>
        <w:rPr>
          <w:lang w:val="en-US"/>
        </w:rPr>
      </w:pPr>
    </w:p>
    <w:p w14:paraId="4DD1F23D" w14:textId="77777777" w:rsidR="00A17913" w:rsidRPr="00765A6E" w:rsidRDefault="00A17913" w:rsidP="00A17913">
      <w:pPr>
        <w:ind w:firstLine="0"/>
        <w:rPr>
          <w:lang w:val="en-US"/>
        </w:rPr>
      </w:pPr>
    </w:p>
    <w:p w14:paraId="0A46E920" w14:textId="77777777" w:rsidR="00A17913" w:rsidRPr="00765A6E" w:rsidRDefault="00A17913" w:rsidP="00A17913">
      <w:pPr>
        <w:ind w:firstLine="0"/>
        <w:rPr>
          <w:lang w:val="en-US"/>
        </w:rPr>
      </w:pPr>
    </w:p>
    <w:p w14:paraId="5D6A37BB" w14:textId="77777777" w:rsidR="00A17913" w:rsidRPr="00765A6E" w:rsidRDefault="00A17913" w:rsidP="00A17913">
      <w:pPr>
        <w:ind w:firstLine="0"/>
        <w:rPr>
          <w:lang w:val="en-US"/>
        </w:rPr>
      </w:pPr>
    </w:p>
    <w:p w14:paraId="4EE8E93C" w14:textId="77777777" w:rsidR="00A17913" w:rsidRPr="00765A6E" w:rsidRDefault="00A17913" w:rsidP="00A17913">
      <w:pPr>
        <w:ind w:firstLine="0"/>
        <w:rPr>
          <w:lang w:val="en-US"/>
        </w:rPr>
      </w:pPr>
    </w:p>
    <w:p w14:paraId="2213ED87" w14:textId="584876A4" w:rsidR="00A17913" w:rsidRPr="00A17913" w:rsidRDefault="00A17913" w:rsidP="00A17913">
      <w:pPr>
        <w:ind w:firstLine="0"/>
        <w:rPr>
          <w:lang w:val="en-CA"/>
        </w:rPr>
      </w:pPr>
      <w:r w:rsidRPr="00765A6E">
        <w:rPr>
          <w:vertAlign w:val="superscript"/>
          <w:lang w:val="en-CA"/>
        </w:rPr>
        <w:t>a</w:t>
      </w:r>
      <w:r w:rsidRPr="00765A6E">
        <w:rPr>
          <w:lang w:val="en-CA"/>
        </w:rPr>
        <w:t xml:space="preserve"> Participants with any missing code and no known depression-related code were excluded. </w:t>
      </w:r>
      <w:r w:rsidRPr="00765A6E">
        <w:rPr>
          <w:vertAlign w:val="superscript"/>
          <w:lang w:val="en-CA"/>
        </w:rPr>
        <w:t>b</w:t>
      </w:r>
      <w:r w:rsidRPr="00765A6E">
        <w:rPr>
          <w:lang w:val="en-CA"/>
        </w:rPr>
        <w:t xml:space="preserve"> Definition B of administrative cases: any hospital </w:t>
      </w:r>
      <w:proofErr w:type="gramStart"/>
      <w:r w:rsidRPr="00765A6E">
        <w:rPr>
          <w:lang w:val="en-CA"/>
        </w:rPr>
        <w:t>stay</w:t>
      </w:r>
      <w:proofErr w:type="gramEnd"/>
      <w:r w:rsidRPr="00765A6E">
        <w:rPr>
          <w:lang w:val="en-CA"/>
        </w:rPr>
        <w:t xml:space="preserve"> or medical consultation within the year</w:t>
      </w:r>
    </w:p>
    <w:sectPr w:rsidR="00A17913" w:rsidRPr="00A17913" w:rsidSect="00A179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13"/>
    <w:rsid w:val="00032A3E"/>
    <w:rsid w:val="00081D84"/>
    <w:rsid w:val="00083EF1"/>
    <w:rsid w:val="000843DD"/>
    <w:rsid w:val="000E6719"/>
    <w:rsid w:val="001C65A5"/>
    <w:rsid w:val="001D4578"/>
    <w:rsid w:val="0021189C"/>
    <w:rsid w:val="002202AD"/>
    <w:rsid w:val="002267CD"/>
    <w:rsid w:val="0026311F"/>
    <w:rsid w:val="00292D21"/>
    <w:rsid w:val="002E1600"/>
    <w:rsid w:val="002F5C5A"/>
    <w:rsid w:val="00310FD1"/>
    <w:rsid w:val="00323DC9"/>
    <w:rsid w:val="00346C83"/>
    <w:rsid w:val="00362F7E"/>
    <w:rsid w:val="00381E5F"/>
    <w:rsid w:val="003C027A"/>
    <w:rsid w:val="003E7B26"/>
    <w:rsid w:val="00434E98"/>
    <w:rsid w:val="004514CB"/>
    <w:rsid w:val="00493B71"/>
    <w:rsid w:val="0051283C"/>
    <w:rsid w:val="00560225"/>
    <w:rsid w:val="005608DB"/>
    <w:rsid w:val="00562A97"/>
    <w:rsid w:val="005A72AC"/>
    <w:rsid w:val="005B0C20"/>
    <w:rsid w:val="00606F6C"/>
    <w:rsid w:val="0061266F"/>
    <w:rsid w:val="00780378"/>
    <w:rsid w:val="007B0A03"/>
    <w:rsid w:val="007C23D6"/>
    <w:rsid w:val="007F7E4B"/>
    <w:rsid w:val="0084075D"/>
    <w:rsid w:val="00893837"/>
    <w:rsid w:val="00933DA5"/>
    <w:rsid w:val="009C4388"/>
    <w:rsid w:val="00A17913"/>
    <w:rsid w:val="00A41F63"/>
    <w:rsid w:val="00A67357"/>
    <w:rsid w:val="00AA14E0"/>
    <w:rsid w:val="00AD7553"/>
    <w:rsid w:val="00AF18EF"/>
    <w:rsid w:val="00B35B3C"/>
    <w:rsid w:val="00BD0328"/>
    <w:rsid w:val="00C00DF0"/>
    <w:rsid w:val="00C0620F"/>
    <w:rsid w:val="00C13676"/>
    <w:rsid w:val="00CE44AF"/>
    <w:rsid w:val="00D238A4"/>
    <w:rsid w:val="00D27185"/>
    <w:rsid w:val="00D35F63"/>
    <w:rsid w:val="00D80B7A"/>
    <w:rsid w:val="00D908E2"/>
    <w:rsid w:val="00D942EC"/>
    <w:rsid w:val="00DF3778"/>
    <w:rsid w:val="00E11F0B"/>
    <w:rsid w:val="00E71679"/>
    <w:rsid w:val="00E877AE"/>
    <w:rsid w:val="00ED1539"/>
    <w:rsid w:val="00FB6B72"/>
    <w:rsid w:val="00FC2755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71416"/>
  <w15:chartTrackingRefBased/>
  <w15:docId w15:val="{FF49E036-A580-EF41-AE54-050EC86D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3"/>
    <w:pPr>
      <w:spacing w:line="360" w:lineRule="auto"/>
      <w:ind w:firstLine="340"/>
      <w:jc w:val="both"/>
    </w:pPr>
    <w:rPr>
      <w:rFonts w:ascii="Times New Roman" w:hAnsi="Times New Roman" w:cs="Times New Roman"/>
      <w:lang w:val="e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7913"/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Web"/>
    <w:qFormat/>
    <w:rsid w:val="00A17913"/>
    <w:pPr>
      <w:spacing w:line="240" w:lineRule="auto"/>
      <w:ind w:firstLine="0"/>
    </w:pPr>
    <w:rPr>
      <w:rFonts w:eastAsia="Times New Roman"/>
      <w:lang w:val="en-CA" w:eastAsia="pt-BR"/>
    </w:rPr>
  </w:style>
  <w:style w:type="paragraph" w:styleId="NormalWeb">
    <w:name w:val="Normal (Web)"/>
    <w:basedOn w:val="Normal"/>
    <w:uiPriority w:val="99"/>
    <w:semiHidden/>
    <w:unhideWhenUsed/>
    <w:rsid w:val="00A17913"/>
  </w:style>
  <w:style w:type="paragraph" w:customStyle="1" w:styleId="Tabela">
    <w:name w:val="Tabela"/>
    <w:basedOn w:val="Normal"/>
    <w:qFormat/>
    <w:rsid w:val="00A17913"/>
    <w:rPr>
      <w:rFonts w:eastAsia="Times New Roman"/>
      <w:sz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1062</Words>
  <Characters>5432</Characters>
  <Application>Microsoft Office Word</Application>
  <DocSecurity>0</DocSecurity>
  <Lines>518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Gralle</dc:creator>
  <cp:keywords/>
  <dc:description/>
  <cp:lastModifiedBy>Ana Paula Gralle</cp:lastModifiedBy>
  <cp:revision>2</cp:revision>
  <dcterms:created xsi:type="dcterms:W3CDTF">2021-09-14T13:54:00Z</dcterms:created>
  <dcterms:modified xsi:type="dcterms:W3CDTF">2021-09-14T16:20:00Z</dcterms:modified>
  <cp:category/>
</cp:coreProperties>
</file>