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58622" w14:textId="78281771" w:rsidR="0075357A" w:rsidRDefault="0075357A">
      <w:bookmarkStart w:id="0" w:name="_GoBack"/>
      <w:bookmarkEnd w:id="0"/>
    </w:p>
    <w:p w14:paraId="351838DF" w14:textId="6DB56872" w:rsidR="00D7615C" w:rsidRPr="00D7615C" w:rsidRDefault="00D7615C" w:rsidP="00D7615C">
      <w:pPr>
        <w:jc w:val="center"/>
        <w:rPr>
          <w:b/>
          <w:bCs/>
        </w:rPr>
      </w:pPr>
      <w:r w:rsidRPr="00D7615C">
        <w:rPr>
          <w:b/>
          <w:bCs/>
        </w:rPr>
        <w:t>Supplementary Material</w:t>
      </w:r>
    </w:p>
    <w:p w14:paraId="6374BF32" w14:textId="10D7BCA8" w:rsidR="00D7615C" w:rsidRDefault="00D7615C" w:rsidP="00D7615C">
      <w:pPr>
        <w:jc w:val="center"/>
      </w:pPr>
    </w:p>
    <w:p w14:paraId="3F6D2431" w14:textId="60AD48A1" w:rsidR="00D7615C" w:rsidRDefault="00D7615C" w:rsidP="00D7615C"/>
    <w:p w14:paraId="4E145AD1" w14:textId="1269BF2F" w:rsidR="00D7615C" w:rsidRPr="00D7615C" w:rsidRDefault="00D7615C" w:rsidP="00D7615C">
      <w:r w:rsidRPr="00D7615C">
        <w:t>Angela Russolillo, PhD; Akm Moniruzzaman, PhD; Michelle Carter, RN, MSN; Julia Raudzus, MD; Julian M Somers, PhD. Association of Homelessness and Psychiatric Readmission - A Retrospective Cohort Study 2016-2020</w:t>
      </w:r>
    </w:p>
    <w:p w14:paraId="4BB4052E" w14:textId="7DECDF1C" w:rsidR="00D7615C" w:rsidRPr="005835F4" w:rsidRDefault="00D7615C" w:rsidP="00D7615C"/>
    <w:p w14:paraId="0DED52C7" w14:textId="648D6186" w:rsidR="00D7615C" w:rsidRDefault="00D7615C" w:rsidP="00D7615C"/>
    <w:p w14:paraId="1EE34B97" w14:textId="77777777" w:rsidR="00D7615C" w:rsidRDefault="00D7615C" w:rsidP="00D7615C"/>
    <w:p w14:paraId="2ADE8F15" w14:textId="3723E3A2" w:rsidR="00D7615C" w:rsidRDefault="00D7615C" w:rsidP="00D7615C"/>
    <w:p w14:paraId="70F19261" w14:textId="4A24DAEF" w:rsidR="00D7615C" w:rsidRDefault="00D7615C" w:rsidP="00D7615C">
      <w:pPr>
        <w:rPr>
          <w:bCs/>
        </w:rPr>
      </w:pPr>
      <w:proofErr w:type="spellStart"/>
      <w:proofErr w:type="gramStart"/>
      <w:r w:rsidRPr="00D7615C">
        <w:rPr>
          <w:b/>
        </w:rPr>
        <w:t>eTable</w:t>
      </w:r>
      <w:proofErr w:type="spellEnd"/>
      <w:proofErr w:type="gramEnd"/>
      <w:r w:rsidRPr="00D7615C">
        <w:rPr>
          <w:b/>
        </w:rPr>
        <w:t xml:space="preserve"> 1</w:t>
      </w:r>
      <w:r>
        <w:rPr>
          <w:b/>
        </w:rPr>
        <w:t xml:space="preserve">. </w:t>
      </w:r>
      <w:r w:rsidRPr="00D7615C">
        <w:rPr>
          <w:bCs/>
        </w:rPr>
        <w:t xml:space="preserve">Extended Cox </w:t>
      </w:r>
      <w:r w:rsidR="00A556EC">
        <w:rPr>
          <w:bCs/>
        </w:rPr>
        <w:t>R</w:t>
      </w:r>
      <w:r w:rsidRPr="00D7615C">
        <w:rPr>
          <w:bCs/>
        </w:rPr>
        <w:t>egression analysis estimating the hazard associated with homelessness for re</w:t>
      </w:r>
      <w:r w:rsidR="00A556EC">
        <w:rPr>
          <w:bCs/>
        </w:rPr>
        <w:t>admission</w:t>
      </w:r>
      <w:r w:rsidRPr="00D7615C">
        <w:rPr>
          <w:bCs/>
        </w:rPr>
        <w:t xml:space="preserve"> </w:t>
      </w:r>
      <w:r w:rsidR="00A556EC">
        <w:rPr>
          <w:bCs/>
        </w:rPr>
        <w:t>to an</w:t>
      </w:r>
      <w:r w:rsidRPr="00D7615C">
        <w:rPr>
          <w:bCs/>
        </w:rPr>
        <w:t xml:space="preserve"> urban hospital, 2016-2020 (n=3,907)</w:t>
      </w:r>
    </w:p>
    <w:p w14:paraId="72E0C779" w14:textId="73ECFFF7" w:rsidR="009A0EBD" w:rsidRPr="00B12154" w:rsidRDefault="009A0EBD" w:rsidP="00D7615C">
      <w:pPr>
        <w:rPr>
          <w:bCs/>
        </w:rPr>
      </w:pPr>
      <w:proofErr w:type="spellStart"/>
      <w:proofErr w:type="gramStart"/>
      <w:r w:rsidRPr="00B12154">
        <w:rPr>
          <w:b/>
        </w:rPr>
        <w:t>eTable</w:t>
      </w:r>
      <w:proofErr w:type="spellEnd"/>
      <w:proofErr w:type="gramEnd"/>
      <w:r w:rsidRPr="00B12154">
        <w:rPr>
          <w:b/>
        </w:rPr>
        <w:t xml:space="preserve"> 2.</w:t>
      </w:r>
      <w:r w:rsidR="00A556EC" w:rsidRPr="00B12154">
        <w:rPr>
          <w:b/>
        </w:rPr>
        <w:t xml:space="preserve"> </w:t>
      </w:r>
      <w:r w:rsidR="00B42242" w:rsidRPr="00B12154">
        <w:rPr>
          <w:bCs/>
        </w:rPr>
        <w:t>Full Model-</w:t>
      </w:r>
      <w:r w:rsidR="00A556EC" w:rsidRPr="00B12154">
        <w:rPr>
          <w:bCs/>
        </w:rPr>
        <w:t>Extended Cox Regression analysis estimating the hazard associated with homelessness readmission to an urban hospital, 2016-2020 (n=3,907)</w:t>
      </w:r>
    </w:p>
    <w:p w14:paraId="7E3CD468" w14:textId="6BC8C34B" w:rsidR="006446A5" w:rsidRPr="00B12154" w:rsidRDefault="006446A5" w:rsidP="00D7615C">
      <w:pPr>
        <w:rPr>
          <w:bCs/>
        </w:rPr>
      </w:pPr>
      <w:proofErr w:type="spellStart"/>
      <w:proofErr w:type="gramStart"/>
      <w:r w:rsidRPr="00B12154">
        <w:rPr>
          <w:b/>
        </w:rPr>
        <w:t>eTable</w:t>
      </w:r>
      <w:proofErr w:type="spellEnd"/>
      <w:proofErr w:type="gramEnd"/>
      <w:r w:rsidRPr="00B12154">
        <w:rPr>
          <w:b/>
        </w:rPr>
        <w:t xml:space="preserve"> 3</w:t>
      </w:r>
      <w:r w:rsidRPr="00B12154">
        <w:rPr>
          <w:bCs/>
        </w:rPr>
        <w:t xml:space="preserve">. Most </w:t>
      </w:r>
      <w:r w:rsidR="004328E1" w:rsidRPr="00B12154">
        <w:rPr>
          <w:bCs/>
        </w:rPr>
        <w:t>Responsible</w:t>
      </w:r>
      <w:r w:rsidRPr="00B12154">
        <w:rPr>
          <w:bCs/>
        </w:rPr>
        <w:t xml:space="preserve"> Diagnoses</w:t>
      </w:r>
      <w:r w:rsidR="004328E1" w:rsidRPr="00B12154">
        <w:rPr>
          <w:bCs/>
        </w:rPr>
        <w:t xml:space="preserve"> Codes for patients at index admission (n</w:t>
      </w:r>
      <w:r w:rsidR="007A0FD7" w:rsidRPr="00B12154">
        <w:rPr>
          <w:bCs/>
        </w:rPr>
        <w:t>=</w:t>
      </w:r>
      <w:r w:rsidR="004328E1" w:rsidRPr="00B12154">
        <w:rPr>
          <w:bCs/>
        </w:rPr>
        <w:t>3</w:t>
      </w:r>
      <w:r w:rsidR="00577AD7">
        <w:rPr>
          <w:bCs/>
        </w:rPr>
        <w:t>,</w:t>
      </w:r>
      <w:r w:rsidR="004328E1" w:rsidRPr="00B12154">
        <w:rPr>
          <w:bCs/>
        </w:rPr>
        <w:t>907)</w:t>
      </w:r>
    </w:p>
    <w:p w14:paraId="0BED9D17" w14:textId="0FF90D1C" w:rsidR="0043415C" w:rsidRDefault="00A3269A" w:rsidP="0043415C">
      <w:pPr>
        <w:rPr>
          <w:bCs/>
        </w:rPr>
      </w:pPr>
      <w:proofErr w:type="spellStart"/>
      <w:proofErr w:type="gramStart"/>
      <w:r w:rsidRPr="00B12154">
        <w:rPr>
          <w:b/>
        </w:rPr>
        <w:t>eTable</w:t>
      </w:r>
      <w:proofErr w:type="spellEnd"/>
      <w:proofErr w:type="gramEnd"/>
      <w:r w:rsidR="0043415C" w:rsidRPr="00B12154">
        <w:rPr>
          <w:b/>
        </w:rPr>
        <w:t xml:space="preserve"> 4</w:t>
      </w:r>
      <w:r w:rsidR="0043415C" w:rsidRPr="00B12154">
        <w:rPr>
          <w:bCs/>
        </w:rPr>
        <w:t xml:space="preserve">. Most Responsible Diagnoses Codes for patients </w:t>
      </w:r>
      <w:r w:rsidR="00CC73EB" w:rsidRPr="00B12154">
        <w:rPr>
          <w:bCs/>
        </w:rPr>
        <w:t xml:space="preserve">with </w:t>
      </w:r>
      <w:r w:rsidR="00205634" w:rsidRPr="00B12154">
        <w:rPr>
          <w:bCs/>
        </w:rPr>
        <w:t xml:space="preserve">a </w:t>
      </w:r>
      <w:r w:rsidR="0043415C" w:rsidRPr="00B12154">
        <w:rPr>
          <w:bCs/>
        </w:rPr>
        <w:t>readmission</w:t>
      </w:r>
      <w:r w:rsidR="00846C1F" w:rsidRPr="00B12154">
        <w:rPr>
          <w:bCs/>
        </w:rPr>
        <w:t>(s)</w:t>
      </w:r>
      <w:r w:rsidR="0043415C" w:rsidRPr="00B12154">
        <w:rPr>
          <w:bCs/>
        </w:rPr>
        <w:t xml:space="preserve"> (n=</w:t>
      </w:r>
      <w:r w:rsidR="00F17235" w:rsidRPr="00B12154">
        <w:rPr>
          <w:bCs/>
        </w:rPr>
        <w:t>1</w:t>
      </w:r>
      <w:r w:rsidR="00577AD7">
        <w:rPr>
          <w:bCs/>
        </w:rPr>
        <w:t>,</w:t>
      </w:r>
      <w:r w:rsidR="00F17235" w:rsidRPr="00B12154">
        <w:rPr>
          <w:bCs/>
        </w:rPr>
        <w:t>494</w:t>
      </w:r>
      <w:r w:rsidR="0043415C" w:rsidRPr="00B12154">
        <w:rPr>
          <w:bCs/>
        </w:rPr>
        <w:t>)</w:t>
      </w:r>
    </w:p>
    <w:p w14:paraId="22D229BD" w14:textId="35B02B03" w:rsidR="00A3269A" w:rsidRPr="00A556EC" w:rsidRDefault="00A3269A" w:rsidP="00D7615C">
      <w:pPr>
        <w:rPr>
          <w:bCs/>
        </w:rPr>
      </w:pPr>
    </w:p>
    <w:p w14:paraId="75E71060" w14:textId="48A75EAB" w:rsidR="00D7615C" w:rsidRPr="00A556EC" w:rsidRDefault="00D7615C" w:rsidP="00D7615C">
      <w:pPr>
        <w:rPr>
          <w:bCs/>
        </w:rPr>
      </w:pPr>
    </w:p>
    <w:p w14:paraId="1F0CEB49" w14:textId="4DAB1E7E" w:rsidR="00D7615C" w:rsidRDefault="00D7615C" w:rsidP="00D7615C"/>
    <w:p w14:paraId="38BDB2D9" w14:textId="6082F7F6" w:rsidR="00D7615C" w:rsidRDefault="00D7615C" w:rsidP="00D7615C"/>
    <w:p w14:paraId="1B6F7D00" w14:textId="1F1B1A4E" w:rsidR="00D7615C" w:rsidRDefault="00D7615C" w:rsidP="00D7615C"/>
    <w:p w14:paraId="38DE6F9A" w14:textId="77777777" w:rsidR="00D7615C" w:rsidRDefault="00D7615C" w:rsidP="00D7615C"/>
    <w:p w14:paraId="79B3CB12" w14:textId="77777777" w:rsidR="00D7615C" w:rsidRDefault="00D7615C" w:rsidP="00D7615C"/>
    <w:p w14:paraId="2AE23AE8" w14:textId="48551605" w:rsidR="00D7615C" w:rsidRPr="00D7615C" w:rsidRDefault="00D7615C" w:rsidP="00D7615C">
      <w:r w:rsidRPr="00D7615C">
        <w:t xml:space="preserve">This supplementary material has been provided by the authors to give readers additional information about </w:t>
      </w:r>
      <w:r w:rsidR="00CF306A">
        <w:t>our</w:t>
      </w:r>
      <w:r w:rsidRPr="00D7615C">
        <w:t xml:space="preserve"> work. </w:t>
      </w:r>
    </w:p>
    <w:p w14:paraId="6DCCE9BD" w14:textId="692FFBD5" w:rsidR="00D7615C" w:rsidRDefault="00D7615C" w:rsidP="00D7615C"/>
    <w:p w14:paraId="70DD041A" w14:textId="69F33E99" w:rsidR="00D7615C" w:rsidRDefault="00D7615C" w:rsidP="00D7615C"/>
    <w:p w14:paraId="33B555D0" w14:textId="4EA9EB6C" w:rsidR="00D7615C" w:rsidRDefault="00D7615C" w:rsidP="00D7615C"/>
    <w:p w14:paraId="67B9666C" w14:textId="4E9B356B" w:rsidR="00D7615C" w:rsidRDefault="00D7615C" w:rsidP="00D7615C"/>
    <w:p w14:paraId="335D3133" w14:textId="19353783" w:rsidR="00D7615C" w:rsidRDefault="00D7615C" w:rsidP="00D7615C"/>
    <w:p w14:paraId="299F6918" w14:textId="638F82A7" w:rsidR="00D7615C" w:rsidRDefault="00D7615C" w:rsidP="00D7615C"/>
    <w:p w14:paraId="13941EB5" w14:textId="346AB7A8" w:rsidR="00D7615C" w:rsidRDefault="00D7615C" w:rsidP="00D7615C"/>
    <w:p w14:paraId="7D1480D1" w14:textId="169EDB7F" w:rsidR="00D7615C" w:rsidRDefault="00D7615C" w:rsidP="00D7615C"/>
    <w:p w14:paraId="67575D7E" w14:textId="1DAA9A1F" w:rsidR="00D7615C" w:rsidRDefault="00D7615C" w:rsidP="00D7615C"/>
    <w:p w14:paraId="34E74797" w14:textId="27B24BC4" w:rsidR="00D7615C" w:rsidRDefault="00D7615C" w:rsidP="00D7615C"/>
    <w:p w14:paraId="7E1164DB" w14:textId="7C5730C6" w:rsidR="00D7615C" w:rsidRDefault="00D7615C" w:rsidP="00D7615C"/>
    <w:p w14:paraId="37F708A7" w14:textId="1B13B7BA" w:rsidR="00D7615C" w:rsidRDefault="00D7615C" w:rsidP="00D7615C"/>
    <w:p w14:paraId="5E7C11DE" w14:textId="58C64D6F" w:rsidR="00D7615C" w:rsidRDefault="00D7615C" w:rsidP="00D7615C"/>
    <w:p w14:paraId="4A9588B8" w14:textId="65AADC2C" w:rsidR="00D7615C" w:rsidRDefault="00D7615C" w:rsidP="00D7615C"/>
    <w:p w14:paraId="66CD8250" w14:textId="750D1A57" w:rsidR="00D7615C" w:rsidRDefault="00D7615C" w:rsidP="00D7615C"/>
    <w:p w14:paraId="12B86F4C" w14:textId="48927B78" w:rsidR="00D7615C" w:rsidRDefault="00D7615C" w:rsidP="00D7615C"/>
    <w:p w14:paraId="369781A9" w14:textId="6D560CC7" w:rsidR="00D7615C" w:rsidRDefault="00D7615C" w:rsidP="00D7615C"/>
    <w:p w14:paraId="19352D13" w14:textId="280EF244" w:rsidR="00D7615C" w:rsidRDefault="00D7615C" w:rsidP="00D7615C"/>
    <w:p w14:paraId="6070F5AA" w14:textId="688D683A" w:rsidR="00D7615C" w:rsidRDefault="00D7615C" w:rsidP="00D7615C"/>
    <w:p w14:paraId="169EC452" w14:textId="63DE377B" w:rsidR="00D7615C" w:rsidRDefault="00D7615C" w:rsidP="00D7615C"/>
    <w:p w14:paraId="2038C431" w14:textId="77F1EABF" w:rsidR="00D7615C" w:rsidRPr="004A5C62" w:rsidRDefault="00D7615C" w:rsidP="00D7615C">
      <w:pPr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t>e</w:t>
      </w:r>
      <w:r w:rsidRPr="004A5C62">
        <w:rPr>
          <w:rFonts w:cstheme="minorHAnsi"/>
          <w:b/>
        </w:rPr>
        <w:t>Table</w:t>
      </w:r>
      <w:proofErr w:type="spellEnd"/>
      <w:proofErr w:type="gramEnd"/>
      <w:r w:rsidRPr="004A5C62">
        <w:rPr>
          <w:rFonts w:cstheme="minorHAnsi"/>
          <w:b/>
        </w:rPr>
        <w:t xml:space="preserve"> </w:t>
      </w:r>
      <w:r>
        <w:rPr>
          <w:rFonts w:cstheme="minorHAnsi"/>
          <w:b/>
        </w:rPr>
        <w:t>1</w:t>
      </w:r>
      <w:r w:rsidRPr="004A5C62">
        <w:rPr>
          <w:rFonts w:cstheme="minorHAnsi"/>
          <w:b/>
        </w:rPr>
        <w:t>: Extended Cox regression analysis estimating the hazard associated with homelessness</w:t>
      </w:r>
      <w:r w:rsidRPr="004A5C62">
        <w:rPr>
          <w:rStyle w:val="FootnoteReference"/>
          <w:rFonts w:cstheme="minorHAnsi"/>
          <w:b/>
        </w:rPr>
        <w:footnoteReference w:id="1"/>
      </w:r>
      <w:r w:rsidRPr="004A5C62">
        <w:rPr>
          <w:rFonts w:cstheme="minorHAnsi"/>
          <w:b/>
        </w:rPr>
        <w:t xml:space="preserve"> for re-hospitalizations in a </w:t>
      </w:r>
      <w:r>
        <w:rPr>
          <w:rFonts w:cstheme="minorHAnsi"/>
          <w:b/>
        </w:rPr>
        <w:t>t</w:t>
      </w:r>
      <w:r w:rsidRPr="004A5C62">
        <w:rPr>
          <w:rFonts w:cstheme="minorHAnsi"/>
          <w:b/>
        </w:rPr>
        <w:t>ertiary urban hospital, 2016-2020 (n=3,907)</w:t>
      </w:r>
    </w:p>
    <w:p w14:paraId="3CCB52C2" w14:textId="77777777" w:rsidR="00D7615C" w:rsidRPr="000407BA" w:rsidRDefault="00D7615C" w:rsidP="00D7615C">
      <w:pPr>
        <w:rPr>
          <w:rFonts w:cstheme="minorHAnsi"/>
          <w:b/>
        </w:rPr>
      </w:pPr>
      <w:r w:rsidRPr="000407BA">
        <w:rPr>
          <w:rFonts w:cstheme="minorHAnsi"/>
          <w:b/>
        </w:rPr>
        <w:t xml:space="preserve"> </w:t>
      </w:r>
    </w:p>
    <w:tbl>
      <w:tblPr>
        <w:tblW w:w="1156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343"/>
        <w:gridCol w:w="1385"/>
        <w:gridCol w:w="1330"/>
        <w:gridCol w:w="1330"/>
        <w:gridCol w:w="2394"/>
        <w:gridCol w:w="1793"/>
      </w:tblGrid>
      <w:tr w:rsidR="00D7615C" w:rsidRPr="000407BA" w14:paraId="5C6BC148" w14:textId="77777777" w:rsidTr="00E819C4">
        <w:trPr>
          <w:trHeight w:val="175"/>
        </w:trPr>
        <w:tc>
          <w:tcPr>
            <w:tcW w:w="1985" w:type="dxa"/>
          </w:tcPr>
          <w:p w14:paraId="5F32B6D7" w14:textId="77777777" w:rsidR="00D7615C" w:rsidRPr="000407BA" w:rsidRDefault="00D7615C" w:rsidP="00E819C4">
            <w:pPr>
              <w:rPr>
                <w:rFonts w:cstheme="minorHAnsi"/>
                <w:b/>
              </w:rPr>
            </w:pPr>
            <w:r w:rsidRPr="000407BA">
              <w:rPr>
                <w:rFonts w:cstheme="minorHAnsi"/>
                <w:b/>
              </w:rPr>
              <w:t>Follow-up time</w:t>
            </w:r>
          </w:p>
        </w:tc>
        <w:tc>
          <w:tcPr>
            <w:tcW w:w="1343" w:type="dxa"/>
          </w:tcPr>
          <w:p w14:paraId="379D3231" w14:textId="77777777" w:rsidR="00D7615C" w:rsidRPr="000407BA" w:rsidRDefault="00D7615C" w:rsidP="00E819C4">
            <w:pPr>
              <w:rPr>
                <w:rFonts w:cstheme="minorHAnsi"/>
                <w:b/>
              </w:rPr>
            </w:pPr>
            <w:r w:rsidRPr="000407BA">
              <w:rPr>
                <w:rFonts w:cstheme="minorHAnsi"/>
                <w:b/>
              </w:rPr>
              <w:t>Homeless status</w:t>
            </w:r>
          </w:p>
        </w:tc>
        <w:tc>
          <w:tcPr>
            <w:tcW w:w="1385" w:type="dxa"/>
          </w:tcPr>
          <w:p w14:paraId="249B64B5" w14:textId="77777777" w:rsidR="00D7615C" w:rsidRPr="000407BA" w:rsidRDefault="00D7615C" w:rsidP="00E819C4">
            <w:pPr>
              <w:rPr>
                <w:rFonts w:cstheme="minorHAnsi"/>
                <w:b/>
              </w:rPr>
            </w:pPr>
            <w:r w:rsidRPr="000407BA">
              <w:rPr>
                <w:rFonts w:cstheme="minorHAnsi"/>
                <w:b/>
              </w:rPr>
              <w:t>Total events</w:t>
            </w:r>
          </w:p>
          <w:p w14:paraId="78734499" w14:textId="77777777" w:rsidR="00D7615C" w:rsidRPr="000407BA" w:rsidRDefault="00D7615C" w:rsidP="00E819C4">
            <w:pPr>
              <w:rPr>
                <w:rFonts w:cstheme="minorHAnsi"/>
              </w:rPr>
            </w:pPr>
          </w:p>
        </w:tc>
        <w:tc>
          <w:tcPr>
            <w:tcW w:w="1330" w:type="dxa"/>
          </w:tcPr>
          <w:p w14:paraId="791BA168" w14:textId="77777777" w:rsidR="00D7615C" w:rsidRPr="000407BA" w:rsidRDefault="00D7615C" w:rsidP="00E819C4">
            <w:pPr>
              <w:rPr>
                <w:rFonts w:cstheme="minorHAnsi"/>
                <w:b/>
              </w:rPr>
            </w:pPr>
            <w:r w:rsidRPr="00D42E2D">
              <w:rPr>
                <w:rFonts w:cstheme="minorHAnsi"/>
                <w:b/>
              </w:rPr>
              <w:t>Total PDs</w:t>
            </w:r>
          </w:p>
        </w:tc>
        <w:tc>
          <w:tcPr>
            <w:tcW w:w="1330" w:type="dxa"/>
          </w:tcPr>
          <w:p w14:paraId="340C0E7D" w14:textId="77777777" w:rsidR="00D7615C" w:rsidRPr="000407BA" w:rsidRDefault="00D7615C" w:rsidP="00E819C4">
            <w:pPr>
              <w:rPr>
                <w:rFonts w:cstheme="minorHAnsi"/>
                <w:b/>
              </w:rPr>
            </w:pPr>
            <w:r w:rsidRPr="00D42E2D">
              <w:rPr>
                <w:rFonts w:cstheme="minorHAnsi"/>
                <w:b/>
              </w:rPr>
              <w:t>Incidence per PY</w:t>
            </w:r>
          </w:p>
        </w:tc>
        <w:tc>
          <w:tcPr>
            <w:tcW w:w="2394" w:type="dxa"/>
          </w:tcPr>
          <w:p w14:paraId="4D94A70D" w14:textId="77777777" w:rsidR="00D7615C" w:rsidRPr="000407BA" w:rsidRDefault="00D7615C" w:rsidP="00E819C4">
            <w:pPr>
              <w:rPr>
                <w:rFonts w:cstheme="minorHAnsi"/>
                <w:b/>
              </w:rPr>
            </w:pPr>
            <w:r w:rsidRPr="000407BA">
              <w:rPr>
                <w:rFonts w:cstheme="minorHAnsi"/>
                <w:b/>
              </w:rPr>
              <w:t>Unadjusted HR</w:t>
            </w:r>
            <w:r w:rsidRPr="000407BA">
              <w:rPr>
                <w:rFonts w:cstheme="minorHAnsi"/>
                <w:b/>
                <w:vertAlign w:val="superscript"/>
              </w:rPr>
              <w:footnoteReference w:id="2"/>
            </w:r>
            <w:r w:rsidRPr="000407BA">
              <w:rPr>
                <w:rFonts w:cstheme="minorHAnsi"/>
                <w:b/>
              </w:rPr>
              <w:t xml:space="preserve"> </w:t>
            </w:r>
          </w:p>
          <w:p w14:paraId="5AD98F2A" w14:textId="77777777" w:rsidR="00D7615C" w:rsidRPr="000407BA" w:rsidRDefault="00D7615C" w:rsidP="00E819C4">
            <w:pPr>
              <w:rPr>
                <w:rFonts w:cstheme="minorHAnsi"/>
                <w:b/>
              </w:rPr>
            </w:pPr>
            <w:r w:rsidRPr="000407BA">
              <w:rPr>
                <w:rFonts w:cstheme="minorHAnsi"/>
                <w:b/>
              </w:rPr>
              <w:t>(95% CI</w:t>
            </w:r>
            <w:r w:rsidRPr="000407BA">
              <w:rPr>
                <w:rFonts w:cstheme="minorHAnsi"/>
                <w:vertAlign w:val="superscript"/>
              </w:rPr>
              <w:footnoteReference w:id="3"/>
            </w:r>
            <w:r w:rsidRPr="000407BA">
              <w:rPr>
                <w:rFonts w:cstheme="minorHAnsi"/>
                <w:b/>
              </w:rPr>
              <w:t>)</w:t>
            </w:r>
          </w:p>
        </w:tc>
        <w:tc>
          <w:tcPr>
            <w:tcW w:w="1793" w:type="dxa"/>
          </w:tcPr>
          <w:p w14:paraId="6756183F" w14:textId="77777777" w:rsidR="00D7615C" w:rsidRPr="000407BA" w:rsidRDefault="00D7615C" w:rsidP="00E819C4">
            <w:pPr>
              <w:rPr>
                <w:rFonts w:cstheme="minorHAnsi"/>
                <w:b/>
              </w:rPr>
            </w:pPr>
            <w:r w:rsidRPr="000407BA">
              <w:rPr>
                <w:rFonts w:cstheme="minorHAnsi"/>
                <w:b/>
              </w:rPr>
              <w:t>Adjusted HR</w:t>
            </w:r>
            <w:r w:rsidRPr="000407BA">
              <w:rPr>
                <w:rFonts w:cstheme="minorHAnsi"/>
                <w:b/>
                <w:vertAlign w:val="superscript"/>
              </w:rPr>
              <w:footnoteReference w:id="4"/>
            </w:r>
            <w:r w:rsidRPr="000407BA">
              <w:rPr>
                <w:rFonts w:cstheme="minorHAnsi"/>
                <w:b/>
              </w:rPr>
              <w:t xml:space="preserve"> </w:t>
            </w:r>
          </w:p>
          <w:p w14:paraId="6CED087E" w14:textId="77777777" w:rsidR="00D7615C" w:rsidRPr="000407BA" w:rsidRDefault="00D7615C" w:rsidP="00E819C4">
            <w:pPr>
              <w:rPr>
                <w:rFonts w:cstheme="minorHAnsi"/>
                <w:b/>
              </w:rPr>
            </w:pPr>
            <w:r w:rsidRPr="000407BA">
              <w:rPr>
                <w:rFonts w:cstheme="minorHAnsi"/>
                <w:b/>
              </w:rPr>
              <w:t>(95% CI)</w:t>
            </w:r>
          </w:p>
        </w:tc>
      </w:tr>
      <w:tr w:rsidR="00D7615C" w:rsidRPr="000407BA" w14:paraId="1C72EFE1" w14:textId="77777777" w:rsidTr="00E819C4">
        <w:trPr>
          <w:trHeight w:val="477"/>
        </w:trPr>
        <w:tc>
          <w:tcPr>
            <w:tcW w:w="1985" w:type="dxa"/>
          </w:tcPr>
          <w:p w14:paraId="2CE2DC92" w14:textId="77777777" w:rsidR="00D7615C" w:rsidRPr="000407BA" w:rsidRDefault="00D7615C" w:rsidP="00E819C4">
            <w:pPr>
              <w:rPr>
                <w:rFonts w:cstheme="minorHAnsi"/>
              </w:rPr>
            </w:pPr>
            <w:r w:rsidRPr="000407BA">
              <w:rPr>
                <w:rFonts w:eastAsia="Arial Unicode MS" w:cstheme="minorHAnsi"/>
              </w:rPr>
              <w:t>≤</w:t>
            </w:r>
            <w:r>
              <w:rPr>
                <w:rFonts w:eastAsia="Arial Unicode MS" w:cstheme="minorHAnsi"/>
              </w:rPr>
              <w:t>30</w:t>
            </w:r>
            <w:r w:rsidRPr="000407BA">
              <w:rPr>
                <w:rFonts w:eastAsia="Arial Unicode MS" w:cstheme="minorHAnsi"/>
              </w:rPr>
              <w:t xml:space="preserve"> days</w:t>
            </w:r>
          </w:p>
        </w:tc>
        <w:tc>
          <w:tcPr>
            <w:tcW w:w="1343" w:type="dxa"/>
          </w:tcPr>
          <w:p w14:paraId="163498B8" w14:textId="77777777" w:rsidR="00D7615C" w:rsidRPr="000407BA" w:rsidRDefault="00D7615C" w:rsidP="00E819C4">
            <w:pPr>
              <w:rPr>
                <w:rFonts w:cstheme="minorHAnsi"/>
              </w:rPr>
            </w:pPr>
            <w:r w:rsidRPr="000407BA">
              <w:rPr>
                <w:rFonts w:cstheme="minorHAnsi"/>
              </w:rPr>
              <w:t xml:space="preserve">No  </w:t>
            </w:r>
          </w:p>
          <w:p w14:paraId="7AD38FD9" w14:textId="77777777" w:rsidR="00D7615C" w:rsidRPr="000407BA" w:rsidRDefault="00D7615C" w:rsidP="00E819C4">
            <w:pPr>
              <w:rPr>
                <w:rFonts w:cstheme="minorHAnsi"/>
              </w:rPr>
            </w:pPr>
            <w:r w:rsidRPr="000407BA">
              <w:rPr>
                <w:rFonts w:cstheme="minorHAnsi"/>
              </w:rPr>
              <w:t xml:space="preserve">Yes  </w:t>
            </w:r>
          </w:p>
        </w:tc>
        <w:tc>
          <w:tcPr>
            <w:tcW w:w="1385" w:type="dxa"/>
          </w:tcPr>
          <w:p w14:paraId="21428333" w14:textId="77777777" w:rsidR="00D7615C" w:rsidRPr="00D42E2D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>3</w:t>
            </w:r>
            <w:r>
              <w:rPr>
                <w:rFonts w:cstheme="minorHAnsi"/>
              </w:rPr>
              <w:t>57</w:t>
            </w:r>
          </w:p>
          <w:p w14:paraId="0FB00FAD" w14:textId="77777777" w:rsidR="00D7615C" w:rsidRPr="000407BA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>1</w:t>
            </w:r>
            <w:r>
              <w:rPr>
                <w:rFonts w:cstheme="minorHAnsi"/>
              </w:rPr>
              <w:t>32</w:t>
            </w:r>
          </w:p>
        </w:tc>
        <w:tc>
          <w:tcPr>
            <w:tcW w:w="1330" w:type="dxa"/>
          </w:tcPr>
          <w:p w14:paraId="705612A5" w14:textId="77777777" w:rsidR="00D7615C" w:rsidRDefault="00D7615C" w:rsidP="00E819C4">
            <w:pPr>
              <w:rPr>
                <w:rFonts w:cstheme="minorHAnsi"/>
              </w:rPr>
            </w:pPr>
            <w:r w:rsidRPr="00D76FFB">
              <w:rPr>
                <w:rFonts w:cstheme="minorHAnsi"/>
              </w:rPr>
              <w:t>92</w:t>
            </w:r>
            <w:r>
              <w:rPr>
                <w:rFonts w:cstheme="minorHAnsi"/>
              </w:rPr>
              <w:t>,</w:t>
            </w:r>
            <w:r w:rsidRPr="00D76FFB">
              <w:rPr>
                <w:rFonts w:cstheme="minorHAnsi"/>
              </w:rPr>
              <w:t>094</w:t>
            </w:r>
          </w:p>
          <w:p w14:paraId="311649FD" w14:textId="77777777" w:rsidR="00D7615C" w:rsidRPr="000407BA" w:rsidRDefault="00D7615C" w:rsidP="00E819C4">
            <w:pPr>
              <w:rPr>
                <w:rFonts w:cstheme="minorHAnsi"/>
              </w:rPr>
            </w:pPr>
            <w:r w:rsidRPr="00D76FFB">
              <w:rPr>
                <w:rFonts w:cstheme="minorHAnsi"/>
              </w:rPr>
              <w:t>19</w:t>
            </w:r>
            <w:r>
              <w:rPr>
                <w:rFonts w:cstheme="minorHAnsi"/>
              </w:rPr>
              <w:t>,</w:t>
            </w:r>
            <w:r w:rsidRPr="00D76FFB">
              <w:rPr>
                <w:rFonts w:cstheme="minorHAnsi"/>
              </w:rPr>
              <w:t>119</w:t>
            </w:r>
          </w:p>
        </w:tc>
        <w:tc>
          <w:tcPr>
            <w:tcW w:w="1330" w:type="dxa"/>
          </w:tcPr>
          <w:p w14:paraId="3F21471A" w14:textId="77777777" w:rsidR="00D7615C" w:rsidRPr="00D42E2D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41</w:t>
            </w:r>
          </w:p>
          <w:p w14:paraId="7AB18244" w14:textId="77777777" w:rsidR="00D7615C" w:rsidRPr="000407BA" w:rsidRDefault="00D7615C" w:rsidP="00E819C4">
            <w:pPr>
              <w:rPr>
                <w:rFonts w:cstheme="minorHAnsi"/>
                <w:b/>
              </w:rPr>
            </w:pPr>
            <w:r w:rsidRPr="00D42E2D">
              <w:rPr>
                <w:rFonts w:cstheme="minorHAnsi"/>
              </w:rPr>
              <w:t>2.</w:t>
            </w:r>
            <w:r>
              <w:rPr>
                <w:rFonts w:cstheme="minorHAnsi"/>
              </w:rPr>
              <w:t>52</w:t>
            </w:r>
          </w:p>
        </w:tc>
        <w:tc>
          <w:tcPr>
            <w:tcW w:w="2394" w:type="dxa"/>
          </w:tcPr>
          <w:p w14:paraId="06DF5208" w14:textId="77777777" w:rsidR="00D7615C" w:rsidRPr="00D42E2D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 xml:space="preserve">Reference </w:t>
            </w:r>
          </w:p>
          <w:p w14:paraId="405AC2F7" w14:textId="77777777" w:rsidR="00D7615C" w:rsidRPr="000407BA" w:rsidRDefault="00D7615C" w:rsidP="00E819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1.78</w:t>
            </w:r>
            <w:r w:rsidRPr="00D42E2D">
              <w:rPr>
                <w:rFonts w:cstheme="minorHAnsi"/>
                <w:b/>
              </w:rPr>
              <w:t xml:space="preserve"> (1.</w:t>
            </w:r>
            <w:r>
              <w:rPr>
                <w:rFonts w:cstheme="minorHAnsi"/>
                <w:b/>
              </w:rPr>
              <w:t>43</w:t>
            </w:r>
            <w:r w:rsidRPr="00D42E2D">
              <w:rPr>
                <w:rFonts w:cstheme="minorHAnsi"/>
                <w:b/>
              </w:rPr>
              <w:t>, 2.</w:t>
            </w:r>
            <w:r>
              <w:rPr>
                <w:rFonts w:cstheme="minorHAnsi"/>
                <w:b/>
              </w:rPr>
              <w:t>20</w:t>
            </w:r>
            <w:r w:rsidRPr="00D42E2D">
              <w:rPr>
                <w:rFonts w:cstheme="minorHAnsi"/>
                <w:b/>
              </w:rPr>
              <w:t>)</w:t>
            </w:r>
          </w:p>
        </w:tc>
        <w:tc>
          <w:tcPr>
            <w:tcW w:w="1793" w:type="dxa"/>
          </w:tcPr>
          <w:p w14:paraId="74F65133" w14:textId="77777777" w:rsidR="00D7615C" w:rsidRPr="00D42E2D" w:rsidRDefault="00D7615C" w:rsidP="00E819C4">
            <w:pPr>
              <w:ind w:right="-108"/>
              <w:rPr>
                <w:rFonts w:cstheme="minorHAnsi"/>
              </w:rPr>
            </w:pPr>
            <w:r w:rsidRPr="00D42E2D">
              <w:rPr>
                <w:rFonts w:cstheme="minorHAnsi"/>
              </w:rPr>
              <w:t>Reference</w:t>
            </w:r>
          </w:p>
          <w:p w14:paraId="2895F8B5" w14:textId="77777777" w:rsidR="00D7615C" w:rsidRPr="000407BA" w:rsidRDefault="00D7615C" w:rsidP="00E819C4">
            <w:pPr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1.75</w:t>
            </w:r>
            <w:r w:rsidRPr="00D42E2D">
              <w:rPr>
                <w:rFonts w:cstheme="minorHAnsi"/>
                <w:b/>
              </w:rPr>
              <w:t xml:space="preserve"> (1.</w:t>
            </w:r>
            <w:r>
              <w:rPr>
                <w:rFonts w:cstheme="minorHAnsi"/>
                <w:b/>
              </w:rPr>
              <w:t>41</w:t>
            </w:r>
            <w:r w:rsidRPr="00D42E2D">
              <w:rPr>
                <w:rFonts w:cstheme="minorHAnsi"/>
                <w:b/>
              </w:rPr>
              <w:t>, 2.</w:t>
            </w:r>
            <w:r>
              <w:rPr>
                <w:rFonts w:cstheme="minorHAnsi"/>
                <w:b/>
              </w:rPr>
              <w:t>18</w:t>
            </w:r>
            <w:r w:rsidRPr="00D42E2D">
              <w:rPr>
                <w:rFonts w:cstheme="minorHAnsi"/>
                <w:b/>
              </w:rPr>
              <w:t>)</w:t>
            </w:r>
          </w:p>
        </w:tc>
      </w:tr>
      <w:tr w:rsidR="00D7615C" w:rsidRPr="000407BA" w14:paraId="3B587260" w14:textId="77777777" w:rsidTr="00E819C4">
        <w:trPr>
          <w:trHeight w:val="135"/>
        </w:trPr>
        <w:tc>
          <w:tcPr>
            <w:tcW w:w="1985" w:type="dxa"/>
          </w:tcPr>
          <w:p w14:paraId="00694017" w14:textId="77777777" w:rsidR="00D7615C" w:rsidRPr="000407BA" w:rsidRDefault="00D7615C" w:rsidP="00E819C4">
            <w:pPr>
              <w:rPr>
                <w:rFonts w:cstheme="minorHAnsi"/>
              </w:rPr>
            </w:pPr>
            <w:r w:rsidRPr="000407BA">
              <w:rPr>
                <w:rFonts w:eastAsia="Arial Unicode MS" w:cstheme="minorHAnsi"/>
              </w:rPr>
              <w:t>3</w:t>
            </w:r>
            <w:r>
              <w:rPr>
                <w:rFonts w:eastAsia="Arial Unicode MS" w:cstheme="minorHAnsi"/>
              </w:rPr>
              <w:t>1</w:t>
            </w:r>
            <w:r w:rsidRPr="000407BA">
              <w:rPr>
                <w:rFonts w:eastAsia="Arial Unicode MS" w:cstheme="minorHAnsi"/>
              </w:rPr>
              <w:t>-</w:t>
            </w:r>
            <w:r>
              <w:rPr>
                <w:rFonts w:eastAsia="Arial Unicode MS" w:cstheme="minorHAnsi"/>
              </w:rPr>
              <w:t>9</w:t>
            </w:r>
            <w:r w:rsidRPr="000407BA">
              <w:rPr>
                <w:rFonts w:eastAsia="Arial Unicode MS" w:cstheme="minorHAnsi"/>
              </w:rPr>
              <w:t>0 days</w:t>
            </w:r>
          </w:p>
        </w:tc>
        <w:tc>
          <w:tcPr>
            <w:tcW w:w="1343" w:type="dxa"/>
          </w:tcPr>
          <w:p w14:paraId="60CC726B" w14:textId="77777777" w:rsidR="00D7615C" w:rsidRPr="000407BA" w:rsidRDefault="00D7615C" w:rsidP="00E819C4">
            <w:pPr>
              <w:rPr>
                <w:rFonts w:cstheme="minorHAnsi"/>
              </w:rPr>
            </w:pPr>
            <w:r w:rsidRPr="000407BA">
              <w:rPr>
                <w:rFonts w:cstheme="minorHAnsi"/>
              </w:rPr>
              <w:t>No</w:t>
            </w:r>
          </w:p>
          <w:p w14:paraId="1E4E5854" w14:textId="77777777" w:rsidR="00D7615C" w:rsidRPr="000407BA" w:rsidRDefault="00D7615C" w:rsidP="00E819C4">
            <w:pPr>
              <w:rPr>
                <w:rFonts w:cstheme="minorHAnsi"/>
              </w:rPr>
            </w:pPr>
            <w:r w:rsidRPr="000407BA">
              <w:rPr>
                <w:rFonts w:cstheme="minorHAnsi"/>
              </w:rPr>
              <w:t xml:space="preserve">Yes  </w:t>
            </w:r>
          </w:p>
        </w:tc>
        <w:tc>
          <w:tcPr>
            <w:tcW w:w="1385" w:type="dxa"/>
          </w:tcPr>
          <w:p w14:paraId="3E9F4E21" w14:textId="77777777" w:rsidR="00D7615C" w:rsidRPr="00D42E2D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>2</w:t>
            </w:r>
            <w:r>
              <w:rPr>
                <w:rFonts w:cstheme="minorHAnsi"/>
              </w:rPr>
              <w:t>55</w:t>
            </w:r>
          </w:p>
          <w:p w14:paraId="00852A00" w14:textId="77777777" w:rsidR="00D7615C" w:rsidRPr="000407BA" w:rsidRDefault="00D7615C" w:rsidP="00E819C4">
            <w:pPr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1330" w:type="dxa"/>
          </w:tcPr>
          <w:p w14:paraId="0FA8E598" w14:textId="77777777" w:rsidR="00D7615C" w:rsidRDefault="00D7615C" w:rsidP="00E819C4">
            <w:pPr>
              <w:rPr>
                <w:rFonts w:cstheme="minorHAnsi"/>
              </w:rPr>
            </w:pPr>
            <w:r w:rsidRPr="00D76FFB">
              <w:rPr>
                <w:rFonts w:cstheme="minorHAnsi"/>
              </w:rPr>
              <w:t>181</w:t>
            </w:r>
            <w:r>
              <w:rPr>
                <w:rFonts w:cstheme="minorHAnsi"/>
              </w:rPr>
              <w:t>,</w:t>
            </w:r>
            <w:r w:rsidRPr="00D76FFB">
              <w:rPr>
                <w:rFonts w:cstheme="minorHAnsi"/>
              </w:rPr>
              <w:t>828</w:t>
            </w:r>
          </w:p>
          <w:p w14:paraId="5D7CB669" w14:textId="77777777" w:rsidR="00D7615C" w:rsidRPr="000407BA" w:rsidRDefault="00D7615C" w:rsidP="00E819C4">
            <w:pPr>
              <w:rPr>
                <w:rFonts w:cstheme="minorHAnsi"/>
              </w:rPr>
            </w:pPr>
            <w:r w:rsidRPr="00D76FFB">
              <w:rPr>
                <w:rFonts w:cstheme="minorHAnsi"/>
              </w:rPr>
              <w:t>38</w:t>
            </w:r>
            <w:r>
              <w:rPr>
                <w:rFonts w:cstheme="minorHAnsi"/>
              </w:rPr>
              <w:t>,</w:t>
            </w:r>
            <w:r w:rsidRPr="00D76FFB">
              <w:rPr>
                <w:rFonts w:cstheme="minorHAnsi"/>
              </w:rPr>
              <w:t>573</w:t>
            </w:r>
          </w:p>
        </w:tc>
        <w:tc>
          <w:tcPr>
            <w:tcW w:w="1330" w:type="dxa"/>
          </w:tcPr>
          <w:p w14:paraId="146EB659" w14:textId="77777777" w:rsidR="00D7615C" w:rsidRPr="00D42E2D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51</w:t>
            </w:r>
          </w:p>
          <w:p w14:paraId="7656282E" w14:textId="77777777" w:rsidR="00D7615C" w:rsidRPr="000407BA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63</w:t>
            </w:r>
          </w:p>
        </w:tc>
        <w:tc>
          <w:tcPr>
            <w:tcW w:w="2394" w:type="dxa"/>
          </w:tcPr>
          <w:p w14:paraId="62506139" w14:textId="77777777" w:rsidR="00D7615C" w:rsidRPr="00D42E2D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 xml:space="preserve">Reference </w:t>
            </w:r>
          </w:p>
          <w:p w14:paraId="40AEB2EE" w14:textId="77777777" w:rsidR="00D7615C" w:rsidRPr="00D36114" w:rsidRDefault="00D7615C" w:rsidP="00E819C4">
            <w:pPr>
              <w:rPr>
                <w:rFonts w:cstheme="minorHAnsi"/>
              </w:rPr>
            </w:pPr>
            <w:r w:rsidRPr="00D36114">
              <w:rPr>
                <w:rFonts w:cstheme="minorHAnsi"/>
              </w:rPr>
              <w:t>1.24 (0.91, 1.69)</w:t>
            </w:r>
          </w:p>
        </w:tc>
        <w:tc>
          <w:tcPr>
            <w:tcW w:w="1793" w:type="dxa"/>
          </w:tcPr>
          <w:p w14:paraId="09132B88" w14:textId="77777777" w:rsidR="00D7615C" w:rsidRPr="00D42E2D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>Reference</w:t>
            </w:r>
          </w:p>
          <w:p w14:paraId="3F79B66E" w14:textId="77777777" w:rsidR="00D7615C" w:rsidRPr="004D1D30" w:rsidRDefault="00D7615C" w:rsidP="00E819C4">
            <w:pPr>
              <w:rPr>
                <w:rFonts w:cstheme="minorHAnsi"/>
              </w:rPr>
            </w:pPr>
            <w:r w:rsidRPr="004D1D30">
              <w:rPr>
                <w:rFonts w:cstheme="minorHAnsi"/>
              </w:rPr>
              <w:t>1.22 (</w:t>
            </w:r>
            <w:r>
              <w:rPr>
                <w:rFonts w:cstheme="minorHAnsi"/>
              </w:rPr>
              <w:t>0.89</w:t>
            </w:r>
            <w:r w:rsidRPr="004D1D3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1.67</w:t>
            </w:r>
            <w:r w:rsidRPr="004D1D30">
              <w:rPr>
                <w:rFonts w:cstheme="minorHAnsi"/>
              </w:rPr>
              <w:t>)</w:t>
            </w:r>
          </w:p>
        </w:tc>
      </w:tr>
      <w:tr w:rsidR="00D7615C" w:rsidRPr="000407BA" w14:paraId="55CF41F6" w14:textId="77777777" w:rsidTr="00E819C4">
        <w:trPr>
          <w:trHeight w:val="465"/>
        </w:trPr>
        <w:tc>
          <w:tcPr>
            <w:tcW w:w="1985" w:type="dxa"/>
          </w:tcPr>
          <w:p w14:paraId="4B28B39A" w14:textId="77777777" w:rsidR="00D7615C" w:rsidRPr="000407BA" w:rsidRDefault="00D7615C" w:rsidP="00E819C4">
            <w:pPr>
              <w:rPr>
                <w:rFonts w:cstheme="minorHAnsi"/>
              </w:rPr>
            </w:pPr>
            <w:r>
              <w:rPr>
                <w:rFonts w:cstheme="minorHAnsi"/>
              </w:rPr>
              <w:t>91-365</w:t>
            </w:r>
            <w:r w:rsidRPr="000407BA">
              <w:rPr>
                <w:rFonts w:cstheme="minorHAnsi"/>
              </w:rPr>
              <w:t xml:space="preserve"> days</w:t>
            </w:r>
          </w:p>
        </w:tc>
        <w:tc>
          <w:tcPr>
            <w:tcW w:w="1343" w:type="dxa"/>
          </w:tcPr>
          <w:p w14:paraId="737EF5E8" w14:textId="77777777" w:rsidR="00D7615C" w:rsidRPr="000407BA" w:rsidRDefault="00D7615C" w:rsidP="00E819C4">
            <w:pPr>
              <w:rPr>
                <w:rFonts w:cstheme="minorHAnsi"/>
              </w:rPr>
            </w:pPr>
            <w:r w:rsidRPr="000407BA">
              <w:rPr>
                <w:rFonts w:cstheme="minorHAnsi"/>
              </w:rPr>
              <w:t>No</w:t>
            </w:r>
          </w:p>
          <w:p w14:paraId="68ACB2C0" w14:textId="77777777" w:rsidR="00D7615C" w:rsidRPr="000407BA" w:rsidRDefault="00D7615C" w:rsidP="00E819C4">
            <w:pPr>
              <w:rPr>
                <w:rFonts w:cstheme="minorHAnsi"/>
              </w:rPr>
            </w:pPr>
            <w:r w:rsidRPr="000407BA">
              <w:rPr>
                <w:rFonts w:cstheme="minorHAnsi"/>
              </w:rPr>
              <w:t xml:space="preserve">Yes  </w:t>
            </w:r>
          </w:p>
        </w:tc>
        <w:tc>
          <w:tcPr>
            <w:tcW w:w="1385" w:type="dxa"/>
          </w:tcPr>
          <w:p w14:paraId="44525820" w14:textId="77777777" w:rsidR="00D7615C" w:rsidRPr="00D42E2D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>5</w:t>
            </w:r>
            <w:r>
              <w:rPr>
                <w:rFonts w:cstheme="minorHAnsi"/>
              </w:rPr>
              <w:t>25</w:t>
            </w:r>
          </w:p>
          <w:p w14:paraId="260B9E71" w14:textId="77777777" w:rsidR="00D7615C" w:rsidRPr="000407BA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>1</w:t>
            </w:r>
            <w:r>
              <w:rPr>
                <w:rFonts w:cstheme="minorHAnsi"/>
              </w:rPr>
              <w:t>58</w:t>
            </w:r>
          </w:p>
        </w:tc>
        <w:tc>
          <w:tcPr>
            <w:tcW w:w="1330" w:type="dxa"/>
          </w:tcPr>
          <w:p w14:paraId="26CA0E39" w14:textId="77777777" w:rsidR="00D7615C" w:rsidRDefault="00D7615C" w:rsidP="00E819C4">
            <w:pPr>
              <w:rPr>
                <w:rFonts w:cstheme="minorHAnsi"/>
              </w:rPr>
            </w:pPr>
            <w:r w:rsidRPr="00D76FFB">
              <w:rPr>
                <w:rFonts w:cstheme="minorHAnsi"/>
              </w:rPr>
              <w:t>758</w:t>
            </w:r>
            <w:r>
              <w:rPr>
                <w:rFonts w:cstheme="minorHAnsi"/>
              </w:rPr>
              <w:t>,</w:t>
            </w:r>
            <w:r w:rsidRPr="00D76FFB">
              <w:rPr>
                <w:rFonts w:cstheme="minorHAnsi"/>
              </w:rPr>
              <w:t>86</w:t>
            </w:r>
            <w:r>
              <w:rPr>
                <w:rFonts w:cstheme="minorHAnsi"/>
              </w:rPr>
              <w:t>7</w:t>
            </w:r>
          </w:p>
          <w:p w14:paraId="30906AE3" w14:textId="77777777" w:rsidR="00D7615C" w:rsidRPr="000407BA" w:rsidRDefault="00D7615C" w:rsidP="00E819C4">
            <w:pPr>
              <w:rPr>
                <w:rFonts w:cstheme="minorHAnsi"/>
              </w:rPr>
            </w:pPr>
            <w:r w:rsidRPr="00D76FFB">
              <w:rPr>
                <w:rFonts w:cstheme="minorHAnsi"/>
              </w:rPr>
              <w:t>167</w:t>
            </w:r>
            <w:r>
              <w:rPr>
                <w:rFonts w:cstheme="minorHAnsi"/>
              </w:rPr>
              <w:t>,</w:t>
            </w:r>
            <w:r w:rsidRPr="00D76FFB">
              <w:rPr>
                <w:rFonts w:cstheme="minorHAnsi"/>
              </w:rPr>
              <w:t>919</w:t>
            </w:r>
          </w:p>
        </w:tc>
        <w:tc>
          <w:tcPr>
            <w:tcW w:w="1330" w:type="dxa"/>
          </w:tcPr>
          <w:p w14:paraId="2F615990" w14:textId="77777777" w:rsidR="00D7615C" w:rsidRPr="00D42E2D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>0.2</w:t>
            </w:r>
            <w:r>
              <w:rPr>
                <w:rFonts w:cstheme="minorHAnsi"/>
              </w:rPr>
              <w:t>5</w:t>
            </w:r>
          </w:p>
          <w:p w14:paraId="44B5ADA6" w14:textId="77777777" w:rsidR="00D7615C" w:rsidRPr="000407BA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>0.3</w:t>
            </w:r>
            <w:r>
              <w:rPr>
                <w:rFonts w:cstheme="minorHAnsi"/>
              </w:rPr>
              <w:t>4</w:t>
            </w:r>
          </w:p>
        </w:tc>
        <w:tc>
          <w:tcPr>
            <w:tcW w:w="2394" w:type="dxa"/>
          </w:tcPr>
          <w:p w14:paraId="08D385F6" w14:textId="77777777" w:rsidR="00D7615C" w:rsidRPr="00D42E2D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 xml:space="preserve">Reference </w:t>
            </w:r>
          </w:p>
          <w:p w14:paraId="35C6DAE0" w14:textId="77777777" w:rsidR="00D7615C" w:rsidRPr="000407BA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>36</w:t>
            </w:r>
            <w:r w:rsidRPr="00D42E2D">
              <w:rPr>
                <w:rFonts w:cstheme="minorHAnsi"/>
                <w:b/>
              </w:rPr>
              <w:t xml:space="preserve"> (1.</w:t>
            </w:r>
            <w:r>
              <w:rPr>
                <w:rFonts w:cstheme="minorHAnsi"/>
                <w:b/>
              </w:rPr>
              <w:t>09</w:t>
            </w:r>
            <w:r w:rsidRPr="00D42E2D">
              <w:rPr>
                <w:rFonts w:cstheme="minorHAnsi"/>
                <w:b/>
              </w:rPr>
              <w:t>, 1.</w:t>
            </w:r>
            <w:r>
              <w:rPr>
                <w:rFonts w:cstheme="minorHAnsi"/>
                <w:b/>
              </w:rPr>
              <w:t>70</w:t>
            </w:r>
            <w:r w:rsidRPr="00D42E2D">
              <w:rPr>
                <w:rFonts w:cstheme="minorHAnsi"/>
                <w:b/>
              </w:rPr>
              <w:t>)</w:t>
            </w:r>
          </w:p>
        </w:tc>
        <w:tc>
          <w:tcPr>
            <w:tcW w:w="1793" w:type="dxa"/>
          </w:tcPr>
          <w:p w14:paraId="28C7992B" w14:textId="77777777" w:rsidR="00D7615C" w:rsidRPr="00D42E2D" w:rsidRDefault="00D7615C" w:rsidP="00E819C4">
            <w:pPr>
              <w:ind w:right="-108"/>
              <w:rPr>
                <w:rFonts w:cstheme="minorHAnsi"/>
              </w:rPr>
            </w:pPr>
            <w:r w:rsidRPr="00D42E2D">
              <w:rPr>
                <w:rFonts w:cstheme="minorHAnsi"/>
              </w:rPr>
              <w:t>Reference</w:t>
            </w:r>
          </w:p>
          <w:p w14:paraId="0C4BDFA4" w14:textId="77777777" w:rsidR="00D7615C" w:rsidRPr="000407BA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>34</w:t>
            </w:r>
            <w:r w:rsidRPr="00D42E2D">
              <w:rPr>
                <w:rFonts w:cstheme="minorHAnsi"/>
                <w:b/>
              </w:rPr>
              <w:t xml:space="preserve"> (1.</w:t>
            </w:r>
            <w:r>
              <w:rPr>
                <w:rFonts w:cstheme="minorHAnsi"/>
                <w:b/>
              </w:rPr>
              <w:t>07</w:t>
            </w:r>
            <w:r w:rsidRPr="00D42E2D">
              <w:rPr>
                <w:rFonts w:cstheme="minorHAnsi"/>
                <w:b/>
              </w:rPr>
              <w:t>, 1.</w:t>
            </w:r>
            <w:r>
              <w:rPr>
                <w:rFonts w:cstheme="minorHAnsi"/>
                <w:b/>
              </w:rPr>
              <w:t>68</w:t>
            </w:r>
            <w:r w:rsidRPr="00D42E2D">
              <w:rPr>
                <w:rFonts w:cstheme="minorHAnsi"/>
                <w:b/>
              </w:rPr>
              <w:t>)</w:t>
            </w:r>
          </w:p>
        </w:tc>
      </w:tr>
      <w:tr w:rsidR="00D7615C" w:rsidRPr="000407BA" w14:paraId="2E26BAB5" w14:textId="77777777" w:rsidTr="00E819C4">
        <w:trPr>
          <w:trHeight w:val="135"/>
        </w:trPr>
        <w:tc>
          <w:tcPr>
            <w:tcW w:w="1985" w:type="dxa"/>
          </w:tcPr>
          <w:p w14:paraId="0B225ABB" w14:textId="77777777" w:rsidR="00D7615C" w:rsidRPr="000407BA" w:rsidRDefault="00D7615C" w:rsidP="00E819C4">
            <w:pPr>
              <w:rPr>
                <w:rFonts w:cstheme="minorHAnsi"/>
              </w:rPr>
            </w:pPr>
            <w:r w:rsidRPr="000407BA">
              <w:rPr>
                <w:rFonts w:cstheme="minorHAnsi"/>
              </w:rPr>
              <w:t xml:space="preserve">Overall </w:t>
            </w:r>
          </w:p>
        </w:tc>
        <w:tc>
          <w:tcPr>
            <w:tcW w:w="1343" w:type="dxa"/>
          </w:tcPr>
          <w:p w14:paraId="3FFF5BAD" w14:textId="77777777" w:rsidR="00D7615C" w:rsidRPr="000407BA" w:rsidRDefault="00D7615C" w:rsidP="00E819C4">
            <w:pPr>
              <w:rPr>
                <w:rFonts w:cstheme="minorHAnsi"/>
              </w:rPr>
            </w:pPr>
            <w:r w:rsidRPr="000407BA">
              <w:rPr>
                <w:rFonts w:cstheme="minorHAnsi"/>
              </w:rPr>
              <w:t>No</w:t>
            </w:r>
          </w:p>
          <w:p w14:paraId="426CC7FA" w14:textId="77777777" w:rsidR="00D7615C" w:rsidRPr="000407BA" w:rsidRDefault="00D7615C" w:rsidP="00E819C4">
            <w:pPr>
              <w:rPr>
                <w:rFonts w:cstheme="minorHAnsi"/>
              </w:rPr>
            </w:pPr>
            <w:r w:rsidRPr="000407BA">
              <w:rPr>
                <w:rFonts w:cstheme="minorHAnsi"/>
              </w:rPr>
              <w:t>Yes</w:t>
            </w:r>
          </w:p>
        </w:tc>
        <w:tc>
          <w:tcPr>
            <w:tcW w:w="1385" w:type="dxa"/>
          </w:tcPr>
          <w:p w14:paraId="62408A46" w14:textId="77777777" w:rsidR="00D7615C" w:rsidRPr="00D42E2D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>1,</w:t>
            </w:r>
            <w:r>
              <w:rPr>
                <w:rFonts w:cstheme="minorHAnsi"/>
              </w:rPr>
              <w:t>137</w:t>
            </w:r>
          </w:p>
          <w:p w14:paraId="61059211" w14:textId="77777777" w:rsidR="00D7615C" w:rsidRPr="000407BA" w:rsidRDefault="00D7615C" w:rsidP="00E819C4">
            <w:pPr>
              <w:rPr>
                <w:rFonts w:cstheme="minorHAnsi"/>
              </w:rPr>
            </w:pPr>
            <w:r>
              <w:rPr>
                <w:rFonts w:cstheme="minorHAnsi"/>
              </w:rPr>
              <w:t>357</w:t>
            </w:r>
          </w:p>
        </w:tc>
        <w:tc>
          <w:tcPr>
            <w:tcW w:w="1330" w:type="dxa"/>
          </w:tcPr>
          <w:p w14:paraId="2DC192EF" w14:textId="77777777" w:rsidR="00D7615C" w:rsidRDefault="00D7615C" w:rsidP="00E819C4">
            <w:pPr>
              <w:rPr>
                <w:rFonts w:cstheme="minorHAnsi"/>
              </w:rPr>
            </w:pPr>
            <w:r w:rsidRPr="00AA7840">
              <w:rPr>
                <w:rFonts w:cstheme="minorHAnsi"/>
              </w:rPr>
              <w:t>1</w:t>
            </w:r>
            <w:r>
              <w:rPr>
                <w:rFonts w:cstheme="minorHAnsi"/>
              </w:rPr>
              <w:t>,</w:t>
            </w:r>
            <w:r w:rsidRPr="00AA7840">
              <w:rPr>
                <w:rFonts w:cstheme="minorHAnsi"/>
              </w:rPr>
              <w:t>032</w:t>
            </w:r>
            <w:r>
              <w:rPr>
                <w:rFonts w:cstheme="minorHAnsi"/>
              </w:rPr>
              <w:t>,</w:t>
            </w:r>
            <w:r w:rsidRPr="00AA7840">
              <w:rPr>
                <w:rFonts w:cstheme="minorHAnsi"/>
              </w:rPr>
              <w:t>78</w:t>
            </w:r>
            <w:r>
              <w:rPr>
                <w:rFonts w:cstheme="minorHAnsi"/>
              </w:rPr>
              <w:t>9</w:t>
            </w:r>
          </w:p>
          <w:p w14:paraId="762E9EDB" w14:textId="77777777" w:rsidR="00D7615C" w:rsidRPr="000407BA" w:rsidRDefault="00D7615C" w:rsidP="00E819C4">
            <w:pPr>
              <w:rPr>
                <w:rFonts w:cstheme="minorHAnsi"/>
              </w:rPr>
            </w:pPr>
            <w:r w:rsidRPr="00AA7840">
              <w:rPr>
                <w:rFonts w:cstheme="minorHAnsi"/>
              </w:rPr>
              <w:t>225</w:t>
            </w:r>
            <w:r>
              <w:rPr>
                <w:rFonts w:cstheme="minorHAnsi"/>
              </w:rPr>
              <w:t>,</w:t>
            </w:r>
            <w:r w:rsidRPr="00AA7840">
              <w:rPr>
                <w:rFonts w:cstheme="minorHAnsi"/>
              </w:rPr>
              <w:t>611</w:t>
            </w:r>
          </w:p>
        </w:tc>
        <w:tc>
          <w:tcPr>
            <w:tcW w:w="1330" w:type="dxa"/>
          </w:tcPr>
          <w:p w14:paraId="7591350F" w14:textId="77777777" w:rsidR="00D7615C" w:rsidRPr="00D42E2D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40</w:t>
            </w:r>
          </w:p>
          <w:p w14:paraId="5EAD8A3E" w14:textId="77777777" w:rsidR="00D7615C" w:rsidRPr="000407BA" w:rsidRDefault="00D7615C" w:rsidP="00E819C4">
            <w:pPr>
              <w:rPr>
                <w:rFonts w:cstheme="minorHAnsi"/>
              </w:rPr>
            </w:pPr>
            <w:r w:rsidRPr="00D42E2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58</w:t>
            </w:r>
          </w:p>
        </w:tc>
        <w:tc>
          <w:tcPr>
            <w:tcW w:w="2394" w:type="dxa"/>
          </w:tcPr>
          <w:p w14:paraId="429D47DC" w14:textId="77777777" w:rsidR="00D7615C" w:rsidRPr="000407BA" w:rsidRDefault="00D7615C" w:rsidP="00E819C4">
            <w:pPr>
              <w:rPr>
                <w:rFonts w:cstheme="minorHAnsi"/>
              </w:rPr>
            </w:pPr>
          </w:p>
        </w:tc>
        <w:tc>
          <w:tcPr>
            <w:tcW w:w="1793" w:type="dxa"/>
          </w:tcPr>
          <w:p w14:paraId="26DAACDF" w14:textId="77777777" w:rsidR="00D7615C" w:rsidRPr="000407BA" w:rsidRDefault="00D7615C" w:rsidP="00E819C4">
            <w:pPr>
              <w:rPr>
                <w:rFonts w:cstheme="minorHAnsi"/>
              </w:rPr>
            </w:pPr>
          </w:p>
        </w:tc>
      </w:tr>
    </w:tbl>
    <w:p w14:paraId="1ED58779" w14:textId="77777777" w:rsidR="00D7615C" w:rsidRPr="000407BA" w:rsidRDefault="00D7615C" w:rsidP="00D7615C">
      <w:pPr>
        <w:rPr>
          <w:rFonts w:cstheme="minorHAnsi"/>
          <w:b/>
        </w:rPr>
      </w:pPr>
    </w:p>
    <w:p w14:paraId="00BAFF02" w14:textId="77777777" w:rsidR="00D7615C" w:rsidRPr="000407BA" w:rsidRDefault="00D7615C" w:rsidP="00D7615C">
      <w:pPr>
        <w:outlineLvl w:val="0"/>
        <w:rPr>
          <w:rFonts w:cstheme="minorHAnsi"/>
        </w:rPr>
      </w:pPr>
      <w:r w:rsidRPr="000407BA">
        <w:rPr>
          <w:rFonts w:cstheme="minorHAnsi"/>
        </w:rPr>
        <w:t>CI: Confidence Interval; HR: Hazard Ratio; P</w:t>
      </w:r>
      <w:r>
        <w:rPr>
          <w:rFonts w:cstheme="minorHAnsi"/>
        </w:rPr>
        <w:t>D</w:t>
      </w:r>
      <w:r w:rsidRPr="000407BA">
        <w:rPr>
          <w:rFonts w:cstheme="minorHAnsi"/>
        </w:rPr>
        <w:t>s: Person-</w:t>
      </w:r>
      <w:r>
        <w:rPr>
          <w:rFonts w:cstheme="minorHAnsi"/>
        </w:rPr>
        <w:t xml:space="preserve">Days; </w:t>
      </w:r>
      <w:r w:rsidRPr="000407BA">
        <w:rPr>
          <w:rFonts w:cstheme="minorHAnsi"/>
        </w:rPr>
        <w:t>PYs: Person-Years</w:t>
      </w:r>
    </w:p>
    <w:p w14:paraId="20D59F3C" w14:textId="77777777" w:rsidR="00D7615C" w:rsidRDefault="00D7615C" w:rsidP="00D7615C"/>
    <w:p w14:paraId="5F0364A4" w14:textId="77777777" w:rsidR="00D7615C" w:rsidRDefault="00D7615C" w:rsidP="00D7615C"/>
    <w:p w14:paraId="765F2B1B" w14:textId="77777777" w:rsidR="00D7615C" w:rsidRDefault="00D7615C"/>
    <w:p w14:paraId="0A81A2F8" w14:textId="77777777" w:rsidR="009A0EBD" w:rsidRDefault="009A0EBD"/>
    <w:p w14:paraId="373EF8E4" w14:textId="77777777" w:rsidR="009A0EBD" w:rsidRDefault="009A0EBD"/>
    <w:p w14:paraId="59985219" w14:textId="77777777" w:rsidR="009A0EBD" w:rsidRDefault="009A0EBD"/>
    <w:p w14:paraId="6112331B" w14:textId="77777777" w:rsidR="009A0EBD" w:rsidRDefault="009A0EBD"/>
    <w:p w14:paraId="267A0B01" w14:textId="77777777" w:rsidR="009A0EBD" w:rsidRDefault="009A0EBD"/>
    <w:p w14:paraId="5EF93F81" w14:textId="77777777" w:rsidR="009A0EBD" w:rsidRDefault="009A0EBD"/>
    <w:p w14:paraId="55E17588" w14:textId="77777777" w:rsidR="009A0EBD" w:rsidRDefault="009A0EBD"/>
    <w:p w14:paraId="1313DA42" w14:textId="77777777" w:rsidR="009A0EBD" w:rsidRDefault="009A0EBD"/>
    <w:p w14:paraId="15FA50AB" w14:textId="77777777" w:rsidR="009A0EBD" w:rsidRDefault="009A0EBD"/>
    <w:p w14:paraId="68426782" w14:textId="77777777" w:rsidR="009A0EBD" w:rsidRDefault="009A0EBD"/>
    <w:p w14:paraId="01DE6CB5" w14:textId="77777777" w:rsidR="009A0EBD" w:rsidRDefault="009A0EBD"/>
    <w:p w14:paraId="243550FD" w14:textId="77777777" w:rsidR="009A0EBD" w:rsidRDefault="009A0EBD"/>
    <w:p w14:paraId="7BBB097C" w14:textId="77777777" w:rsidR="009A0EBD" w:rsidRDefault="009A0EBD"/>
    <w:p w14:paraId="16CB0AD5" w14:textId="77777777" w:rsidR="009A0EBD" w:rsidRDefault="009A0EBD"/>
    <w:p w14:paraId="5CCBF5E9" w14:textId="77777777" w:rsidR="009A0EBD" w:rsidRDefault="009A0EBD"/>
    <w:p w14:paraId="6346BF1D" w14:textId="77777777" w:rsidR="009A0EBD" w:rsidRDefault="009A0EBD"/>
    <w:p w14:paraId="21E1954C" w14:textId="65D56990" w:rsidR="009A0EBD" w:rsidRPr="004A5C62" w:rsidRDefault="00D44444" w:rsidP="009A0EBD">
      <w:pPr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t>e</w:t>
      </w:r>
      <w:r w:rsidR="009A0EBD" w:rsidRPr="004A5C62">
        <w:rPr>
          <w:rFonts w:cstheme="minorHAnsi"/>
          <w:b/>
        </w:rPr>
        <w:t>Table</w:t>
      </w:r>
      <w:proofErr w:type="spellEnd"/>
      <w:proofErr w:type="gramEnd"/>
      <w:r w:rsidR="009A0EBD" w:rsidRPr="004A5C62">
        <w:rPr>
          <w:rFonts w:cstheme="minorHAnsi"/>
          <w:b/>
        </w:rPr>
        <w:t xml:space="preserve"> 2: </w:t>
      </w:r>
      <w:r w:rsidR="00B42242">
        <w:rPr>
          <w:rFonts w:cstheme="minorHAnsi"/>
          <w:b/>
        </w:rPr>
        <w:t xml:space="preserve">Full Model – </w:t>
      </w:r>
      <w:r w:rsidR="009A0EBD" w:rsidRPr="004A5C62">
        <w:rPr>
          <w:rFonts w:cstheme="minorHAnsi"/>
          <w:b/>
        </w:rPr>
        <w:t>Extended Cox regression analysis estimating the hazard associated with homelessness</w:t>
      </w:r>
      <w:r w:rsidR="009A0EBD" w:rsidRPr="004A5C62">
        <w:rPr>
          <w:rStyle w:val="FootnoteReference"/>
          <w:rFonts w:cstheme="minorHAnsi"/>
          <w:b/>
        </w:rPr>
        <w:footnoteReference w:id="5"/>
      </w:r>
      <w:r w:rsidR="009A0EBD" w:rsidRPr="004A5C62">
        <w:rPr>
          <w:rFonts w:cstheme="minorHAnsi"/>
          <w:b/>
        </w:rPr>
        <w:t xml:space="preserve"> for re-</w:t>
      </w:r>
      <w:r w:rsidR="009A0EBD">
        <w:rPr>
          <w:rFonts w:cstheme="minorHAnsi"/>
          <w:b/>
        </w:rPr>
        <w:t>admission</w:t>
      </w:r>
      <w:r w:rsidR="009A0EBD" w:rsidRPr="004A5C62">
        <w:rPr>
          <w:rFonts w:cstheme="minorHAnsi"/>
          <w:b/>
        </w:rPr>
        <w:t xml:space="preserve"> </w:t>
      </w:r>
      <w:r w:rsidR="009A0EBD">
        <w:rPr>
          <w:rFonts w:cstheme="minorHAnsi"/>
          <w:b/>
        </w:rPr>
        <w:t>to an</w:t>
      </w:r>
      <w:r w:rsidR="009A0EBD" w:rsidRPr="004A5C62">
        <w:rPr>
          <w:rFonts w:cstheme="minorHAnsi"/>
          <w:b/>
        </w:rPr>
        <w:t xml:space="preserve"> urban hospital, 2016-2020 (n=3,907)</w:t>
      </w:r>
    </w:p>
    <w:p w14:paraId="66293BAE" w14:textId="77777777" w:rsidR="009A0EBD" w:rsidRDefault="009A0EBD" w:rsidP="009A0EBD"/>
    <w:tbl>
      <w:tblPr>
        <w:tblStyle w:val="TableGrid"/>
        <w:tblW w:w="10912" w:type="dxa"/>
        <w:tblInd w:w="-714" w:type="dxa"/>
        <w:tblLook w:val="04A0" w:firstRow="1" w:lastRow="0" w:firstColumn="1" w:lastColumn="0" w:noHBand="0" w:noVBand="1"/>
      </w:tblPr>
      <w:tblGrid>
        <w:gridCol w:w="4704"/>
        <w:gridCol w:w="3010"/>
        <w:gridCol w:w="3198"/>
      </w:tblGrid>
      <w:tr w:rsidR="009A0EBD" w:rsidRPr="00102779" w14:paraId="62BD69F5" w14:textId="77777777" w:rsidTr="00F82E84">
        <w:trPr>
          <w:trHeight w:val="595"/>
        </w:trPr>
        <w:tc>
          <w:tcPr>
            <w:tcW w:w="4704" w:type="dxa"/>
          </w:tcPr>
          <w:p w14:paraId="56E36F75" w14:textId="77777777" w:rsidR="009A0EBD" w:rsidRPr="002708F8" w:rsidRDefault="009A0EBD" w:rsidP="00F82E84">
            <w:pPr>
              <w:rPr>
                <w:rFonts w:cstheme="minorHAnsi"/>
                <w:b/>
              </w:rPr>
            </w:pPr>
            <w:r w:rsidRPr="002708F8">
              <w:rPr>
                <w:rFonts w:cstheme="minorHAnsi"/>
                <w:b/>
              </w:rPr>
              <w:t xml:space="preserve">Independent variables </w:t>
            </w:r>
          </w:p>
        </w:tc>
        <w:tc>
          <w:tcPr>
            <w:tcW w:w="3010" w:type="dxa"/>
          </w:tcPr>
          <w:p w14:paraId="6E37AEE6" w14:textId="77777777" w:rsidR="009A0EBD" w:rsidRPr="002708F8" w:rsidRDefault="009A0EBD" w:rsidP="00F82E84">
            <w:pPr>
              <w:rPr>
                <w:rFonts w:cstheme="minorHAnsi"/>
                <w:b/>
              </w:rPr>
            </w:pPr>
            <w:r w:rsidRPr="002708F8">
              <w:rPr>
                <w:rFonts w:cstheme="minorHAnsi"/>
                <w:b/>
              </w:rPr>
              <w:t>Unadjusted HR</w:t>
            </w:r>
            <w:r w:rsidRPr="002708F8">
              <w:rPr>
                <w:rFonts w:cstheme="minorHAnsi"/>
                <w:b/>
                <w:vertAlign w:val="superscript"/>
              </w:rPr>
              <w:footnoteReference w:id="6"/>
            </w:r>
            <w:r w:rsidRPr="002708F8">
              <w:rPr>
                <w:rFonts w:cstheme="minorHAnsi"/>
                <w:b/>
              </w:rPr>
              <w:t xml:space="preserve"> </w:t>
            </w:r>
          </w:p>
          <w:p w14:paraId="693D8DC3" w14:textId="77777777" w:rsidR="009A0EBD" w:rsidRPr="002708F8" w:rsidRDefault="009A0EBD" w:rsidP="00F82E84">
            <w:pPr>
              <w:rPr>
                <w:rFonts w:cstheme="minorHAnsi"/>
                <w:b/>
              </w:rPr>
            </w:pPr>
            <w:r w:rsidRPr="002708F8">
              <w:rPr>
                <w:rFonts w:cstheme="minorHAnsi"/>
                <w:b/>
              </w:rPr>
              <w:t>(95% CI</w:t>
            </w:r>
            <w:r w:rsidRPr="002708F8">
              <w:rPr>
                <w:rFonts w:cstheme="minorHAnsi"/>
                <w:b/>
                <w:vertAlign w:val="superscript"/>
              </w:rPr>
              <w:footnoteReference w:id="7"/>
            </w:r>
            <w:r w:rsidRPr="002708F8">
              <w:rPr>
                <w:rFonts w:cstheme="minorHAnsi"/>
                <w:b/>
              </w:rPr>
              <w:t>)</w:t>
            </w:r>
          </w:p>
        </w:tc>
        <w:tc>
          <w:tcPr>
            <w:tcW w:w="3198" w:type="dxa"/>
          </w:tcPr>
          <w:p w14:paraId="7974545E" w14:textId="77777777" w:rsidR="009A0EBD" w:rsidRPr="002708F8" w:rsidRDefault="009A0EBD" w:rsidP="00F82E84">
            <w:pPr>
              <w:rPr>
                <w:rFonts w:cstheme="minorHAnsi"/>
                <w:b/>
              </w:rPr>
            </w:pPr>
            <w:r w:rsidRPr="002708F8">
              <w:rPr>
                <w:rFonts w:cstheme="minorHAnsi"/>
                <w:b/>
              </w:rPr>
              <w:t>Adjusted HR</w:t>
            </w:r>
            <w:r w:rsidRPr="002708F8">
              <w:rPr>
                <w:rFonts w:cstheme="minorHAnsi"/>
                <w:b/>
                <w:vertAlign w:val="superscript"/>
              </w:rPr>
              <w:footnoteReference w:id="8"/>
            </w:r>
            <w:r w:rsidRPr="002708F8">
              <w:rPr>
                <w:rFonts w:cstheme="minorHAnsi"/>
                <w:b/>
              </w:rPr>
              <w:t xml:space="preserve"> </w:t>
            </w:r>
          </w:p>
          <w:p w14:paraId="7ED594E1" w14:textId="77777777" w:rsidR="009A0EBD" w:rsidRPr="002708F8" w:rsidRDefault="009A0EBD" w:rsidP="00F82E84">
            <w:pPr>
              <w:rPr>
                <w:rFonts w:cstheme="minorHAnsi"/>
                <w:b/>
              </w:rPr>
            </w:pPr>
            <w:r w:rsidRPr="002708F8">
              <w:rPr>
                <w:rFonts w:cstheme="minorHAnsi"/>
                <w:b/>
              </w:rPr>
              <w:t>(95% CI)</w:t>
            </w:r>
          </w:p>
        </w:tc>
      </w:tr>
      <w:tr w:rsidR="009A0EBD" w:rsidRPr="00102779" w14:paraId="5506DD18" w14:textId="77777777" w:rsidTr="00F82E84">
        <w:trPr>
          <w:trHeight w:val="304"/>
        </w:trPr>
        <w:tc>
          <w:tcPr>
            <w:tcW w:w="4704" w:type="dxa"/>
          </w:tcPr>
          <w:p w14:paraId="1796BD57" w14:textId="77777777" w:rsidR="009A0EBD" w:rsidRPr="002708F8" w:rsidRDefault="009A0EBD" w:rsidP="00F82E84">
            <w:pPr>
              <w:rPr>
                <w:rFonts w:cstheme="minorHAnsi"/>
                <w:b/>
                <w:bCs/>
              </w:rPr>
            </w:pPr>
            <w:r w:rsidRPr="002708F8">
              <w:rPr>
                <w:rFonts w:cstheme="minorHAnsi"/>
                <w:b/>
                <w:bCs/>
              </w:rPr>
              <w:t>Homelessness</w:t>
            </w:r>
            <w:r w:rsidRPr="002708F8">
              <w:rPr>
                <w:rStyle w:val="FootnoteReference"/>
                <w:rFonts w:cstheme="minorHAnsi"/>
                <w:b/>
                <w:bCs/>
              </w:rPr>
              <w:footnoteReference w:id="9"/>
            </w:r>
            <w:r w:rsidRPr="002708F8">
              <w:rPr>
                <w:rFonts w:cstheme="minorHAnsi"/>
                <w:b/>
                <w:bCs/>
              </w:rPr>
              <w:t xml:space="preserve"> * </w:t>
            </w:r>
            <w:r w:rsidRPr="002708F8">
              <w:rPr>
                <w:rFonts w:eastAsia="Arial Unicode MS" w:cstheme="minorHAnsi"/>
                <w:b/>
                <w:bCs/>
              </w:rPr>
              <w:t>≤30 days</w:t>
            </w:r>
            <w:r w:rsidRPr="002708F8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010" w:type="dxa"/>
          </w:tcPr>
          <w:p w14:paraId="0CEA6436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  <w:b/>
              </w:rPr>
              <w:t>2.05 (1.67, 2.53)</w:t>
            </w:r>
          </w:p>
        </w:tc>
        <w:tc>
          <w:tcPr>
            <w:tcW w:w="3198" w:type="dxa"/>
          </w:tcPr>
          <w:p w14:paraId="17132889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  <w:b/>
              </w:rPr>
              <w:t>2.04 (1.65, 2.51)</w:t>
            </w:r>
          </w:p>
        </w:tc>
      </w:tr>
      <w:tr w:rsidR="009A0EBD" w:rsidRPr="00102779" w14:paraId="218A4C70" w14:textId="77777777" w:rsidTr="00F82E84">
        <w:trPr>
          <w:trHeight w:val="291"/>
        </w:trPr>
        <w:tc>
          <w:tcPr>
            <w:tcW w:w="4704" w:type="dxa"/>
          </w:tcPr>
          <w:p w14:paraId="035CCCF2" w14:textId="77777777" w:rsidR="009A0EBD" w:rsidRPr="002708F8" w:rsidRDefault="009A0EBD" w:rsidP="00F82E84">
            <w:pPr>
              <w:rPr>
                <w:rFonts w:cstheme="minorHAnsi"/>
                <w:b/>
                <w:bCs/>
              </w:rPr>
            </w:pPr>
            <w:r w:rsidRPr="002708F8">
              <w:rPr>
                <w:rFonts w:cstheme="minorHAnsi"/>
                <w:b/>
                <w:bCs/>
              </w:rPr>
              <w:t xml:space="preserve">Homelessness * </w:t>
            </w:r>
            <w:r w:rsidRPr="002708F8">
              <w:rPr>
                <w:rFonts w:eastAsia="Arial Unicode MS" w:cstheme="minorHAnsi"/>
                <w:b/>
                <w:bCs/>
              </w:rPr>
              <w:t>31-90 days</w:t>
            </w:r>
          </w:p>
        </w:tc>
        <w:tc>
          <w:tcPr>
            <w:tcW w:w="3010" w:type="dxa"/>
          </w:tcPr>
          <w:p w14:paraId="1A2F109F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  <w:b/>
              </w:rPr>
              <w:t>1.66 (1.25</w:t>
            </w:r>
            <w:r w:rsidRPr="009A0EBD">
              <w:rPr>
                <w:rFonts w:cstheme="minorHAnsi"/>
                <w:b/>
              </w:rPr>
              <w:t>, 2.21)</w:t>
            </w:r>
          </w:p>
        </w:tc>
        <w:tc>
          <w:tcPr>
            <w:tcW w:w="3198" w:type="dxa"/>
          </w:tcPr>
          <w:p w14:paraId="1A9D59CA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  <w:b/>
              </w:rPr>
              <w:t>1.65 (1.24, 2.19)</w:t>
            </w:r>
          </w:p>
        </w:tc>
      </w:tr>
      <w:tr w:rsidR="009A0EBD" w:rsidRPr="00102779" w14:paraId="7321675E" w14:textId="77777777" w:rsidTr="00F82E84">
        <w:trPr>
          <w:trHeight w:val="304"/>
        </w:trPr>
        <w:tc>
          <w:tcPr>
            <w:tcW w:w="4704" w:type="dxa"/>
          </w:tcPr>
          <w:p w14:paraId="51A3250D" w14:textId="77777777" w:rsidR="009A0EBD" w:rsidRPr="002708F8" w:rsidRDefault="009A0EBD" w:rsidP="00F82E84">
            <w:pPr>
              <w:rPr>
                <w:rFonts w:cstheme="minorHAnsi"/>
                <w:b/>
                <w:bCs/>
              </w:rPr>
            </w:pPr>
            <w:r w:rsidRPr="002708F8">
              <w:rPr>
                <w:rFonts w:cstheme="minorHAnsi"/>
                <w:b/>
                <w:bCs/>
              </w:rPr>
              <w:t>Homelessness * 9</w:t>
            </w:r>
            <w:r w:rsidRPr="002708F8">
              <w:rPr>
                <w:rFonts w:eastAsia="Arial Unicode MS" w:cstheme="minorHAnsi"/>
                <w:b/>
                <w:bCs/>
              </w:rPr>
              <w:t>1-365 days</w:t>
            </w:r>
          </w:p>
        </w:tc>
        <w:tc>
          <w:tcPr>
            <w:tcW w:w="3010" w:type="dxa"/>
          </w:tcPr>
          <w:p w14:paraId="7AD13EAF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  <w:b/>
              </w:rPr>
              <w:t>1.58 (1.28, 1.95)</w:t>
            </w:r>
          </w:p>
        </w:tc>
        <w:tc>
          <w:tcPr>
            <w:tcW w:w="3198" w:type="dxa"/>
          </w:tcPr>
          <w:p w14:paraId="485EAD0B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  <w:b/>
              </w:rPr>
              <w:t>1.56 (1.26, 1.94)</w:t>
            </w:r>
          </w:p>
        </w:tc>
      </w:tr>
      <w:tr w:rsidR="009A0EBD" w:rsidRPr="00102779" w14:paraId="24EF24FF" w14:textId="77777777" w:rsidTr="00F82E84">
        <w:trPr>
          <w:trHeight w:val="291"/>
        </w:trPr>
        <w:tc>
          <w:tcPr>
            <w:tcW w:w="4704" w:type="dxa"/>
          </w:tcPr>
          <w:p w14:paraId="63878253" w14:textId="77777777" w:rsidR="009A0EBD" w:rsidRPr="002708F8" w:rsidRDefault="009A0EBD" w:rsidP="00F82E84">
            <w:pPr>
              <w:rPr>
                <w:rFonts w:cstheme="minorHAnsi"/>
                <w:b/>
                <w:bCs/>
              </w:rPr>
            </w:pPr>
            <w:r w:rsidRPr="002708F8">
              <w:rPr>
                <w:rFonts w:cstheme="minorHAnsi"/>
                <w:b/>
                <w:bCs/>
              </w:rPr>
              <w:t>Age at index visit (per year)</w:t>
            </w:r>
          </w:p>
        </w:tc>
        <w:tc>
          <w:tcPr>
            <w:tcW w:w="3010" w:type="dxa"/>
          </w:tcPr>
          <w:p w14:paraId="609F89AF" w14:textId="77777777" w:rsidR="009A0EBD" w:rsidRPr="002708F8" w:rsidRDefault="009A0EBD" w:rsidP="00F82E84">
            <w:pPr>
              <w:rPr>
                <w:rFonts w:cstheme="minorHAnsi"/>
              </w:rPr>
            </w:pPr>
            <w:r w:rsidRPr="00501742">
              <w:rPr>
                <w:rFonts w:cstheme="minorHAnsi"/>
                <w:b/>
                <w:bCs/>
              </w:rPr>
              <w:t>0.99 (0.99, 1.00)</w:t>
            </w:r>
          </w:p>
        </w:tc>
        <w:tc>
          <w:tcPr>
            <w:tcW w:w="3198" w:type="dxa"/>
          </w:tcPr>
          <w:p w14:paraId="6371EF1D" w14:textId="77777777" w:rsidR="009A0EBD" w:rsidRPr="00501742" w:rsidRDefault="009A0EBD" w:rsidP="00F82E84">
            <w:pPr>
              <w:rPr>
                <w:rFonts w:cstheme="minorHAnsi"/>
                <w:b/>
                <w:bCs/>
              </w:rPr>
            </w:pPr>
            <w:r w:rsidRPr="00501742">
              <w:rPr>
                <w:rFonts w:cstheme="minorHAnsi"/>
                <w:b/>
                <w:bCs/>
              </w:rPr>
              <w:t>0.99 (0.99, 1.00)</w:t>
            </w:r>
          </w:p>
        </w:tc>
      </w:tr>
      <w:tr w:rsidR="009A0EBD" w:rsidRPr="00102779" w14:paraId="1EA7739A" w14:textId="77777777" w:rsidTr="00F82E84">
        <w:trPr>
          <w:trHeight w:val="808"/>
        </w:trPr>
        <w:tc>
          <w:tcPr>
            <w:tcW w:w="4704" w:type="dxa"/>
          </w:tcPr>
          <w:p w14:paraId="056B0EFA" w14:textId="77777777" w:rsidR="009A0EBD" w:rsidRPr="002708F8" w:rsidRDefault="009A0EBD" w:rsidP="00F82E84">
            <w:pPr>
              <w:rPr>
                <w:rFonts w:cstheme="minorHAnsi"/>
                <w:b/>
                <w:iCs/>
              </w:rPr>
            </w:pPr>
            <w:r w:rsidRPr="002708F8">
              <w:rPr>
                <w:rFonts w:cstheme="minorHAnsi"/>
                <w:b/>
                <w:iCs/>
              </w:rPr>
              <w:t>Gender</w:t>
            </w:r>
          </w:p>
          <w:p w14:paraId="772A331B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>Women</w:t>
            </w:r>
          </w:p>
          <w:p w14:paraId="28F78C0B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>Men</w:t>
            </w:r>
          </w:p>
          <w:p w14:paraId="3BC457F0" w14:textId="77777777" w:rsidR="009A0EBD" w:rsidRPr="002708F8" w:rsidRDefault="009A0EBD" w:rsidP="00F82E84">
            <w:pPr>
              <w:rPr>
                <w:rFonts w:cstheme="minorHAnsi"/>
                <w:b/>
                <w:bCs/>
              </w:rPr>
            </w:pPr>
            <w:r w:rsidRPr="002708F8">
              <w:rPr>
                <w:rFonts w:cstheme="minorHAnsi"/>
              </w:rPr>
              <w:t>Other/unknown</w:t>
            </w:r>
          </w:p>
        </w:tc>
        <w:tc>
          <w:tcPr>
            <w:tcW w:w="3010" w:type="dxa"/>
          </w:tcPr>
          <w:p w14:paraId="766E7923" w14:textId="77777777" w:rsidR="009A0EBD" w:rsidRPr="002708F8" w:rsidRDefault="009A0EBD" w:rsidP="00F82E84">
            <w:pPr>
              <w:rPr>
                <w:rFonts w:cstheme="minorHAnsi"/>
              </w:rPr>
            </w:pPr>
          </w:p>
          <w:p w14:paraId="072A2396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 xml:space="preserve">Reference </w:t>
            </w:r>
          </w:p>
          <w:p w14:paraId="76A3EC4F" w14:textId="77777777" w:rsidR="009A0EBD" w:rsidRPr="00501742" w:rsidRDefault="009A0EBD" w:rsidP="00F82E84">
            <w:pPr>
              <w:rPr>
                <w:rFonts w:cstheme="minorHAnsi"/>
                <w:b/>
                <w:bCs/>
              </w:rPr>
            </w:pPr>
            <w:r w:rsidRPr="00501742">
              <w:rPr>
                <w:rFonts w:cstheme="minorHAnsi"/>
                <w:b/>
                <w:bCs/>
              </w:rPr>
              <w:t>1.25 (1.07, 1.45)</w:t>
            </w:r>
          </w:p>
          <w:p w14:paraId="09AD8318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>1.</w:t>
            </w:r>
            <w:r>
              <w:rPr>
                <w:rFonts w:cstheme="minorHAnsi"/>
              </w:rPr>
              <w:t>57</w:t>
            </w:r>
            <w:r w:rsidRPr="002708F8">
              <w:rPr>
                <w:rFonts w:cstheme="minorHAnsi"/>
              </w:rPr>
              <w:t xml:space="preserve"> (0.</w:t>
            </w:r>
            <w:r>
              <w:rPr>
                <w:rFonts w:cstheme="minorHAnsi"/>
              </w:rPr>
              <w:t>78</w:t>
            </w:r>
            <w:r w:rsidRPr="002708F8">
              <w:rPr>
                <w:rFonts w:cstheme="minorHAnsi"/>
              </w:rPr>
              <w:t>, 3.1</w:t>
            </w:r>
            <w:r>
              <w:rPr>
                <w:rFonts w:cstheme="minorHAnsi"/>
              </w:rPr>
              <w:t>6</w:t>
            </w:r>
            <w:r w:rsidRPr="002708F8">
              <w:rPr>
                <w:rFonts w:cstheme="minorHAnsi"/>
              </w:rPr>
              <w:t>)</w:t>
            </w:r>
          </w:p>
        </w:tc>
        <w:tc>
          <w:tcPr>
            <w:tcW w:w="3198" w:type="dxa"/>
          </w:tcPr>
          <w:p w14:paraId="608AF4E0" w14:textId="77777777" w:rsidR="009A0EBD" w:rsidRPr="002708F8" w:rsidRDefault="009A0EBD" w:rsidP="00F82E84">
            <w:pPr>
              <w:rPr>
                <w:rFonts w:cstheme="minorHAnsi"/>
              </w:rPr>
            </w:pPr>
          </w:p>
          <w:p w14:paraId="4DE12851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 xml:space="preserve">Reference </w:t>
            </w:r>
          </w:p>
          <w:p w14:paraId="51D47754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>1.16 (0.99, 1.35)</w:t>
            </w:r>
          </w:p>
          <w:p w14:paraId="5EF2AB6E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>1.61 (0.81, 3.19)</w:t>
            </w:r>
          </w:p>
        </w:tc>
      </w:tr>
      <w:tr w:rsidR="009A0EBD" w:rsidRPr="00102779" w14:paraId="551BAF28" w14:textId="77777777" w:rsidTr="00F82E84">
        <w:trPr>
          <w:trHeight w:val="215"/>
        </w:trPr>
        <w:tc>
          <w:tcPr>
            <w:tcW w:w="4704" w:type="dxa"/>
          </w:tcPr>
          <w:p w14:paraId="190AB037" w14:textId="77777777" w:rsidR="009A0EBD" w:rsidRPr="002708F8" w:rsidRDefault="009A0EBD" w:rsidP="00F82E84">
            <w:pPr>
              <w:rPr>
                <w:rFonts w:cstheme="minorHAnsi"/>
                <w:b/>
                <w:bCs/>
              </w:rPr>
            </w:pPr>
            <w:r w:rsidRPr="002708F8">
              <w:rPr>
                <w:rFonts w:cstheme="minorHAnsi"/>
                <w:b/>
                <w:bCs/>
              </w:rPr>
              <w:t>Length of stay at index visit (per day)</w:t>
            </w:r>
          </w:p>
        </w:tc>
        <w:tc>
          <w:tcPr>
            <w:tcW w:w="3010" w:type="dxa"/>
          </w:tcPr>
          <w:p w14:paraId="4A16FC94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>1.00 (0.99, 1.00)</w:t>
            </w:r>
          </w:p>
        </w:tc>
        <w:tc>
          <w:tcPr>
            <w:tcW w:w="3198" w:type="dxa"/>
          </w:tcPr>
          <w:p w14:paraId="6EE4A85B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>1.00 (0.99, 1.00)</w:t>
            </w:r>
          </w:p>
        </w:tc>
      </w:tr>
      <w:tr w:rsidR="009A0EBD" w:rsidRPr="00102779" w14:paraId="3E42BA5A" w14:textId="77777777" w:rsidTr="00F82E84">
        <w:trPr>
          <w:trHeight w:val="900"/>
        </w:trPr>
        <w:tc>
          <w:tcPr>
            <w:tcW w:w="4704" w:type="dxa"/>
          </w:tcPr>
          <w:p w14:paraId="221B745D" w14:textId="77777777" w:rsidR="009A0EBD" w:rsidRPr="002708F8" w:rsidRDefault="009A0EBD" w:rsidP="00F82E84">
            <w:pPr>
              <w:rPr>
                <w:rFonts w:cstheme="minorHAnsi"/>
                <w:b/>
                <w:bCs/>
              </w:rPr>
            </w:pPr>
            <w:r w:rsidRPr="002708F8">
              <w:rPr>
                <w:rFonts w:cstheme="minorHAnsi"/>
                <w:b/>
                <w:bCs/>
              </w:rPr>
              <w:t xml:space="preserve">Substance use Disorder status at Index visit </w:t>
            </w:r>
          </w:p>
          <w:p w14:paraId="124BDDAB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 xml:space="preserve">No  </w:t>
            </w:r>
          </w:p>
          <w:p w14:paraId="0383A059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>Yes</w:t>
            </w:r>
          </w:p>
        </w:tc>
        <w:tc>
          <w:tcPr>
            <w:tcW w:w="3010" w:type="dxa"/>
          </w:tcPr>
          <w:p w14:paraId="6BAB24C9" w14:textId="77777777" w:rsidR="009A0EBD" w:rsidRPr="002708F8" w:rsidRDefault="009A0EBD" w:rsidP="00F82E84">
            <w:pPr>
              <w:rPr>
                <w:rFonts w:cstheme="minorHAnsi"/>
              </w:rPr>
            </w:pPr>
          </w:p>
          <w:p w14:paraId="1FAF248A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 xml:space="preserve">Reference </w:t>
            </w:r>
          </w:p>
          <w:p w14:paraId="1D197CCE" w14:textId="77777777" w:rsidR="009A0EBD" w:rsidRPr="00501742" w:rsidRDefault="009A0EBD" w:rsidP="00F82E84">
            <w:pPr>
              <w:rPr>
                <w:rFonts w:cstheme="minorHAnsi"/>
                <w:b/>
                <w:bCs/>
              </w:rPr>
            </w:pPr>
            <w:r w:rsidRPr="00501742">
              <w:rPr>
                <w:rFonts w:cstheme="minorHAnsi"/>
                <w:b/>
                <w:bCs/>
              </w:rPr>
              <w:t>0.85 (0.73, 0.99)</w:t>
            </w:r>
          </w:p>
        </w:tc>
        <w:tc>
          <w:tcPr>
            <w:tcW w:w="3198" w:type="dxa"/>
          </w:tcPr>
          <w:p w14:paraId="75D5A6ED" w14:textId="77777777" w:rsidR="009A0EBD" w:rsidRPr="002708F8" w:rsidRDefault="009A0EBD" w:rsidP="00F82E84">
            <w:pPr>
              <w:rPr>
                <w:rFonts w:cstheme="minorHAnsi"/>
              </w:rPr>
            </w:pPr>
          </w:p>
          <w:p w14:paraId="2071C5DD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 xml:space="preserve">Reference </w:t>
            </w:r>
          </w:p>
          <w:p w14:paraId="47C07B30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>1.13 (0.83, 1.54)</w:t>
            </w:r>
          </w:p>
        </w:tc>
      </w:tr>
      <w:tr w:rsidR="009A0EBD" w:rsidRPr="00102779" w14:paraId="26AA7AE4" w14:textId="77777777" w:rsidTr="00F82E84">
        <w:trPr>
          <w:trHeight w:val="970"/>
        </w:trPr>
        <w:tc>
          <w:tcPr>
            <w:tcW w:w="4704" w:type="dxa"/>
          </w:tcPr>
          <w:p w14:paraId="20F3E756" w14:textId="77777777" w:rsidR="009A0EBD" w:rsidRPr="002708F8" w:rsidRDefault="009A0EBD" w:rsidP="00F82E84">
            <w:pPr>
              <w:rPr>
                <w:rFonts w:cstheme="minorHAnsi"/>
                <w:b/>
                <w:bCs/>
              </w:rPr>
            </w:pPr>
            <w:r w:rsidRPr="002708F8">
              <w:rPr>
                <w:rFonts w:cstheme="minorHAnsi"/>
                <w:b/>
                <w:bCs/>
              </w:rPr>
              <w:t xml:space="preserve">Severe (either schizophrenia or bipolar disorder) mental illness status at Index visit </w:t>
            </w:r>
          </w:p>
          <w:p w14:paraId="47FEA383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 xml:space="preserve">No  </w:t>
            </w:r>
          </w:p>
          <w:p w14:paraId="0ED3A731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>Yes</w:t>
            </w:r>
          </w:p>
        </w:tc>
        <w:tc>
          <w:tcPr>
            <w:tcW w:w="3010" w:type="dxa"/>
          </w:tcPr>
          <w:p w14:paraId="68C1CB08" w14:textId="77777777" w:rsidR="009A0EBD" w:rsidRPr="002708F8" w:rsidRDefault="009A0EBD" w:rsidP="00F82E84">
            <w:pPr>
              <w:rPr>
                <w:rFonts w:cstheme="minorHAnsi"/>
              </w:rPr>
            </w:pPr>
          </w:p>
          <w:p w14:paraId="6D96CFA4" w14:textId="77777777" w:rsidR="009A0EBD" w:rsidRPr="002708F8" w:rsidRDefault="009A0EBD" w:rsidP="00F82E84">
            <w:pPr>
              <w:rPr>
                <w:rFonts w:cstheme="minorHAnsi"/>
              </w:rPr>
            </w:pPr>
          </w:p>
          <w:p w14:paraId="4DA8A955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 xml:space="preserve">Reference </w:t>
            </w:r>
          </w:p>
          <w:p w14:paraId="5A750B4D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>34</w:t>
            </w:r>
            <w:r w:rsidRPr="002708F8">
              <w:rPr>
                <w:rFonts w:cstheme="minorHAnsi"/>
                <w:b/>
                <w:bCs/>
              </w:rPr>
              <w:t xml:space="preserve"> (1.</w:t>
            </w:r>
            <w:r>
              <w:rPr>
                <w:rFonts w:cstheme="minorHAnsi"/>
                <w:b/>
                <w:bCs/>
              </w:rPr>
              <w:t>16</w:t>
            </w:r>
            <w:r w:rsidRPr="002708F8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1.54</w:t>
            </w:r>
            <w:r w:rsidRPr="002708F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3198" w:type="dxa"/>
          </w:tcPr>
          <w:p w14:paraId="573F789D" w14:textId="77777777" w:rsidR="009A0EBD" w:rsidRPr="002708F8" w:rsidRDefault="009A0EBD" w:rsidP="00F82E84">
            <w:pPr>
              <w:rPr>
                <w:rFonts w:cstheme="minorHAnsi"/>
              </w:rPr>
            </w:pPr>
          </w:p>
          <w:p w14:paraId="3903119A" w14:textId="77777777" w:rsidR="009A0EBD" w:rsidRPr="002708F8" w:rsidRDefault="009A0EBD" w:rsidP="00F82E84">
            <w:pPr>
              <w:rPr>
                <w:rFonts w:cstheme="minorHAnsi"/>
              </w:rPr>
            </w:pPr>
          </w:p>
          <w:p w14:paraId="45C7105F" w14:textId="77777777" w:rsidR="009A0EBD" w:rsidRPr="002708F8" w:rsidRDefault="009A0EBD" w:rsidP="00F82E84">
            <w:pPr>
              <w:rPr>
                <w:rFonts w:cstheme="minorHAnsi"/>
              </w:rPr>
            </w:pPr>
            <w:r w:rsidRPr="002708F8">
              <w:rPr>
                <w:rFonts w:cstheme="minorHAnsi"/>
              </w:rPr>
              <w:t xml:space="preserve">Reference </w:t>
            </w:r>
          </w:p>
          <w:p w14:paraId="00CBD4AC" w14:textId="77777777" w:rsidR="009A0EBD" w:rsidRPr="002708F8" w:rsidRDefault="009A0EBD" w:rsidP="00F82E84">
            <w:pPr>
              <w:rPr>
                <w:rFonts w:cstheme="minorHAnsi"/>
                <w:b/>
                <w:bCs/>
              </w:rPr>
            </w:pPr>
            <w:r w:rsidRPr="002708F8">
              <w:rPr>
                <w:rFonts w:cstheme="minorHAnsi"/>
                <w:b/>
                <w:bCs/>
              </w:rPr>
              <w:t>1.63 (1.23, 2.17)</w:t>
            </w:r>
          </w:p>
        </w:tc>
      </w:tr>
    </w:tbl>
    <w:p w14:paraId="75393D57" w14:textId="77777777" w:rsidR="009A0EBD" w:rsidRDefault="009A0EBD" w:rsidP="009A0EBD"/>
    <w:p w14:paraId="1D174C94" w14:textId="77777777" w:rsidR="009A0EBD" w:rsidRDefault="009A0EBD"/>
    <w:p w14:paraId="2CE1EA52" w14:textId="77777777" w:rsidR="004328E1" w:rsidRDefault="004328E1"/>
    <w:p w14:paraId="46A7BC31" w14:textId="77777777" w:rsidR="004328E1" w:rsidRDefault="004328E1"/>
    <w:p w14:paraId="06567633" w14:textId="77777777" w:rsidR="004328E1" w:rsidRDefault="004328E1"/>
    <w:p w14:paraId="4F8D1584" w14:textId="77777777" w:rsidR="004328E1" w:rsidRDefault="004328E1"/>
    <w:p w14:paraId="1A68526F" w14:textId="77777777" w:rsidR="004328E1" w:rsidRDefault="004328E1"/>
    <w:p w14:paraId="3F6ABB8E" w14:textId="77777777" w:rsidR="004328E1" w:rsidRDefault="004328E1"/>
    <w:p w14:paraId="25729E2F" w14:textId="77777777" w:rsidR="004328E1" w:rsidRDefault="004328E1"/>
    <w:p w14:paraId="48007D11" w14:textId="77777777" w:rsidR="004328E1" w:rsidRDefault="004328E1"/>
    <w:p w14:paraId="5F71E9C3" w14:textId="77777777" w:rsidR="004328E1" w:rsidRDefault="004328E1"/>
    <w:p w14:paraId="1C56346F" w14:textId="77777777" w:rsidR="004328E1" w:rsidRDefault="004328E1"/>
    <w:p w14:paraId="7EE90620" w14:textId="77777777" w:rsidR="004328E1" w:rsidRDefault="004328E1"/>
    <w:p w14:paraId="3D81E46A" w14:textId="77777777" w:rsidR="007A0FD7" w:rsidRDefault="007A0FD7" w:rsidP="007A0FD7">
      <w:pPr>
        <w:rPr>
          <w:bCs/>
        </w:rPr>
      </w:pPr>
    </w:p>
    <w:p w14:paraId="0144803A" w14:textId="77777777" w:rsidR="007A0FD7" w:rsidRDefault="007A0FD7" w:rsidP="007A0FD7">
      <w:pPr>
        <w:rPr>
          <w:bCs/>
        </w:rPr>
      </w:pPr>
    </w:p>
    <w:p w14:paraId="2B70A1C9" w14:textId="60789E32" w:rsidR="007A0FD7" w:rsidRPr="007A0FD7" w:rsidRDefault="007A0FD7" w:rsidP="007A0FD7">
      <w:pPr>
        <w:rPr>
          <w:b/>
        </w:rPr>
      </w:pPr>
      <w:proofErr w:type="spellStart"/>
      <w:proofErr w:type="gramStart"/>
      <w:r w:rsidRPr="007A0FD7">
        <w:rPr>
          <w:b/>
        </w:rPr>
        <w:t>eTable</w:t>
      </w:r>
      <w:proofErr w:type="spellEnd"/>
      <w:proofErr w:type="gramEnd"/>
      <w:r w:rsidRPr="007A0FD7">
        <w:rPr>
          <w:b/>
        </w:rPr>
        <w:t xml:space="preserve"> 3</w:t>
      </w:r>
      <w:r w:rsidR="00D44444">
        <w:rPr>
          <w:b/>
        </w:rPr>
        <w:t>:</w:t>
      </w:r>
      <w:r w:rsidRPr="007A0FD7">
        <w:rPr>
          <w:b/>
        </w:rPr>
        <w:t xml:space="preserve"> Most Responsible Diagnoses Codes for patients at index admission (n=3</w:t>
      </w:r>
      <w:r w:rsidR="00577AD7">
        <w:rPr>
          <w:b/>
        </w:rPr>
        <w:t>,</w:t>
      </w:r>
      <w:r w:rsidRPr="007A0FD7">
        <w:rPr>
          <w:b/>
        </w:rPr>
        <w:t>907)</w:t>
      </w:r>
    </w:p>
    <w:p w14:paraId="3E529BD9" w14:textId="77777777" w:rsidR="004328E1" w:rsidRDefault="004328E1"/>
    <w:p w14:paraId="27C11348" w14:textId="77777777" w:rsidR="004328E1" w:rsidRDefault="00432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322"/>
        <w:gridCol w:w="1229"/>
      </w:tblGrid>
      <w:tr w:rsidR="00500CE8" w:rsidRPr="00C101C2" w14:paraId="66F16695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3E8D308D" w14:textId="3E925396" w:rsidR="00C101C2" w:rsidRPr="00C101C2" w:rsidRDefault="00500CE8" w:rsidP="00C101C2">
            <w:pPr>
              <w:rPr>
                <w:rFonts w:ascii="Calibri" w:eastAsia="Times New Roman" w:hAnsi="Calibri" w:cs="Calibri"/>
                <w:b/>
                <w:bCs/>
              </w:rPr>
            </w:pPr>
            <w:r w:rsidRPr="00500CE8">
              <w:rPr>
                <w:rFonts w:ascii="Calibri" w:eastAsia="Times New Roman" w:hAnsi="Calibri" w:cs="Calibri"/>
                <w:b/>
                <w:bCs/>
              </w:rPr>
              <w:t xml:space="preserve">Most </w:t>
            </w:r>
            <w:r w:rsidR="002C7908">
              <w:rPr>
                <w:rFonts w:ascii="Calibri" w:eastAsia="Times New Roman" w:hAnsi="Calibri" w:cs="Calibri"/>
                <w:b/>
                <w:bCs/>
              </w:rPr>
              <w:t>R</w:t>
            </w:r>
            <w:r w:rsidRPr="00500CE8">
              <w:rPr>
                <w:rFonts w:ascii="Calibri" w:eastAsia="Times New Roman" w:hAnsi="Calibri" w:cs="Calibri"/>
                <w:b/>
                <w:bCs/>
              </w:rPr>
              <w:t>esponsible Diagnosis</w:t>
            </w:r>
            <w:r w:rsidR="002C7908">
              <w:rPr>
                <w:rFonts w:ascii="Calibri" w:eastAsia="Times New Roman" w:hAnsi="Calibri" w:cs="Calibri"/>
                <w:b/>
                <w:bCs/>
              </w:rPr>
              <w:t xml:space="preserve"> (MRD)</w:t>
            </w:r>
          </w:p>
        </w:tc>
        <w:tc>
          <w:tcPr>
            <w:tcW w:w="1322" w:type="dxa"/>
            <w:noWrap/>
            <w:hideMark/>
          </w:tcPr>
          <w:p w14:paraId="498C75ED" w14:textId="6A1E83F0" w:rsidR="00C101C2" w:rsidRPr="00C101C2" w:rsidRDefault="00500CE8" w:rsidP="00C101C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CE8">
              <w:rPr>
                <w:rFonts w:ascii="Calibri" w:eastAsia="Times New Roman" w:hAnsi="Calibri" w:cs="Calibri"/>
                <w:b/>
                <w:bCs/>
                <w:color w:val="000000"/>
              </w:rPr>
              <w:t>Frequency</w:t>
            </w:r>
          </w:p>
        </w:tc>
        <w:tc>
          <w:tcPr>
            <w:tcW w:w="1229" w:type="dxa"/>
            <w:noWrap/>
            <w:hideMark/>
          </w:tcPr>
          <w:p w14:paraId="2C94E3BC" w14:textId="77777777" w:rsidR="00C101C2" w:rsidRPr="00C101C2" w:rsidRDefault="00C101C2" w:rsidP="00C101C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1C2">
              <w:rPr>
                <w:rFonts w:ascii="Calibri" w:eastAsia="Times New Roman" w:hAnsi="Calibri" w:cs="Calibri"/>
                <w:b/>
                <w:bCs/>
                <w:color w:val="000000"/>
              </w:rPr>
              <w:t>Percent</w:t>
            </w:r>
          </w:p>
        </w:tc>
      </w:tr>
      <w:tr w:rsidR="00500CE8" w:rsidRPr="00C101C2" w14:paraId="07975335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55F94050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F29: Unspecified nonorganic psychosis</w:t>
            </w:r>
          </w:p>
        </w:tc>
        <w:tc>
          <w:tcPr>
            <w:tcW w:w="1322" w:type="dxa"/>
            <w:noWrap/>
            <w:hideMark/>
          </w:tcPr>
          <w:p w14:paraId="56252343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616</w:t>
            </w:r>
          </w:p>
        </w:tc>
        <w:tc>
          <w:tcPr>
            <w:tcW w:w="1229" w:type="dxa"/>
            <w:noWrap/>
            <w:hideMark/>
          </w:tcPr>
          <w:p w14:paraId="69C6B840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15.77</w:t>
            </w:r>
          </w:p>
        </w:tc>
      </w:tr>
      <w:tr w:rsidR="00500CE8" w:rsidRPr="00C101C2" w14:paraId="0670CE4B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535FD791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F209: Schizophrenia, unspecified</w:t>
            </w:r>
          </w:p>
        </w:tc>
        <w:tc>
          <w:tcPr>
            <w:tcW w:w="1322" w:type="dxa"/>
            <w:noWrap/>
            <w:hideMark/>
          </w:tcPr>
          <w:p w14:paraId="1EDDC22D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605</w:t>
            </w:r>
          </w:p>
        </w:tc>
        <w:tc>
          <w:tcPr>
            <w:tcW w:w="1229" w:type="dxa"/>
            <w:noWrap/>
            <w:hideMark/>
          </w:tcPr>
          <w:p w14:paraId="3C6EEC6C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15.49</w:t>
            </w:r>
          </w:p>
        </w:tc>
      </w:tr>
      <w:tr w:rsidR="00500CE8" w:rsidRPr="00C101C2" w14:paraId="64D75298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30A6CBAB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F155: Mental and behavioural disorders due to use of other stimulants including caffeine, psychotic disorder</w:t>
            </w:r>
          </w:p>
        </w:tc>
        <w:tc>
          <w:tcPr>
            <w:tcW w:w="1322" w:type="dxa"/>
            <w:noWrap/>
            <w:hideMark/>
          </w:tcPr>
          <w:p w14:paraId="09E03059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229" w:type="dxa"/>
            <w:noWrap/>
            <w:hideMark/>
          </w:tcPr>
          <w:p w14:paraId="78AB75E9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10.24</w:t>
            </w:r>
          </w:p>
        </w:tc>
      </w:tr>
      <w:tr w:rsidR="00500CE8" w:rsidRPr="00C101C2" w14:paraId="2D14C6EA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3388813D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F312: Bipolar affective disorder, current episode manic with psychotic symptoms</w:t>
            </w:r>
          </w:p>
        </w:tc>
        <w:tc>
          <w:tcPr>
            <w:tcW w:w="1322" w:type="dxa"/>
            <w:noWrap/>
            <w:hideMark/>
          </w:tcPr>
          <w:p w14:paraId="16D2C9D8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229" w:type="dxa"/>
            <w:noWrap/>
            <w:hideMark/>
          </w:tcPr>
          <w:p w14:paraId="2F961E4A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7.17</w:t>
            </w:r>
          </w:p>
        </w:tc>
      </w:tr>
      <w:tr w:rsidR="00500CE8" w:rsidRPr="00C101C2" w14:paraId="65CA87DF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111FC42B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F252: Schizoaffective disorder, mixed type</w:t>
            </w:r>
          </w:p>
        </w:tc>
        <w:tc>
          <w:tcPr>
            <w:tcW w:w="1322" w:type="dxa"/>
            <w:noWrap/>
            <w:hideMark/>
          </w:tcPr>
          <w:p w14:paraId="0AB57234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229" w:type="dxa"/>
            <w:noWrap/>
            <w:hideMark/>
          </w:tcPr>
          <w:p w14:paraId="6DEADA6D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6.99</w:t>
            </w:r>
          </w:p>
        </w:tc>
      </w:tr>
      <w:tr w:rsidR="00500CE8" w:rsidRPr="00C101C2" w14:paraId="56117F6E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25CB7504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F322: Severe depressive episode without psychotic symptoms</w:t>
            </w:r>
          </w:p>
        </w:tc>
        <w:tc>
          <w:tcPr>
            <w:tcW w:w="1322" w:type="dxa"/>
            <w:noWrap/>
            <w:hideMark/>
          </w:tcPr>
          <w:p w14:paraId="0954EFBA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229" w:type="dxa"/>
            <w:noWrap/>
            <w:hideMark/>
          </w:tcPr>
          <w:p w14:paraId="1A7D5ACF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3.58</w:t>
            </w:r>
          </w:p>
        </w:tc>
      </w:tr>
      <w:tr w:rsidR="00500CE8" w:rsidRPr="00C101C2" w14:paraId="76A6C9E3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78527CB1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F259: Schizoaffective disorder, unspecified</w:t>
            </w:r>
          </w:p>
        </w:tc>
        <w:tc>
          <w:tcPr>
            <w:tcW w:w="1322" w:type="dxa"/>
            <w:noWrap/>
            <w:hideMark/>
          </w:tcPr>
          <w:p w14:paraId="0F869B6C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229" w:type="dxa"/>
            <w:noWrap/>
            <w:hideMark/>
          </w:tcPr>
          <w:p w14:paraId="3A05414C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3.15</w:t>
            </w:r>
          </w:p>
        </w:tc>
      </w:tr>
      <w:tr w:rsidR="00500CE8" w:rsidRPr="00C101C2" w14:paraId="25C048CD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779BFC07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F603: Emotionally unstable personality disorder</w:t>
            </w:r>
          </w:p>
        </w:tc>
        <w:tc>
          <w:tcPr>
            <w:tcW w:w="1322" w:type="dxa"/>
            <w:noWrap/>
            <w:hideMark/>
          </w:tcPr>
          <w:p w14:paraId="36208E68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229" w:type="dxa"/>
            <w:noWrap/>
            <w:hideMark/>
          </w:tcPr>
          <w:p w14:paraId="1A03FAFC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</w:tr>
      <w:tr w:rsidR="00500CE8" w:rsidRPr="00C101C2" w14:paraId="6F8ED07D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5CB59D3D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F311: Bipolar affective disorder, current episode manic without psychotic symptoms</w:t>
            </w:r>
          </w:p>
        </w:tc>
        <w:tc>
          <w:tcPr>
            <w:tcW w:w="1322" w:type="dxa"/>
            <w:noWrap/>
            <w:hideMark/>
          </w:tcPr>
          <w:p w14:paraId="3E5E12EA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29" w:type="dxa"/>
            <w:noWrap/>
            <w:hideMark/>
          </w:tcPr>
          <w:p w14:paraId="3A08681C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</w:tr>
      <w:tr w:rsidR="00500CE8" w:rsidRPr="00C101C2" w14:paraId="2BDB79B2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54E12ED7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F200: Paranoid schizophrenia</w:t>
            </w:r>
          </w:p>
        </w:tc>
        <w:tc>
          <w:tcPr>
            <w:tcW w:w="1322" w:type="dxa"/>
            <w:noWrap/>
            <w:hideMark/>
          </w:tcPr>
          <w:p w14:paraId="5DCEC971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29" w:type="dxa"/>
            <w:noWrap/>
            <w:hideMark/>
          </w:tcPr>
          <w:p w14:paraId="6112DDFF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</w:tr>
      <w:tr w:rsidR="00500CE8" w:rsidRPr="00C101C2" w14:paraId="2DD231F8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1DD87762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F329: Depressive episode, unspecified</w:t>
            </w:r>
          </w:p>
        </w:tc>
        <w:tc>
          <w:tcPr>
            <w:tcW w:w="1322" w:type="dxa"/>
            <w:noWrap/>
            <w:hideMark/>
          </w:tcPr>
          <w:p w14:paraId="1468BCA7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229" w:type="dxa"/>
            <w:noWrap/>
            <w:hideMark/>
          </w:tcPr>
          <w:p w14:paraId="111A022D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</w:tr>
      <w:tr w:rsidR="00500CE8" w:rsidRPr="00C101C2" w14:paraId="63F3D716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73D3C4B7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F319: Bipolar affective disorder, unspecified</w:t>
            </w:r>
          </w:p>
        </w:tc>
        <w:tc>
          <w:tcPr>
            <w:tcW w:w="1322" w:type="dxa"/>
            <w:noWrap/>
            <w:hideMark/>
          </w:tcPr>
          <w:p w14:paraId="1E2EA794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29" w:type="dxa"/>
            <w:noWrap/>
            <w:hideMark/>
          </w:tcPr>
          <w:p w14:paraId="7EDF9F6B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1.97</w:t>
            </w:r>
          </w:p>
        </w:tc>
      </w:tr>
      <w:tr w:rsidR="00500CE8" w:rsidRPr="00C101C2" w14:paraId="7A4DDADB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1C8F53B7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F195: Mental and behavioural disorders due to multiple drug use and use of psychoactive substances, psychotic disorder</w:t>
            </w:r>
          </w:p>
        </w:tc>
        <w:tc>
          <w:tcPr>
            <w:tcW w:w="1322" w:type="dxa"/>
            <w:noWrap/>
            <w:hideMark/>
          </w:tcPr>
          <w:p w14:paraId="418B5C76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29" w:type="dxa"/>
            <w:noWrap/>
            <w:hideMark/>
          </w:tcPr>
          <w:p w14:paraId="1A66F190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</w:tr>
      <w:tr w:rsidR="00500CE8" w:rsidRPr="00C101C2" w14:paraId="3FE6DC8B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17D1F095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F102: Mental and behavioural disorders due to use of alcohol, dependence syndrome</w:t>
            </w:r>
          </w:p>
        </w:tc>
        <w:tc>
          <w:tcPr>
            <w:tcW w:w="1322" w:type="dxa"/>
            <w:noWrap/>
            <w:hideMark/>
          </w:tcPr>
          <w:p w14:paraId="6C0742B1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29" w:type="dxa"/>
            <w:noWrap/>
            <w:hideMark/>
          </w:tcPr>
          <w:p w14:paraId="6D9673D6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</w:tr>
      <w:tr w:rsidR="00500CE8" w:rsidRPr="00C101C2" w14:paraId="35C97C2F" w14:textId="77777777" w:rsidTr="00D44444">
        <w:trPr>
          <w:trHeight w:val="320"/>
        </w:trPr>
        <w:tc>
          <w:tcPr>
            <w:tcW w:w="6799" w:type="dxa"/>
            <w:noWrap/>
            <w:hideMark/>
          </w:tcPr>
          <w:p w14:paraId="16A78775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F332: Recurrent depressive disorder, current episode severe without psychotic symptoms</w:t>
            </w:r>
          </w:p>
        </w:tc>
        <w:tc>
          <w:tcPr>
            <w:tcW w:w="1322" w:type="dxa"/>
            <w:noWrap/>
            <w:hideMark/>
          </w:tcPr>
          <w:p w14:paraId="34044781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29" w:type="dxa"/>
            <w:noWrap/>
            <w:hideMark/>
          </w:tcPr>
          <w:p w14:paraId="2337FBF4" w14:textId="77777777" w:rsidR="00C101C2" w:rsidRPr="00C101C2" w:rsidRDefault="00C101C2" w:rsidP="00C101C2">
            <w:pPr>
              <w:rPr>
                <w:rFonts w:ascii="Calibri" w:eastAsia="Times New Roman" w:hAnsi="Calibri" w:cs="Calibri"/>
                <w:color w:val="000000"/>
              </w:rPr>
            </w:pPr>
            <w:r w:rsidRPr="00C101C2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</w:tr>
      <w:tr w:rsidR="00B42242" w:rsidRPr="00C101C2" w14:paraId="21776BE1" w14:textId="77777777" w:rsidTr="00D44444">
        <w:trPr>
          <w:trHeight w:val="320"/>
        </w:trPr>
        <w:tc>
          <w:tcPr>
            <w:tcW w:w="6799" w:type="dxa"/>
            <w:noWrap/>
          </w:tcPr>
          <w:p w14:paraId="6832485B" w14:textId="4B5F3E8E" w:rsidR="00B42242" w:rsidRPr="00C101C2" w:rsidRDefault="00B42242" w:rsidP="00C101C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322" w:type="dxa"/>
            <w:noWrap/>
          </w:tcPr>
          <w:p w14:paraId="6C0EC171" w14:textId="18575764" w:rsidR="00B42242" w:rsidRPr="00C101C2" w:rsidRDefault="003544C5" w:rsidP="00C101C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846 </w:t>
            </w:r>
          </w:p>
        </w:tc>
        <w:tc>
          <w:tcPr>
            <w:tcW w:w="1229" w:type="dxa"/>
            <w:noWrap/>
          </w:tcPr>
          <w:p w14:paraId="0D200BF5" w14:textId="7145A852" w:rsidR="00B42242" w:rsidRPr="00C101C2" w:rsidRDefault="003544C5" w:rsidP="00C101C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21.7</w:t>
            </w:r>
          </w:p>
        </w:tc>
      </w:tr>
      <w:tr w:rsidR="003544C5" w:rsidRPr="00C101C2" w14:paraId="0FE4ABDD" w14:textId="77777777" w:rsidTr="00D44444">
        <w:trPr>
          <w:trHeight w:val="320"/>
        </w:trPr>
        <w:tc>
          <w:tcPr>
            <w:tcW w:w="6799" w:type="dxa"/>
            <w:noWrap/>
          </w:tcPr>
          <w:p w14:paraId="10E453D7" w14:textId="7587738C" w:rsidR="003544C5" w:rsidRPr="00B20C87" w:rsidRDefault="003544C5" w:rsidP="00C101C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0C8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322" w:type="dxa"/>
            <w:noWrap/>
          </w:tcPr>
          <w:p w14:paraId="22710DCA" w14:textId="4D865779" w:rsidR="003544C5" w:rsidRPr="00B20C87" w:rsidRDefault="003544C5" w:rsidP="00C101C2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B20C8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3907</w:t>
            </w:r>
          </w:p>
        </w:tc>
        <w:tc>
          <w:tcPr>
            <w:tcW w:w="1229" w:type="dxa"/>
            <w:noWrap/>
          </w:tcPr>
          <w:p w14:paraId="662AB813" w14:textId="77777777" w:rsidR="003544C5" w:rsidRDefault="003544C5" w:rsidP="00C101C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1DF7E39" w14:textId="23B15CDF" w:rsidR="004328E1" w:rsidRDefault="004328E1">
      <w:pPr>
        <w:rPr>
          <w:rFonts w:ascii="Cambria Math" w:hAnsi="Cambria Math"/>
        </w:rPr>
      </w:pPr>
    </w:p>
    <w:p w14:paraId="2CACE987" w14:textId="77777777" w:rsidR="005979F9" w:rsidRDefault="005979F9">
      <w:pPr>
        <w:rPr>
          <w:rFonts w:ascii="Cambria Math" w:hAnsi="Cambria Math"/>
        </w:rPr>
      </w:pPr>
    </w:p>
    <w:p w14:paraId="6EC8493E" w14:textId="77777777" w:rsidR="005979F9" w:rsidRDefault="005979F9">
      <w:pPr>
        <w:rPr>
          <w:rFonts w:ascii="Cambria Math" w:hAnsi="Cambria Math"/>
        </w:rPr>
      </w:pPr>
    </w:p>
    <w:p w14:paraId="0D421F74" w14:textId="77777777" w:rsidR="005979F9" w:rsidRDefault="005979F9"/>
    <w:p w14:paraId="3C6BE6DA" w14:textId="77777777" w:rsidR="005979F9" w:rsidRDefault="005979F9"/>
    <w:p w14:paraId="6EA77FC7" w14:textId="77777777" w:rsidR="005979F9" w:rsidRDefault="005979F9"/>
    <w:p w14:paraId="1D261D3B" w14:textId="77777777" w:rsidR="005979F9" w:rsidRDefault="005979F9"/>
    <w:p w14:paraId="52890D21" w14:textId="77777777" w:rsidR="005979F9" w:rsidRDefault="005979F9"/>
    <w:p w14:paraId="43D9EC1C" w14:textId="77777777" w:rsidR="005979F9" w:rsidRDefault="005979F9"/>
    <w:p w14:paraId="3659E162" w14:textId="77777777" w:rsidR="005979F9" w:rsidRDefault="005979F9"/>
    <w:p w14:paraId="6E770D80" w14:textId="77777777" w:rsidR="005979F9" w:rsidRDefault="005979F9"/>
    <w:p w14:paraId="0D2F53A1" w14:textId="77777777" w:rsidR="005979F9" w:rsidRDefault="005979F9"/>
    <w:p w14:paraId="24625DC7" w14:textId="77777777" w:rsidR="005979F9" w:rsidRDefault="005979F9"/>
    <w:p w14:paraId="16697EC6" w14:textId="0E59D8C1" w:rsidR="00846C1F" w:rsidRPr="00846C1F" w:rsidRDefault="00846C1F" w:rsidP="00846C1F">
      <w:pPr>
        <w:rPr>
          <w:bCs/>
        </w:rPr>
      </w:pPr>
      <w:proofErr w:type="spellStart"/>
      <w:proofErr w:type="gramStart"/>
      <w:r w:rsidRPr="00846C1F">
        <w:rPr>
          <w:b/>
        </w:rPr>
        <w:lastRenderedPageBreak/>
        <w:t>eTable</w:t>
      </w:r>
      <w:proofErr w:type="spellEnd"/>
      <w:proofErr w:type="gramEnd"/>
      <w:r w:rsidRPr="00846C1F">
        <w:rPr>
          <w:b/>
        </w:rPr>
        <w:t xml:space="preserve"> 4</w:t>
      </w:r>
      <w:r w:rsidRPr="00846C1F">
        <w:rPr>
          <w:bCs/>
        </w:rPr>
        <w:t xml:space="preserve">. </w:t>
      </w:r>
      <w:r w:rsidRPr="00846C1F">
        <w:rPr>
          <w:b/>
        </w:rPr>
        <w:t>Most Responsible Diagnoses Codes for patients with readmission(s) (n=1</w:t>
      </w:r>
      <w:r w:rsidR="00577AD7">
        <w:rPr>
          <w:b/>
        </w:rPr>
        <w:t>,</w:t>
      </w:r>
      <w:r w:rsidRPr="00846C1F">
        <w:rPr>
          <w:b/>
        </w:rPr>
        <w:t>494)</w:t>
      </w:r>
    </w:p>
    <w:p w14:paraId="5F8BC737" w14:textId="77777777" w:rsidR="005979F9" w:rsidRDefault="005979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322"/>
        <w:gridCol w:w="1229"/>
      </w:tblGrid>
      <w:tr w:rsidR="005979F9" w:rsidRPr="00C101C2" w14:paraId="0C8A05F6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3B113704" w14:textId="2CF0736B" w:rsidR="005979F9" w:rsidRPr="00C101C2" w:rsidRDefault="005979F9" w:rsidP="00F82E84">
            <w:pPr>
              <w:rPr>
                <w:rFonts w:ascii="Calibri" w:eastAsia="Times New Roman" w:hAnsi="Calibri" w:cs="Calibri"/>
                <w:b/>
                <w:bCs/>
              </w:rPr>
            </w:pPr>
            <w:r w:rsidRPr="00500CE8">
              <w:rPr>
                <w:rFonts w:ascii="Calibri" w:eastAsia="Times New Roman" w:hAnsi="Calibri" w:cs="Calibri"/>
                <w:b/>
                <w:bCs/>
              </w:rPr>
              <w:t xml:space="preserve">Most </w:t>
            </w:r>
            <w:r>
              <w:rPr>
                <w:rFonts w:ascii="Calibri" w:eastAsia="Times New Roman" w:hAnsi="Calibri" w:cs="Calibri"/>
                <w:b/>
                <w:bCs/>
              </w:rPr>
              <w:t>R</w:t>
            </w:r>
            <w:r w:rsidRPr="00500CE8">
              <w:rPr>
                <w:rFonts w:ascii="Calibri" w:eastAsia="Times New Roman" w:hAnsi="Calibri" w:cs="Calibri"/>
                <w:b/>
                <w:bCs/>
              </w:rPr>
              <w:t>esponsible Diagnosis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(MRD)</w:t>
            </w:r>
          </w:p>
        </w:tc>
        <w:tc>
          <w:tcPr>
            <w:tcW w:w="1322" w:type="dxa"/>
            <w:noWrap/>
            <w:hideMark/>
          </w:tcPr>
          <w:p w14:paraId="1E7863E1" w14:textId="77777777" w:rsidR="005979F9" w:rsidRPr="00C101C2" w:rsidRDefault="005979F9" w:rsidP="00F82E8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CE8">
              <w:rPr>
                <w:rFonts w:ascii="Calibri" w:eastAsia="Times New Roman" w:hAnsi="Calibri" w:cs="Calibri"/>
                <w:b/>
                <w:bCs/>
                <w:color w:val="000000"/>
              </w:rPr>
              <w:t>Frequency</w:t>
            </w:r>
          </w:p>
        </w:tc>
        <w:tc>
          <w:tcPr>
            <w:tcW w:w="1229" w:type="dxa"/>
            <w:noWrap/>
            <w:hideMark/>
          </w:tcPr>
          <w:p w14:paraId="0B9C76E6" w14:textId="77777777" w:rsidR="005979F9" w:rsidRPr="00C101C2" w:rsidRDefault="005979F9" w:rsidP="00F82E8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1C2">
              <w:rPr>
                <w:rFonts w:ascii="Calibri" w:eastAsia="Times New Roman" w:hAnsi="Calibri" w:cs="Calibri"/>
                <w:b/>
                <w:bCs/>
                <w:color w:val="000000"/>
              </w:rPr>
              <w:t>Percent</w:t>
            </w:r>
          </w:p>
        </w:tc>
      </w:tr>
      <w:tr w:rsidR="00E60EDB" w:rsidRPr="00C101C2" w14:paraId="3BE5681A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26136EE2" w14:textId="69D17D76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F209: Schizophrenia, unspecified</w:t>
            </w:r>
          </w:p>
        </w:tc>
        <w:tc>
          <w:tcPr>
            <w:tcW w:w="1322" w:type="dxa"/>
            <w:noWrap/>
            <w:hideMark/>
          </w:tcPr>
          <w:p w14:paraId="529196A3" w14:textId="0175446F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29" w:type="dxa"/>
            <w:noWrap/>
            <w:hideMark/>
          </w:tcPr>
          <w:p w14:paraId="364CD072" w14:textId="45FF54E4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19.81</w:t>
            </w:r>
          </w:p>
        </w:tc>
      </w:tr>
      <w:tr w:rsidR="00E60EDB" w:rsidRPr="00C101C2" w14:paraId="7D6064BE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6AD77A3F" w14:textId="1B1469E1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F252: Schizoaffective disorder, mixed type</w:t>
            </w:r>
          </w:p>
        </w:tc>
        <w:tc>
          <w:tcPr>
            <w:tcW w:w="1322" w:type="dxa"/>
            <w:noWrap/>
            <w:hideMark/>
          </w:tcPr>
          <w:p w14:paraId="6779A3B1" w14:textId="0CCC43B9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229" w:type="dxa"/>
            <w:noWrap/>
            <w:hideMark/>
          </w:tcPr>
          <w:p w14:paraId="4089B137" w14:textId="4E7F7036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13.05</w:t>
            </w:r>
          </w:p>
        </w:tc>
      </w:tr>
      <w:tr w:rsidR="00E60EDB" w:rsidRPr="00C101C2" w14:paraId="5F7F8E89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7605BE16" w14:textId="58A2F01E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F155: Mental and behavioural disorders due to use of other stimulants including caffeine, psychotic disorder</w:t>
            </w:r>
          </w:p>
        </w:tc>
        <w:tc>
          <w:tcPr>
            <w:tcW w:w="1322" w:type="dxa"/>
            <w:noWrap/>
            <w:hideMark/>
          </w:tcPr>
          <w:p w14:paraId="555A55F1" w14:textId="79C9681E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229" w:type="dxa"/>
            <w:noWrap/>
            <w:hideMark/>
          </w:tcPr>
          <w:p w14:paraId="059FD373" w14:textId="71B207E1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11.98</w:t>
            </w:r>
          </w:p>
        </w:tc>
      </w:tr>
      <w:tr w:rsidR="00E60EDB" w:rsidRPr="00C101C2" w14:paraId="42DB79C2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3B8BFA9B" w14:textId="56AD903A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F29: Unspecified nonorganic psychosis</w:t>
            </w:r>
          </w:p>
        </w:tc>
        <w:tc>
          <w:tcPr>
            <w:tcW w:w="1322" w:type="dxa"/>
            <w:noWrap/>
            <w:hideMark/>
          </w:tcPr>
          <w:p w14:paraId="0419E82D" w14:textId="46570B58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229" w:type="dxa"/>
            <w:noWrap/>
            <w:hideMark/>
          </w:tcPr>
          <w:p w14:paraId="70ECADFB" w14:textId="00A7BED2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11.91</w:t>
            </w:r>
          </w:p>
        </w:tc>
      </w:tr>
      <w:tr w:rsidR="00E60EDB" w:rsidRPr="00C101C2" w14:paraId="724D65F1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78DADFD0" w14:textId="22D1BD90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F312: Bipolar affective disorder, current episode manic with psychotic symptoms</w:t>
            </w:r>
          </w:p>
        </w:tc>
        <w:tc>
          <w:tcPr>
            <w:tcW w:w="1322" w:type="dxa"/>
            <w:noWrap/>
            <w:hideMark/>
          </w:tcPr>
          <w:p w14:paraId="7FC934AE" w14:textId="42DA5EF7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229" w:type="dxa"/>
            <w:noWrap/>
            <w:hideMark/>
          </w:tcPr>
          <w:p w14:paraId="64F6FCCE" w14:textId="381BDE67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6.22</w:t>
            </w:r>
          </w:p>
        </w:tc>
      </w:tr>
      <w:tr w:rsidR="00E60EDB" w:rsidRPr="00C101C2" w14:paraId="07AD568F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1E4CB91A" w14:textId="6AFD3D02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F259: Schizoaffective disorder, unspecified</w:t>
            </w:r>
          </w:p>
        </w:tc>
        <w:tc>
          <w:tcPr>
            <w:tcW w:w="1322" w:type="dxa"/>
            <w:noWrap/>
            <w:hideMark/>
          </w:tcPr>
          <w:p w14:paraId="0065D950" w14:textId="5E42AA36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29" w:type="dxa"/>
            <w:noWrap/>
            <w:hideMark/>
          </w:tcPr>
          <w:p w14:paraId="5E4E94BF" w14:textId="2086DC94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</w:t>
            </w:r>
          </w:p>
        </w:tc>
      </w:tr>
      <w:tr w:rsidR="00E60EDB" w:rsidRPr="00C101C2" w14:paraId="063E22B4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1FDE4E6B" w14:textId="65D7CE44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F200: Paranoid schizophrenia</w:t>
            </w:r>
          </w:p>
        </w:tc>
        <w:tc>
          <w:tcPr>
            <w:tcW w:w="1322" w:type="dxa"/>
            <w:noWrap/>
            <w:hideMark/>
          </w:tcPr>
          <w:p w14:paraId="2E7327A1" w14:textId="5D48DAB7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29" w:type="dxa"/>
            <w:noWrap/>
            <w:hideMark/>
          </w:tcPr>
          <w:p w14:paraId="12C40D47" w14:textId="1FA87A72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</w:t>
            </w:r>
          </w:p>
        </w:tc>
      </w:tr>
      <w:tr w:rsidR="00E60EDB" w:rsidRPr="00C101C2" w14:paraId="333A4ECE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18C618ED" w14:textId="2893BA41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F603: Emotionally unstable personality disorder</w:t>
            </w:r>
          </w:p>
        </w:tc>
        <w:tc>
          <w:tcPr>
            <w:tcW w:w="1322" w:type="dxa"/>
            <w:noWrap/>
            <w:hideMark/>
          </w:tcPr>
          <w:p w14:paraId="02B70528" w14:textId="7CB073F8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29" w:type="dxa"/>
            <w:noWrap/>
            <w:hideMark/>
          </w:tcPr>
          <w:p w14:paraId="424D86D4" w14:textId="6463E05C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</w:t>
            </w:r>
          </w:p>
        </w:tc>
      </w:tr>
      <w:tr w:rsidR="00E60EDB" w:rsidRPr="00C101C2" w14:paraId="19933869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5EEE12DF" w14:textId="17480CF0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F319: Bipolar affective disorder, unspecified</w:t>
            </w:r>
          </w:p>
        </w:tc>
        <w:tc>
          <w:tcPr>
            <w:tcW w:w="1322" w:type="dxa"/>
            <w:noWrap/>
            <w:hideMark/>
          </w:tcPr>
          <w:p w14:paraId="6E56CD46" w14:textId="21245D71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29" w:type="dxa"/>
            <w:noWrap/>
            <w:hideMark/>
          </w:tcPr>
          <w:p w14:paraId="130DF596" w14:textId="1DFB76A3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</w:t>
            </w:r>
          </w:p>
        </w:tc>
      </w:tr>
      <w:tr w:rsidR="00E60EDB" w:rsidRPr="00C101C2" w14:paraId="178D6FAA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3FE7E179" w14:textId="37B1DE4A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F195: Mental and behavioural disorders due to multiple drug use and use of psychoactive substances, psychotic disorder</w:t>
            </w:r>
          </w:p>
        </w:tc>
        <w:tc>
          <w:tcPr>
            <w:tcW w:w="1322" w:type="dxa"/>
            <w:noWrap/>
            <w:hideMark/>
          </w:tcPr>
          <w:p w14:paraId="3DC1A3D1" w14:textId="2C223EBD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29" w:type="dxa"/>
            <w:noWrap/>
            <w:hideMark/>
          </w:tcPr>
          <w:p w14:paraId="48B65FFE" w14:textId="4157C2F2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</w:t>
            </w:r>
          </w:p>
        </w:tc>
      </w:tr>
      <w:tr w:rsidR="00E60EDB" w:rsidRPr="00C101C2" w14:paraId="0D2DA8EC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28017ED0" w14:textId="1D482F17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F311: Bipolar affective disorder, current episode manic without psychotic symptoms</w:t>
            </w:r>
          </w:p>
        </w:tc>
        <w:tc>
          <w:tcPr>
            <w:tcW w:w="1322" w:type="dxa"/>
            <w:noWrap/>
            <w:hideMark/>
          </w:tcPr>
          <w:p w14:paraId="5C6AB1ED" w14:textId="2E837994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29" w:type="dxa"/>
            <w:noWrap/>
            <w:hideMark/>
          </w:tcPr>
          <w:p w14:paraId="0438AC11" w14:textId="0506A88A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</w:t>
            </w:r>
          </w:p>
        </w:tc>
      </w:tr>
      <w:tr w:rsidR="00E60EDB" w:rsidRPr="00C101C2" w14:paraId="407860CA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2BB627AC" w14:textId="1D6B28AD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F205: Residual schizophrenia</w:t>
            </w:r>
          </w:p>
        </w:tc>
        <w:tc>
          <w:tcPr>
            <w:tcW w:w="1322" w:type="dxa"/>
            <w:noWrap/>
            <w:hideMark/>
          </w:tcPr>
          <w:p w14:paraId="061CC555" w14:textId="43BF307A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29" w:type="dxa"/>
            <w:noWrap/>
            <w:hideMark/>
          </w:tcPr>
          <w:p w14:paraId="18CB0B2C" w14:textId="3B9944F7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E60EDB" w:rsidRPr="00C101C2" w14:paraId="79794724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6525FBFF" w14:textId="0F877783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F322: Severe depressive episode without psychotic symptoms</w:t>
            </w:r>
          </w:p>
        </w:tc>
        <w:tc>
          <w:tcPr>
            <w:tcW w:w="1322" w:type="dxa"/>
            <w:noWrap/>
            <w:hideMark/>
          </w:tcPr>
          <w:p w14:paraId="7D4164F0" w14:textId="3E399525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29" w:type="dxa"/>
            <w:noWrap/>
            <w:hideMark/>
          </w:tcPr>
          <w:p w14:paraId="50CA3C54" w14:textId="36A1D6D1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E60EDB" w:rsidRPr="00C101C2" w14:paraId="6B7D2AE8" w14:textId="77777777" w:rsidTr="00F82E84">
        <w:trPr>
          <w:trHeight w:val="320"/>
        </w:trPr>
        <w:tc>
          <w:tcPr>
            <w:tcW w:w="6799" w:type="dxa"/>
            <w:noWrap/>
            <w:hideMark/>
          </w:tcPr>
          <w:p w14:paraId="3CAB2E1C" w14:textId="13C928D1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F250: Schizoaffective disorder, manic type</w:t>
            </w:r>
          </w:p>
        </w:tc>
        <w:tc>
          <w:tcPr>
            <w:tcW w:w="1322" w:type="dxa"/>
            <w:noWrap/>
            <w:hideMark/>
          </w:tcPr>
          <w:p w14:paraId="0E14AFBB" w14:textId="671F70C7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29" w:type="dxa"/>
            <w:noWrap/>
            <w:hideMark/>
          </w:tcPr>
          <w:p w14:paraId="4AA65E51" w14:textId="0DEF0537" w:rsidR="00E60EDB" w:rsidRPr="00C101C2" w:rsidRDefault="00E60EDB" w:rsidP="00E60ED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20C87" w:rsidRPr="00C101C2" w14:paraId="50B61E90" w14:textId="77777777" w:rsidTr="00F82E84">
        <w:trPr>
          <w:trHeight w:val="320"/>
        </w:trPr>
        <w:tc>
          <w:tcPr>
            <w:tcW w:w="6799" w:type="dxa"/>
            <w:noWrap/>
          </w:tcPr>
          <w:p w14:paraId="2FE62655" w14:textId="6E6C839F" w:rsidR="00B20C87" w:rsidRDefault="00B20C87" w:rsidP="00E60E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322" w:type="dxa"/>
            <w:noWrap/>
          </w:tcPr>
          <w:p w14:paraId="2B59695D" w14:textId="12CB6EC8" w:rsidR="00B20C87" w:rsidRDefault="00875A44" w:rsidP="00E60E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229" w:type="dxa"/>
            <w:noWrap/>
          </w:tcPr>
          <w:p w14:paraId="202BF080" w14:textId="11D4F1E8" w:rsidR="00B20C87" w:rsidRDefault="00875A44" w:rsidP="00E60E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15.5%</w:t>
            </w:r>
          </w:p>
        </w:tc>
      </w:tr>
      <w:tr w:rsidR="00875A44" w:rsidRPr="00C101C2" w14:paraId="198ECAEF" w14:textId="77777777" w:rsidTr="00F82E84">
        <w:trPr>
          <w:trHeight w:val="320"/>
        </w:trPr>
        <w:tc>
          <w:tcPr>
            <w:tcW w:w="6799" w:type="dxa"/>
            <w:noWrap/>
          </w:tcPr>
          <w:p w14:paraId="40A7559F" w14:textId="07843A9F" w:rsidR="00875A44" w:rsidRDefault="00875A44" w:rsidP="00E60E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22" w:type="dxa"/>
            <w:noWrap/>
          </w:tcPr>
          <w:p w14:paraId="6E8C8036" w14:textId="4415D9A5" w:rsidR="00875A44" w:rsidRDefault="00875A44" w:rsidP="00E60E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1494</w:t>
            </w:r>
          </w:p>
        </w:tc>
        <w:tc>
          <w:tcPr>
            <w:tcW w:w="1229" w:type="dxa"/>
            <w:noWrap/>
          </w:tcPr>
          <w:p w14:paraId="1F1F9473" w14:textId="77777777" w:rsidR="00875A44" w:rsidRDefault="00875A44" w:rsidP="00E60ED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53FC910" w14:textId="77777777" w:rsidR="005979F9" w:rsidRDefault="005979F9"/>
    <w:sectPr w:rsidR="005979F9">
      <w:footnotePr>
        <w:numRestart w:val="eachPage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15FA8" w14:textId="77777777" w:rsidR="00D90F50" w:rsidRDefault="00D90F50" w:rsidP="00D7615C">
      <w:r>
        <w:separator/>
      </w:r>
    </w:p>
  </w:endnote>
  <w:endnote w:type="continuationSeparator" w:id="0">
    <w:p w14:paraId="5AB093BB" w14:textId="77777777" w:rsidR="00D90F50" w:rsidRDefault="00D90F50" w:rsidP="00D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AF7AE" w14:textId="77777777" w:rsidR="00D90F50" w:rsidRDefault="00D90F50" w:rsidP="00D7615C">
      <w:r>
        <w:separator/>
      </w:r>
    </w:p>
  </w:footnote>
  <w:footnote w:type="continuationSeparator" w:id="0">
    <w:p w14:paraId="02252897" w14:textId="77777777" w:rsidR="00D90F50" w:rsidRDefault="00D90F50" w:rsidP="00D7615C">
      <w:r>
        <w:continuationSeparator/>
      </w:r>
    </w:p>
  </w:footnote>
  <w:footnote w:id="1">
    <w:p w14:paraId="3E4A7A6B" w14:textId="77777777" w:rsidR="00D7615C" w:rsidRPr="00FA63A5" w:rsidRDefault="00D7615C" w:rsidP="00D7615C">
      <w:pPr>
        <w:pStyle w:val="FootnoteText"/>
        <w:rPr>
          <w:rFonts w:asciiTheme="minorHAnsi" w:hAnsiTheme="minorHAnsi" w:cstheme="minorHAnsi"/>
          <w:sz w:val="20"/>
          <w:szCs w:val="20"/>
        </w:rPr>
      </w:pPr>
      <w:r w:rsidRPr="00FA63A5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FA63A5">
        <w:rPr>
          <w:rFonts w:asciiTheme="minorHAnsi" w:hAnsiTheme="minorHAnsi" w:cstheme="minorHAnsi"/>
          <w:sz w:val="20"/>
          <w:szCs w:val="20"/>
        </w:rPr>
        <w:t xml:space="preserve"> -Homelessness at index visit was used as a fixed covariate.   </w:t>
      </w:r>
    </w:p>
  </w:footnote>
  <w:footnote w:id="2">
    <w:p w14:paraId="4A4733FF" w14:textId="77777777" w:rsidR="00D7615C" w:rsidRPr="00FA63A5" w:rsidRDefault="00D7615C" w:rsidP="00D7615C">
      <w:pPr>
        <w:rPr>
          <w:rFonts w:cstheme="minorHAnsi"/>
          <w:sz w:val="20"/>
          <w:szCs w:val="20"/>
        </w:rPr>
      </w:pPr>
      <w:r w:rsidRPr="00FA63A5">
        <w:rPr>
          <w:rFonts w:cstheme="minorHAnsi"/>
          <w:sz w:val="20"/>
          <w:szCs w:val="20"/>
          <w:vertAlign w:val="superscript"/>
        </w:rPr>
        <w:footnoteRef/>
      </w:r>
      <w:r w:rsidRPr="00FA63A5">
        <w:rPr>
          <w:rFonts w:cstheme="minorHAnsi"/>
          <w:sz w:val="20"/>
          <w:szCs w:val="20"/>
        </w:rPr>
        <w:t xml:space="preserve"> -This cox model includes homelessness and the interaction terms with time (at 1 &amp; 2 years).  </w:t>
      </w:r>
    </w:p>
  </w:footnote>
  <w:footnote w:id="3">
    <w:p w14:paraId="28A2ACFB" w14:textId="77777777" w:rsidR="00D7615C" w:rsidRPr="00FA63A5" w:rsidRDefault="00D7615C" w:rsidP="00D7615C">
      <w:pPr>
        <w:rPr>
          <w:rFonts w:cstheme="minorHAnsi"/>
          <w:sz w:val="20"/>
          <w:szCs w:val="20"/>
        </w:rPr>
      </w:pPr>
      <w:r w:rsidRPr="00FA63A5">
        <w:rPr>
          <w:rFonts w:cstheme="minorHAnsi"/>
          <w:sz w:val="20"/>
          <w:szCs w:val="20"/>
          <w:vertAlign w:val="superscript"/>
        </w:rPr>
        <w:footnoteRef/>
      </w:r>
      <w:r w:rsidRPr="00FA63A5">
        <w:rPr>
          <w:rFonts w:cstheme="minorHAnsi"/>
          <w:sz w:val="20"/>
          <w:szCs w:val="20"/>
        </w:rPr>
        <w:t xml:space="preserve"> -95% CIs and both unadjusted and adjusted hazard ratios were estimated using Robust Standard Errors. </w:t>
      </w:r>
    </w:p>
  </w:footnote>
  <w:footnote w:id="4">
    <w:p w14:paraId="03D2EFE1" w14:textId="483B03F9" w:rsidR="00D7615C" w:rsidRPr="00FA63A5" w:rsidRDefault="00D7615C" w:rsidP="00D7615C">
      <w:pPr>
        <w:rPr>
          <w:rFonts w:cstheme="minorHAnsi"/>
          <w:sz w:val="20"/>
          <w:szCs w:val="20"/>
        </w:rPr>
      </w:pPr>
      <w:r w:rsidRPr="00FA63A5">
        <w:rPr>
          <w:rFonts w:cstheme="minorHAnsi"/>
          <w:sz w:val="20"/>
          <w:szCs w:val="20"/>
          <w:vertAlign w:val="superscript"/>
        </w:rPr>
        <w:footnoteRef/>
      </w:r>
      <w:r w:rsidRPr="00FA63A5">
        <w:rPr>
          <w:rFonts w:cstheme="minorHAnsi"/>
          <w:sz w:val="20"/>
          <w:szCs w:val="20"/>
        </w:rPr>
        <w:t xml:space="preserve"> -</w:t>
      </w:r>
      <w:r w:rsidRPr="00C55D93">
        <w:rPr>
          <w:rFonts w:cstheme="minorHAnsi"/>
          <w:sz w:val="20"/>
          <w:szCs w:val="20"/>
        </w:rPr>
        <w:t xml:space="preserve"> </w:t>
      </w:r>
      <w:r w:rsidRPr="00FA63A5">
        <w:rPr>
          <w:rFonts w:cstheme="minorHAnsi"/>
          <w:sz w:val="20"/>
          <w:szCs w:val="20"/>
        </w:rPr>
        <w:t>The multivariable Cox model was controlled for age at index visit (continuous measure), gender (men, women &amp; unknown/other); length of stay at index visit (continuous measure)</w:t>
      </w:r>
      <w:r>
        <w:rPr>
          <w:rFonts w:cstheme="minorHAnsi"/>
          <w:sz w:val="20"/>
          <w:szCs w:val="20"/>
        </w:rPr>
        <w:t xml:space="preserve">, substance use </w:t>
      </w:r>
      <w:proofErr w:type="gramStart"/>
      <w:r w:rsidR="009A0EBD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isorder </w:t>
      </w:r>
      <w:r w:rsidRPr="00FA63A5">
        <w:rPr>
          <w:rFonts w:cstheme="minorHAnsi"/>
          <w:sz w:val="20"/>
          <w:szCs w:val="20"/>
        </w:rPr>
        <w:t xml:space="preserve"> (</w:t>
      </w:r>
      <w:proofErr w:type="gramEnd"/>
      <w:r w:rsidRPr="00FA63A5">
        <w:rPr>
          <w:rFonts w:cstheme="minorHAnsi"/>
          <w:sz w:val="20"/>
          <w:szCs w:val="20"/>
        </w:rPr>
        <w:t xml:space="preserve">no vs. yes) </w:t>
      </w:r>
      <w:r>
        <w:rPr>
          <w:rFonts w:cstheme="minorHAnsi"/>
          <w:sz w:val="20"/>
          <w:szCs w:val="20"/>
        </w:rPr>
        <w:t xml:space="preserve">as reason of stay </w:t>
      </w:r>
      <w:r w:rsidRPr="00FA63A5">
        <w:rPr>
          <w:rFonts w:cstheme="minorHAnsi"/>
          <w:sz w:val="20"/>
          <w:szCs w:val="20"/>
        </w:rPr>
        <w:t>at index visi</w:t>
      </w:r>
      <w:r>
        <w:rPr>
          <w:rFonts w:cstheme="minorHAnsi"/>
          <w:sz w:val="20"/>
          <w:szCs w:val="20"/>
        </w:rPr>
        <w:t xml:space="preserve">t </w:t>
      </w:r>
      <w:r w:rsidRPr="00FA63A5">
        <w:rPr>
          <w:rFonts w:cstheme="minorHAnsi"/>
          <w:sz w:val="20"/>
          <w:szCs w:val="20"/>
        </w:rPr>
        <w:t xml:space="preserve">and severe (either schizophrenia or bipolar disorder) mental illness (no vs. yes) </w:t>
      </w:r>
      <w:r>
        <w:rPr>
          <w:rFonts w:cstheme="minorHAnsi"/>
          <w:sz w:val="20"/>
          <w:szCs w:val="20"/>
        </w:rPr>
        <w:t xml:space="preserve">as reason of stay </w:t>
      </w:r>
      <w:r w:rsidRPr="00FA63A5">
        <w:rPr>
          <w:rFonts w:cstheme="minorHAnsi"/>
          <w:sz w:val="20"/>
          <w:szCs w:val="20"/>
        </w:rPr>
        <w:t>at index visit.</w:t>
      </w:r>
    </w:p>
  </w:footnote>
  <w:footnote w:id="5">
    <w:p w14:paraId="2FF32702" w14:textId="77777777" w:rsidR="009A0EBD" w:rsidRPr="00FA63A5" w:rsidRDefault="009A0EBD" w:rsidP="009A0EBD">
      <w:pPr>
        <w:pStyle w:val="FootnoteText"/>
        <w:rPr>
          <w:rFonts w:asciiTheme="minorHAnsi" w:hAnsiTheme="minorHAnsi" w:cstheme="minorHAnsi"/>
          <w:sz w:val="20"/>
          <w:szCs w:val="20"/>
        </w:rPr>
      </w:pPr>
      <w:r w:rsidRPr="00FA63A5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FA63A5">
        <w:rPr>
          <w:rFonts w:asciiTheme="minorHAnsi" w:hAnsiTheme="minorHAnsi" w:cstheme="minorHAnsi"/>
          <w:sz w:val="20"/>
          <w:szCs w:val="20"/>
        </w:rPr>
        <w:t xml:space="preserve"> -Homelessness was used as </w:t>
      </w:r>
      <w:r>
        <w:rPr>
          <w:rFonts w:asciiTheme="minorHAnsi" w:hAnsiTheme="minorHAnsi" w:cstheme="minorHAnsi"/>
          <w:sz w:val="20"/>
          <w:szCs w:val="20"/>
        </w:rPr>
        <w:t>time-varying</w:t>
      </w:r>
      <w:r w:rsidRPr="00FA63A5">
        <w:rPr>
          <w:rFonts w:asciiTheme="minorHAnsi" w:hAnsiTheme="minorHAnsi" w:cstheme="minorHAnsi"/>
          <w:sz w:val="20"/>
          <w:szCs w:val="20"/>
        </w:rPr>
        <w:t xml:space="preserve"> covariate.   </w:t>
      </w:r>
    </w:p>
  </w:footnote>
  <w:footnote w:id="6">
    <w:p w14:paraId="1E2C4548" w14:textId="77777777" w:rsidR="009A0EBD" w:rsidRPr="00FA63A5" w:rsidRDefault="009A0EBD" w:rsidP="009A0EBD">
      <w:pPr>
        <w:rPr>
          <w:rFonts w:cstheme="minorHAnsi"/>
          <w:sz w:val="20"/>
          <w:szCs w:val="20"/>
        </w:rPr>
      </w:pPr>
      <w:r w:rsidRPr="00FA63A5">
        <w:rPr>
          <w:rFonts w:cstheme="minorHAnsi"/>
          <w:sz w:val="20"/>
          <w:szCs w:val="20"/>
          <w:vertAlign w:val="superscript"/>
        </w:rPr>
        <w:footnoteRef/>
      </w:r>
      <w:r w:rsidRPr="00FA63A5">
        <w:rPr>
          <w:rFonts w:cstheme="minorHAnsi"/>
          <w:sz w:val="20"/>
          <w:szCs w:val="20"/>
        </w:rPr>
        <w:t xml:space="preserve"> -This cox model includes homelessness and the interaction terms with time (at </w:t>
      </w:r>
      <w:r>
        <w:rPr>
          <w:rFonts w:cstheme="minorHAnsi"/>
          <w:sz w:val="20"/>
          <w:szCs w:val="20"/>
        </w:rPr>
        <w:t>30</w:t>
      </w:r>
      <w:r w:rsidRPr="00FA63A5">
        <w:rPr>
          <w:rFonts w:cstheme="minorHAnsi"/>
          <w:sz w:val="20"/>
          <w:szCs w:val="20"/>
        </w:rPr>
        <w:t xml:space="preserve"> &amp; </w:t>
      </w:r>
      <w:r>
        <w:rPr>
          <w:rFonts w:cstheme="minorHAnsi"/>
          <w:sz w:val="20"/>
          <w:szCs w:val="20"/>
        </w:rPr>
        <w:t>90</w:t>
      </w:r>
      <w:r w:rsidRPr="00FA63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days</w:t>
      </w:r>
      <w:r w:rsidRPr="00FA63A5">
        <w:rPr>
          <w:rFonts w:cstheme="minorHAnsi"/>
          <w:sz w:val="20"/>
          <w:szCs w:val="20"/>
        </w:rPr>
        <w:t xml:space="preserve">).  </w:t>
      </w:r>
    </w:p>
  </w:footnote>
  <w:footnote w:id="7">
    <w:p w14:paraId="236A8E8F" w14:textId="77777777" w:rsidR="009A0EBD" w:rsidRPr="00FA63A5" w:rsidRDefault="009A0EBD" w:rsidP="009A0EBD">
      <w:pPr>
        <w:rPr>
          <w:rFonts w:cstheme="minorHAnsi"/>
          <w:sz w:val="20"/>
          <w:szCs w:val="20"/>
        </w:rPr>
      </w:pPr>
      <w:r w:rsidRPr="00FA63A5">
        <w:rPr>
          <w:rFonts w:cstheme="minorHAnsi"/>
          <w:sz w:val="20"/>
          <w:szCs w:val="20"/>
          <w:vertAlign w:val="superscript"/>
        </w:rPr>
        <w:footnoteRef/>
      </w:r>
      <w:r w:rsidRPr="00FA63A5">
        <w:rPr>
          <w:rFonts w:cstheme="minorHAnsi"/>
          <w:sz w:val="20"/>
          <w:szCs w:val="20"/>
        </w:rPr>
        <w:t xml:space="preserve"> -95% CIs and both unadjusted and adjusted hazard ratios were estimated using Robust Standard Errors. </w:t>
      </w:r>
    </w:p>
  </w:footnote>
  <w:footnote w:id="8">
    <w:p w14:paraId="49EBCEA7" w14:textId="2725AA29" w:rsidR="009A0EBD" w:rsidRPr="00FA63A5" w:rsidRDefault="009A0EBD" w:rsidP="009A0EBD">
      <w:pPr>
        <w:rPr>
          <w:rFonts w:cstheme="minorHAnsi"/>
          <w:sz w:val="20"/>
          <w:szCs w:val="20"/>
        </w:rPr>
      </w:pPr>
      <w:r w:rsidRPr="00FA63A5">
        <w:rPr>
          <w:rFonts w:cstheme="minorHAnsi"/>
          <w:sz w:val="20"/>
          <w:szCs w:val="20"/>
          <w:vertAlign w:val="superscript"/>
        </w:rPr>
        <w:footnoteRef/>
      </w:r>
      <w:r w:rsidRPr="00FA63A5">
        <w:rPr>
          <w:rFonts w:cstheme="minorHAnsi"/>
          <w:sz w:val="20"/>
          <w:szCs w:val="20"/>
        </w:rPr>
        <w:t xml:space="preserve"> -The multivariable Cox model was controlled for age at index visit (continuous measure), gender (men, women &amp; unknown/other); length of stay at index visit (continuous measure)</w:t>
      </w:r>
      <w:r>
        <w:rPr>
          <w:rFonts w:cstheme="minorHAnsi"/>
          <w:sz w:val="20"/>
          <w:szCs w:val="20"/>
        </w:rPr>
        <w:t xml:space="preserve">, substance use disorder </w:t>
      </w:r>
      <w:r w:rsidRPr="00FA63A5">
        <w:rPr>
          <w:rFonts w:cstheme="minorHAnsi"/>
          <w:sz w:val="20"/>
          <w:szCs w:val="20"/>
        </w:rPr>
        <w:t xml:space="preserve">(no vs. yes) </w:t>
      </w:r>
      <w:r>
        <w:rPr>
          <w:rFonts w:cstheme="minorHAnsi"/>
          <w:sz w:val="20"/>
          <w:szCs w:val="20"/>
        </w:rPr>
        <w:t xml:space="preserve">as reason of stay </w:t>
      </w:r>
      <w:r w:rsidRPr="00FA63A5">
        <w:rPr>
          <w:rFonts w:cstheme="minorHAnsi"/>
          <w:sz w:val="20"/>
          <w:szCs w:val="20"/>
        </w:rPr>
        <w:t>at index visi</w:t>
      </w:r>
      <w:r>
        <w:rPr>
          <w:rFonts w:cstheme="minorHAnsi"/>
          <w:sz w:val="20"/>
          <w:szCs w:val="20"/>
        </w:rPr>
        <w:t xml:space="preserve">t </w:t>
      </w:r>
      <w:r w:rsidRPr="00FA63A5">
        <w:rPr>
          <w:rFonts w:cstheme="minorHAnsi"/>
          <w:sz w:val="20"/>
          <w:szCs w:val="20"/>
        </w:rPr>
        <w:t xml:space="preserve">and severe mental illness (either schizophrenia or bipolar disorder) (no vs. yes) </w:t>
      </w:r>
      <w:r>
        <w:rPr>
          <w:rFonts w:cstheme="minorHAnsi"/>
          <w:sz w:val="20"/>
          <w:szCs w:val="20"/>
        </w:rPr>
        <w:t xml:space="preserve">as reason of stay </w:t>
      </w:r>
      <w:r w:rsidRPr="00FA63A5">
        <w:rPr>
          <w:rFonts w:cstheme="minorHAnsi"/>
          <w:sz w:val="20"/>
          <w:szCs w:val="20"/>
        </w:rPr>
        <w:t>at index visit.</w:t>
      </w:r>
    </w:p>
  </w:footnote>
  <w:footnote w:id="9">
    <w:p w14:paraId="7663BA2D" w14:textId="77777777" w:rsidR="009A0EBD" w:rsidRPr="00102779" w:rsidRDefault="009A0EBD" w:rsidP="009A0EBD">
      <w:pPr>
        <w:pStyle w:val="FootnoteText"/>
        <w:rPr>
          <w:rFonts w:asciiTheme="minorHAnsi" w:hAnsiTheme="minorHAnsi" w:cstheme="minorHAnsi"/>
          <w:sz w:val="20"/>
          <w:szCs w:val="20"/>
          <w:lang w:val="en-CA"/>
        </w:rPr>
      </w:pPr>
      <w:r w:rsidRPr="00102779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102779">
        <w:rPr>
          <w:rFonts w:asciiTheme="minorHAnsi" w:hAnsiTheme="minorHAnsi" w:cstheme="minorHAnsi"/>
          <w:sz w:val="20"/>
          <w:szCs w:val="20"/>
        </w:rPr>
        <w:t xml:space="preserve"> </w:t>
      </w:r>
      <w:r w:rsidRPr="00102779">
        <w:rPr>
          <w:rFonts w:asciiTheme="minorHAnsi" w:hAnsiTheme="minorHAnsi" w:cstheme="minorHAnsi"/>
          <w:sz w:val="20"/>
          <w:szCs w:val="20"/>
          <w:lang w:val="en-CA"/>
        </w:rPr>
        <w:t xml:space="preserve">- * </w:t>
      </w:r>
      <w:r>
        <w:rPr>
          <w:rFonts w:asciiTheme="minorHAnsi" w:hAnsiTheme="minorHAnsi" w:cstheme="minorHAnsi"/>
          <w:sz w:val="20"/>
          <w:szCs w:val="20"/>
          <w:lang w:val="en-CA"/>
        </w:rPr>
        <w:t>I</w:t>
      </w:r>
      <w:r w:rsidRPr="00102779">
        <w:rPr>
          <w:rFonts w:asciiTheme="minorHAnsi" w:hAnsiTheme="minorHAnsi" w:cstheme="minorHAnsi"/>
          <w:sz w:val="20"/>
          <w:szCs w:val="20"/>
          <w:lang w:val="en-CA"/>
        </w:rPr>
        <w:t>ndicated interaction term between follow up time and homelessness status</w:t>
      </w:r>
      <w:r>
        <w:rPr>
          <w:rFonts w:asciiTheme="minorHAnsi" w:hAnsiTheme="minorHAnsi" w:cstheme="minorHAnsi"/>
          <w:sz w:val="20"/>
          <w:szCs w:val="20"/>
          <w:lang w:val="en-CA"/>
        </w:rPr>
        <w:t>.</w:t>
      </w:r>
      <w:r w:rsidRPr="0010277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5C"/>
    <w:rsid w:val="0007444F"/>
    <w:rsid w:val="00091967"/>
    <w:rsid w:val="001A077F"/>
    <w:rsid w:val="00205634"/>
    <w:rsid w:val="00256947"/>
    <w:rsid w:val="002C7908"/>
    <w:rsid w:val="003544C5"/>
    <w:rsid w:val="004328E1"/>
    <w:rsid w:val="0043415C"/>
    <w:rsid w:val="00500CE8"/>
    <w:rsid w:val="00577AD7"/>
    <w:rsid w:val="005979F9"/>
    <w:rsid w:val="0062158F"/>
    <w:rsid w:val="00621D08"/>
    <w:rsid w:val="00637553"/>
    <w:rsid w:val="006446A5"/>
    <w:rsid w:val="0075357A"/>
    <w:rsid w:val="007A0FD7"/>
    <w:rsid w:val="00835B85"/>
    <w:rsid w:val="00846C1F"/>
    <w:rsid w:val="00875A44"/>
    <w:rsid w:val="00916AF6"/>
    <w:rsid w:val="009A0EBD"/>
    <w:rsid w:val="009C4D57"/>
    <w:rsid w:val="00A3269A"/>
    <w:rsid w:val="00A42EA9"/>
    <w:rsid w:val="00A556EC"/>
    <w:rsid w:val="00B12154"/>
    <w:rsid w:val="00B20C87"/>
    <w:rsid w:val="00B42242"/>
    <w:rsid w:val="00C101C2"/>
    <w:rsid w:val="00CC73EB"/>
    <w:rsid w:val="00CF306A"/>
    <w:rsid w:val="00D44444"/>
    <w:rsid w:val="00D7615C"/>
    <w:rsid w:val="00D90F50"/>
    <w:rsid w:val="00E1209D"/>
    <w:rsid w:val="00E60EDB"/>
    <w:rsid w:val="00EF421E"/>
    <w:rsid w:val="00EF5608"/>
    <w:rsid w:val="00F17235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7817"/>
  <w15:chartTrackingRefBased/>
  <w15:docId w15:val="{8C2C0160-476D-874D-AB96-B5663E94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7615C"/>
    <w:pPr>
      <w:widowControl w:val="0"/>
    </w:pPr>
    <w:rPr>
      <w:rFonts w:ascii="Arial" w:eastAsia="Arial" w:hAnsi="Arial" w:cs="Arial"/>
      <w:color w:val="00000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615C"/>
    <w:rPr>
      <w:rFonts w:ascii="Arial" w:eastAsia="Arial" w:hAnsi="Arial" w:cs="Arial"/>
      <w:color w:val="00000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7615C"/>
    <w:rPr>
      <w:vertAlign w:val="superscript"/>
    </w:rPr>
  </w:style>
  <w:style w:type="table" w:styleId="TableGrid">
    <w:name w:val="Table Grid"/>
    <w:basedOn w:val="TableNormal"/>
    <w:uiPriority w:val="39"/>
    <w:rsid w:val="009A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465E31-422C-47EC-93F1-98CA5E9A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Russolillo</dc:creator>
  <cp:keywords/>
  <dc:description/>
  <cp:lastModifiedBy>Russolillo, Angela [PH]</cp:lastModifiedBy>
  <cp:revision>4</cp:revision>
  <dcterms:created xsi:type="dcterms:W3CDTF">2023-06-19T20:44:00Z</dcterms:created>
  <dcterms:modified xsi:type="dcterms:W3CDTF">2023-06-19T20:45:00Z</dcterms:modified>
</cp:coreProperties>
</file>